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60"/>
      </w:pPr>
      <w:r>
        <w:rPr>
          <w:rFonts w:ascii="Arial" w:cs="Arial" w:eastAsia="Arial" w:hAnsi="Arial"/>
          <w:sz w:val="21"/>
          <w:szCs w:val="21"/>
        </w:rPr>
        <w:t xml:space="preserve"/>
      </w:r>
    </w:p>
    <w:p>
      <w:pPr>
        <w:spacing w:before="0" w:after="60"/>
        <w:jc w:val="center"/>
      </w:pPr>
      <w:r>
        <w:rPr>
          <w:rFonts w:ascii="Arial" w:cs="Arial" w:eastAsia="Arial" w:hAnsi="Arial"/>
          <w:b/>
          <w:bCs/>
          <w:color w:val="0D2B5E"/>
          <w:sz w:val="44"/>
          <w:szCs w:val="44"/>
        </w:rPr>
        <w:t xml:space="preserve">COTATION ISO-GPS &amp; ALLEMAND TECHNIQUE</w:t>
      </w:r>
    </w:p>
    <w:p>
      <w:pPr>
        <w:spacing w:before="0" w:after="180"/>
        <w:jc w:val="center"/>
      </w:pPr>
      <w:r>
        <w:rPr>
          <w:rFonts w:ascii="Arial" w:cs="Arial" w:eastAsia="Arial" w:hAnsi="Arial"/>
          <w:i/>
          <w:iCs/>
          <w:color w:val="595959"/>
          <w:sz w:val="20"/>
          <w:szCs w:val="20"/>
        </w:rPr>
        <w:t xml:space="preserve">Deux compétences différenciantes — Sources vérifiées — Ingénieur Conception Mécanique</w:t>
      </w:r>
    </w:p>
    <w:p>
      <w:pPr>
        <w:pBdr>
          <w:bottom w:val="single" w:color="0D2B5E" w:sz="10" w:space="1"/>
        </w:pBdr>
        <w:spacing w:before="120" w:after="12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0D2B5E" w:val="clear"/>
            <w:tcMar>
              <w:top w:type="dxa" w:w="90"/>
              <w:left w:type="dxa" w:w="150"/>
              <w:bottom w:type="dxa" w:w="90"/>
              <w:right w:type="dxa" w:w="150"/>
            </w:tcMar>
          </w:tcPr>
          <w:p>
            <w:pPr>
              <w:jc w:val="center"/>
            </w:pPr>
            <w:r>
              <w:rPr>
                <w:rFonts w:ascii="Arial" w:cs="Arial" w:eastAsia="Arial" w:hAnsi="Arial"/>
                <w:b/>
                <w:bCs/>
                <w:color w:val="FFFFFF"/>
                <w:sz w:val="23"/>
                <w:szCs w:val="23"/>
              </w:rPr>
              <w:t xml:space="preserve">PARTIE 1 — COTATION ISO-GPS : BÉNÉFICES POUR L’ENTREPRISE (SOURCE : CETISO.FR)</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0D2B5E"/>
          <w:sz w:val="34"/>
          <w:szCs w:val="34"/>
        </w:rPr>
        <w:t xml:space="preserve">1.  Ce qu’est la cotation ISO-GPS — Définition vérifiée</w:t>
      </w:r>
    </w:p>
    <w:p>
      <w:pPr>
        <w:spacing w:before="80" w:after="80"/>
      </w:pPr>
      <w:r>
        <w:rPr>
          <w:rFonts w:ascii="Arial" w:cs="Arial" w:eastAsia="Arial" w:hAnsi="Arial"/>
          <w:sz w:val="21"/>
          <w:szCs w:val="21"/>
        </w:rPr>
        <w:t xml:space="preserve">La cotation ISO-GPS (Géométrie des Produits Spécifiés) est un système normalisé internationalement pour exprimer les tolérances dimensionnelles et géométriques sur les plans de définition des pièces. Elle repose sur un ensemble de normes ISO dont les principales sont ISO 1101 (tolérancement géométrique), ISO 5459 (systèmes de références, mise à jour octobre 2024), et ISO 14405-1 (tolérancement dimensionnel, mise à jour août 2025 selon le site Cetiso). Elle remplace les pratiques de cotation « internes » non normalisées que beaucoup d’entreprises utilisent encore.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DEEAF1" w:val="clear"/>
            <w:tcMar>
              <w:top w:type="dxa" w:w="90"/>
              <w:left w:type="dxa" w:w="150"/>
              <w:bottom w:type="dxa" w:w="90"/>
              <w:right w:type="dxa" w:w="150"/>
            </w:tcMar>
          </w:tcPr>
          <w:p>
            <w:pPr>
              <w:spacing w:before="0" w:after="50"/>
            </w:pPr>
            <w:r>
              <w:rPr>
                <w:rFonts w:ascii="Arial" w:cs="Arial" w:eastAsia="Arial" w:hAnsi="Arial"/>
                <w:b/>
                <w:bCs/>
                <w:color w:val="0D2B5E"/>
                <w:sz w:val="20"/>
                <w:szCs w:val="20"/>
              </w:rPr>
              <w:t xml:space="preserve">📌  Source directe : Cetiso.fr (vérifié mars 2026)</w:t>
            </w:r>
          </w:p>
          <w:p>
            <w:r>
              <w:rPr>
                <w:rFonts w:ascii="Arial" w:cs="Arial" w:eastAsia="Arial" w:hAnsi="Arial"/>
                <w:color w:val="1A1A1A"/>
                <w:sz w:val="20"/>
                <w:szCs w:val="20"/>
              </w:rPr>
              <w:t xml:space="preserve">Cetiso est un organisme de formation professionnel spécialisé en cotation ISO-GPS, certifié Qualiopi, ayant formé plus de 5 000 ingénieurs et techniciens sur 20 ans. Leur livret de synthèse ISO-GPS est disponible gratuitement en ligne (version 1.20 d’octobre 2025 intégrant ISO 5459 2024 et ISO 14405-1 2025).</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0D2B5E"/>
          <w:sz w:val="34"/>
          <w:szCs w:val="34"/>
        </w:rPr>
        <w:t xml:space="preserve">2.  Les bénéfices pour l’entreprise — Tels qu’énoncés par Cetiso</w:t>
      </w:r>
    </w:p>
    <w:p>
      <w:pPr>
        <w:spacing w:before="80" w:after="80"/>
      </w:pPr>
      <w:r>
        <w:rPr>
          <w:rFonts w:ascii="Arial" w:cs="Arial" w:eastAsia="Arial" w:hAnsi="Arial"/>
          <w:sz w:val="21"/>
          <w:szCs w:val="21"/>
        </w:rPr>
        <w:t xml:space="preserve">Les bénéfices suivants sont tirés directement des pages de formation de Cetiso (CFiso2 et CFiso3) et des articles techniques du site. Les guillemets indiquent des formulations proches de la source.</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4350"/>
        <w:gridCol w:w="4350"/>
      </w:tblGrid>
      <w:tr>
        <w:trPr>
          <w:tblHeader/>
        </w:trPr>
        <w:tc>
          <w:tcPr>
            <w:tcW w:type="dxa" w:w="500"/>
            <w:tcBorders>
              <w:top w:val="single" w:color="777777" w:sz="6"/>
              <w:left w:val="single" w:color="777777" w:sz="6"/>
              <w:bottom w:val="single" w:color="777777" w:sz="6"/>
              <w:right w:val="single" w:color="777777" w:sz="6"/>
            </w:tcBorders>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w:t>
            </w:r>
          </w:p>
        </w:tc>
        <w:tc>
          <w:tcPr>
            <w:tcW w:type="dxa" w:w="4350"/>
            <w:tcBorders>
              <w:top w:val="single" w:color="777777" w:sz="6"/>
              <w:left w:val="single" w:color="777777" w:sz="6"/>
              <w:bottom w:val="single" w:color="777777" w:sz="6"/>
              <w:right w:val="single" w:color="777777" w:sz="6"/>
            </w:tcBorders>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Bénéfice (source Cetiso)</w:t>
            </w:r>
          </w:p>
        </w:tc>
        <w:tc>
          <w:tcPr>
            <w:tcW w:type="dxa" w:w="4350"/>
            <w:tcBorders>
              <w:top w:val="single" w:color="777777" w:sz="6"/>
              <w:left w:val="single" w:color="777777" w:sz="6"/>
              <w:bottom w:val="single" w:color="777777" w:sz="6"/>
              <w:right w:val="single" w:color="777777" w:sz="6"/>
            </w:tcBorders>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 concret en entreprise</w:t>
            </w:r>
          </w:p>
        </w:tc>
      </w:tr>
      <w:tr>
        <w:tc>
          <w:tcPr>
            <w:tcW w:type="dxa" w:w="50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center"/>
            </w:pPr>
            <w:r>
              <w:rPr>
                <w:rFonts w:ascii="Arial" w:cs="Arial" w:eastAsia="Arial" w:hAnsi="Arial"/>
                <w:b/>
                <w:bCs/>
                <w:i w:val="false"/>
                <w:iCs w:val="false"/>
                <w:color w:val="0D2B5E"/>
                <w:sz w:val="20"/>
                <w:szCs w:val="20"/>
              </w:rPr>
              <w:t xml:space="preserve">1</w:t>
            </w:r>
          </w:p>
        </w:tc>
        <w:tc>
          <w:tcPr>
            <w:tcW w:type="dxa" w:w="435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9"/>
                <w:szCs w:val="19"/>
              </w:rPr>
              <w:t xml:space="preserve">Réduction des dérogations et des non-conformités</w:t>
            </w:r>
          </w:p>
        </w:tc>
        <w:tc>
          <w:tcPr>
            <w:tcW w:type="dxa" w:w="43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Moins de pièces refusées en contrôle. Moins de réglages et mises au point en production. Réduction des coûts qualité.</w:t>
            </w:r>
          </w:p>
        </w:tc>
      </w:tr>
      <w:tr>
        <w:tc>
          <w:tcPr>
            <w:tcW w:type="dxa" w:w="5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center"/>
            </w:pPr>
            <w:r>
              <w:rPr>
                <w:rFonts w:ascii="Arial" w:cs="Arial" w:eastAsia="Arial" w:hAnsi="Arial"/>
                <w:b/>
                <w:bCs/>
                <w:i w:val="false"/>
                <w:iCs w:val="false"/>
                <w:color w:val="0D2B5E"/>
                <w:sz w:val="20"/>
                <w:szCs w:val="20"/>
              </w:rPr>
              <w:t xml:space="preserve">2</w:t>
            </w:r>
          </w:p>
        </w:tc>
        <w:tc>
          <w:tcPr>
            <w:tcW w:type="dxa" w:w="435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9"/>
                <w:szCs w:val="19"/>
              </w:rPr>
              <w:t xml:space="preserve">Amélioration des échanges client-fournisseur</w:t>
            </w:r>
          </w:p>
        </w:tc>
        <w:tc>
          <w:tcPr>
            <w:tcW w:type="dxa" w:w="435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Le plan est lisible par tout acteur, quelle que soit sa nationalité ou son habitude. Réduction des ambiguités et des allers-retours d’interprétation.</w:t>
            </w:r>
          </w:p>
        </w:tc>
      </w:tr>
      <w:tr>
        <w:tc>
          <w:tcPr>
            <w:tcW w:type="dxa" w:w="50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center"/>
            </w:pPr>
            <w:r>
              <w:rPr>
                <w:rFonts w:ascii="Arial" w:cs="Arial" w:eastAsia="Arial" w:hAnsi="Arial"/>
                <w:b/>
                <w:bCs/>
                <w:i w:val="false"/>
                <w:iCs w:val="false"/>
                <w:color w:val="0D2B5E"/>
                <w:sz w:val="20"/>
                <w:szCs w:val="20"/>
              </w:rPr>
              <w:t xml:space="preserve">3</w:t>
            </w:r>
          </w:p>
        </w:tc>
        <w:tc>
          <w:tcPr>
            <w:tcW w:type="dxa" w:w="435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9"/>
                <w:szCs w:val="19"/>
              </w:rPr>
              <w:t xml:space="preserve">Simplification des plans et clarification pour les services méthodes, fabrication et métrologie</w:t>
            </w:r>
          </w:p>
        </w:tc>
        <w:tc>
          <w:tcPr>
            <w:tcW w:type="dxa" w:w="43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Moins de questions des ateliers sur l’interprétation des tolérances. Gammes de contrôle plus directes à écrire.</w:t>
            </w:r>
          </w:p>
        </w:tc>
      </w:tr>
      <w:tr>
        <w:tc>
          <w:tcPr>
            <w:tcW w:type="dxa" w:w="5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center"/>
            </w:pPr>
            <w:r>
              <w:rPr>
                <w:rFonts w:ascii="Arial" w:cs="Arial" w:eastAsia="Arial" w:hAnsi="Arial"/>
                <w:b/>
                <w:bCs/>
                <w:i w:val="false"/>
                <w:iCs w:val="false"/>
                <w:color w:val="0D2B5E"/>
                <w:sz w:val="20"/>
                <w:szCs w:val="20"/>
              </w:rPr>
              <w:t xml:space="preserve">4</w:t>
            </w:r>
          </w:p>
        </w:tc>
        <w:tc>
          <w:tcPr>
            <w:tcW w:type="dxa" w:w="435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9"/>
                <w:szCs w:val="19"/>
              </w:rPr>
              <w:t xml:space="preserve">Facilitation de l’assemblage et amélioration du fonctionnement des produits</w:t>
            </w:r>
          </w:p>
        </w:tc>
        <w:tc>
          <w:tcPr>
            <w:tcW w:type="dxa" w:w="435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Les contrôles de conformité sont plus sûrs et plus rapides car les spécifications sont non ambigues.</w:t>
            </w:r>
          </w:p>
        </w:tc>
      </w:tr>
      <w:tr>
        <w:tc>
          <w:tcPr>
            <w:tcW w:type="dxa" w:w="50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center"/>
            </w:pPr>
            <w:r>
              <w:rPr>
                <w:rFonts w:ascii="Arial" w:cs="Arial" w:eastAsia="Arial" w:hAnsi="Arial"/>
                <w:b/>
                <w:bCs/>
                <w:i w:val="false"/>
                <w:iCs w:val="false"/>
                <w:color w:val="0D2B5E"/>
                <w:sz w:val="20"/>
                <w:szCs w:val="20"/>
              </w:rPr>
              <w:t xml:space="preserve">5</w:t>
            </w:r>
          </w:p>
        </w:tc>
        <w:tc>
          <w:tcPr>
            <w:tcW w:type="dxa" w:w="435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9"/>
                <w:szCs w:val="19"/>
              </w:rPr>
              <w:t xml:space="preserve">Amélioration de la cohérence des plans dans l’entreprise et mise en place de plans génériques</w:t>
            </w:r>
          </w:p>
        </w:tc>
        <w:tc>
          <w:tcPr>
            <w:tcW w:type="dxa" w:w="43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Capitalisation réelle : un plan fait par un ingénieur peut être modifié par un autre sans réinterprétation. Facilite l’intégration des nouveaux arrivants.</w:t>
            </w:r>
          </w:p>
        </w:tc>
      </w:tr>
      <w:tr>
        <w:tc>
          <w:tcPr>
            <w:tcW w:type="dxa" w:w="5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center"/>
            </w:pPr>
            <w:r>
              <w:rPr>
                <w:rFonts w:ascii="Arial" w:cs="Arial" w:eastAsia="Arial" w:hAnsi="Arial"/>
                <w:b/>
                <w:bCs/>
                <w:i w:val="false"/>
                <w:iCs w:val="false"/>
                <w:color w:val="0D2B5E"/>
                <w:sz w:val="20"/>
                <w:szCs w:val="20"/>
              </w:rPr>
              <w:t xml:space="preserve">6</w:t>
            </w:r>
          </w:p>
        </w:tc>
        <w:tc>
          <w:tcPr>
            <w:tcW w:type="dxa" w:w="435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9"/>
                <w:szCs w:val="19"/>
              </w:rPr>
              <w:t xml:space="preserve">Amélioration de l’analyse d’avaries par le service qualité</w:t>
            </w:r>
          </w:p>
        </w:tc>
        <w:tc>
          <w:tcPr>
            <w:tcW w:type="dxa" w:w="435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Les spécifications étant non ambigues, l’analyse de cause de défaut (8D, AMDEC) est plus rapide et plus fiable.</w:t>
            </w:r>
          </w:p>
        </w:tc>
      </w:tr>
      <w:tr>
        <w:tc>
          <w:tcPr>
            <w:tcW w:type="dxa" w:w="50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center"/>
            </w:pPr>
            <w:r>
              <w:rPr>
                <w:rFonts w:ascii="Arial" w:cs="Arial" w:eastAsia="Arial" w:hAnsi="Arial"/>
                <w:b/>
                <w:bCs/>
                <w:i w:val="false"/>
                <w:iCs w:val="false"/>
                <w:color w:val="0D2B5E"/>
                <w:sz w:val="20"/>
                <w:szCs w:val="20"/>
              </w:rPr>
              <w:t xml:space="preserve">7</w:t>
            </w:r>
          </w:p>
        </w:tc>
        <w:tc>
          <w:tcPr>
            <w:tcW w:type="dxa" w:w="435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9"/>
                <w:szCs w:val="19"/>
              </w:rPr>
              <w:t xml:space="preserve">Clarification des échanges avec la métrologie, diminution des réglages et mises au point</w:t>
            </w:r>
          </w:p>
        </w:tc>
        <w:tc>
          <w:tcPr>
            <w:tcW w:type="dxa" w:w="43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La mesure est directement liée à la spécification fonctionnelle. Moins de discussions sur « comment mesurer ».</w:t>
            </w:r>
          </w:p>
        </w:tc>
      </w:tr>
      <w:tr>
        <w:tc>
          <w:tcPr>
            <w:tcW w:type="dxa" w:w="5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center"/>
            </w:pPr>
            <w:r>
              <w:rPr>
                <w:rFonts w:ascii="Arial" w:cs="Arial" w:eastAsia="Arial" w:hAnsi="Arial"/>
                <w:b/>
                <w:bCs/>
                <w:i w:val="false"/>
                <w:iCs w:val="false"/>
                <w:color w:val="0D2B5E"/>
                <w:sz w:val="20"/>
                <w:szCs w:val="20"/>
              </w:rPr>
              <w:t xml:space="preserve">8</w:t>
            </w:r>
          </w:p>
        </w:tc>
        <w:tc>
          <w:tcPr>
            <w:tcW w:type="dxa" w:w="435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9"/>
                <w:szCs w:val="19"/>
              </w:rPr>
              <w:t xml:space="preserve">Transversalité entre les métiers (conception, fabrication, contrôle)</w:t>
            </w:r>
          </w:p>
        </w:tc>
        <w:tc>
          <w:tcPr>
            <w:tcW w:type="dxa" w:w="435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Tous les acteurs parlent le même langage technique. La cotation ISO-GPS est la clé de la communication inter-métiers selon Cetiso.</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0D2B5E"/>
          <w:sz w:val="34"/>
          <w:szCs w:val="34"/>
        </w:rPr>
        <w:t xml:space="preserve">3.  Les normes récentes — Mises à jour 2024–2025 (source : Cetiso)</w:t>
      </w:r>
    </w:p>
    <w:p>
      <w:pPr>
        <w:spacing w:before="80" w:after="80"/>
      </w:pPr>
      <w:r>
        <w:rPr>
          <w:rFonts w:ascii="Arial" w:cs="Arial" w:eastAsia="Arial" w:hAnsi="Arial"/>
          <w:sz w:val="21"/>
          <w:szCs w:val="21"/>
        </w:rPr>
        <w:t xml:space="preserve">Le site Cetiso recense et commente les mises à jour normatives. Deux normes ont été révisées récemment selon les pages vérifiées en mars 2026.</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450"/>
        <w:gridCol w:w="2450"/>
      </w:tblGrid>
      <w:tr>
        <w:trPr>
          <w:tblHeader/>
        </w:trPr>
        <w:tc>
          <w:tcPr>
            <w:tcW w:type="dxa" w:w="180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Norme</w:t>
            </w:r>
          </w:p>
        </w:tc>
        <w:tc>
          <w:tcPr>
            <w:tcW w:type="dxa" w:w="250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Titre</w:t>
            </w:r>
          </w:p>
        </w:tc>
        <w:tc>
          <w:tcPr>
            <w:tcW w:type="dxa" w:w="245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Date de mise à jour</w:t>
            </w:r>
          </w:p>
        </w:tc>
        <w:tc>
          <w:tcPr>
            <w:tcW w:type="dxa" w:w="245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Ce qui change</w:t>
            </w:r>
          </w:p>
        </w:tc>
      </w:tr>
      <w:tr>
        <w:tc>
          <w:tcPr>
            <w:tcW w:type="dxa" w:w="1800"/>
            <w:tcBorders>
              <w:top w:val="single" w:color="BBBBBB" w:sz="6"/>
              <w:left w:val="single" w:color="BBBBBB" w:sz="6"/>
              <w:bottom w:val="single" w:color="BBBBBB" w:sz="6"/>
              <w:right w:val="single" w:color="BBBBBB" w:sz="6"/>
            </w:tcBorders>
            <w:shd w:fill="D6EAF8" w:val="clear"/>
            <w:tcMar>
              <w:top w:type="dxa" w:w="80"/>
              <w:left w:type="dxa" w:w="110"/>
              <w:bottom w:type="dxa" w:w="80"/>
              <w:right w:type="dxa" w:w="110"/>
            </w:tcMar>
            <w:vAlign w:val="top"/>
          </w:tcPr>
          <w:p>
            <w:pPr>
              <w:jc w:val="left"/>
            </w:pPr>
            <w:r>
              <w:rPr>
                <w:rFonts w:ascii="Arial" w:cs="Arial" w:eastAsia="Arial" w:hAnsi="Arial"/>
                <w:b/>
                <w:bCs/>
                <w:i w:val="false"/>
                <w:iCs w:val="false"/>
                <w:color w:val="1A5276"/>
                <w:sz w:val="20"/>
                <w:szCs w:val="20"/>
              </w:rPr>
              <w:t xml:space="preserve">ISO 5459</w:t>
            </w:r>
          </w:p>
        </w:tc>
        <w:tc>
          <w:tcPr>
            <w:tcW w:type="dxa" w:w="2500"/>
            <w:tcBorders>
              <w:top w:val="single" w:color="BBBBBB" w:sz="6"/>
              <w:left w:val="single" w:color="BBBBBB" w:sz="6"/>
              <w:bottom w:val="single" w:color="BBBBBB" w:sz="6"/>
              <w:right w:val="single" w:color="BBBBBB" w:sz="6"/>
            </w:tcBorders>
            <w:shd w:fill="D6EAF8"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Systèmes de références spécifiées</w:t>
            </w:r>
          </w:p>
        </w:tc>
        <w:tc>
          <w:tcPr>
            <w:tcW w:type="dxa" w:w="2450"/>
            <w:tcBorders>
              <w:top w:val="single" w:color="BBBBBB" w:sz="6"/>
              <w:left w:val="single" w:color="BBBBBB" w:sz="6"/>
              <w:bottom w:val="single" w:color="BBBBBB" w:sz="6"/>
              <w:right w:val="single" w:color="BBBBBB" w:sz="6"/>
            </w:tcBorders>
            <w:shd w:fill="D6EAF8" w:val="clear"/>
            <w:tcMar>
              <w:top w:type="dxa" w:w="80"/>
              <w:left w:type="dxa" w:w="110"/>
              <w:bottom w:type="dxa" w:w="80"/>
              <w:right w:type="dxa" w:w="110"/>
            </w:tcMar>
            <w:vAlign w:val="top"/>
          </w:tcPr>
          <w:p>
            <w:pPr>
              <w:jc w:val="center"/>
            </w:pPr>
            <w:r>
              <w:rPr>
                <w:rFonts w:ascii="Arial" w:cs="Arial" w:eastAsia="Arial" w:hAnsi="Arial"/>
                <w:b w:val="false"/>
                <w:bCs w:val="false"/>
                <w:i w:val="false"/>
                <w:iCs w:val="false"/>
                <w:color w:val="1A1A1A"/>
                <w:sz w:val="18"/>
                <w:szCs w:val="18"/>
              </w:rPr>
              <w:t xml:space="preserve">Octobre 2024</w:t>
            </w:r>
          </w:p>
        </w:tc>
        <w:tc>
          <w:tcPr>
            <w:tcW w:type="dxa" w:w="2450"/>
            <w:tcBorders>
              <w:top w:val="single" w:color="BBBBBB" w:sz="6"/>
              <w:left w:val="single" w:color="BBBBBB" w:sz="6"/>
              <w:bottom w:val="single" w:color="BBBBBB" w:sz="6"/>
              <w:right w:val="single" w:color="BBBBBB" w:sz="6"/>
            </w:tcBorders>
            <w:shd w:fill="D6EAF8"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Nouveautés sur la mise en place des références. Cetiso a publié un article de détail et mis à jour son livret de synthèse.</w:t>
            </w:r>
          </w:p>
        </w:tc>
      </w:tr>
      <w:tr>
        <w:tc>
          <w:tcPr>
            <w:tcW w:type="dxa" w:w="18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bCs/>
                <w:i w:val="false"/>
                <w:iCs w:val="false"/>
                <w:color w:val="2E75B6"/>
                <w:sz w:val="20"/>
                <w:szCs w:val="20"/>
              </w:rPr>
              <w:t xml:space="preserve">ISO 14405-1</w:t>
            </w:r>
          </w:p>
        </w:tc>
        <w:tc>
          <w:tcPr>
            <w:tcW w:type="dxa" w:w="25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Tolérancement dimensionnel — Partie 1 : Tailles linéaires</w:t>
            </w:r>
          </w:p>
        </w:tc>
        <w:tc>
          <w:tcPr>
            <w:tcW w:type="dxa" w:w="245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center"/>
            </w:pPr>
            <w:r>
              <w:rPr>
                <w:rFonts w:ascii="Arial" w:cs="Arial" w:eastAsia="Arial" w:hAnsi="Arial"/>
                <w:b w:val="false"/>
                <w:bCs w:val="false"/>
                <w:i w:val="false"/>
                <w:iCs w:val="false"/>
                <w:color w:val="1A1A1A"/>
                <w:sz w:val="18"/>
                <w:szCs w:val="18"/>
              </w:rPr>
              <w:t xml:space="preserve">Août 2025</w:t>
            </w:r>
          </w:p>
        </w:tc>
        <w:tc>
          <w:tcPr>
            <w:tcW w:type="dxa" w:w="245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Mise à jour de la norme sur le tolérancement des tailles linéaires. Cetiso a publié un article détaillé en septembre 2025.</w:t>
            </w:r>
          </w:p>
        </w:tc>
      </w:tr>
      <w:tr>
        <w:tc>
          <w:tcPr>
            <w:tcW w:type="dxa" w:w="18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bCs/>
                <w:i w:val="false"/>
                <w:iCs w:val="false"/>
                <w:color w:val="595959"/>
                <w:sz w:val="20"/>
                <w:szCs w:val="20"/>
              </w:rPr>
              <w:t xml:space="preserve">NF E04-009</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Norme métier nationale</w:t>
            </w:r>
          </w:p>
        </w:tc>
        <w:tc>
          <w:tcPr>
            <w:tcW w:type="dxa" w:w="24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center"/>
            </w:pPr>
            <w:r>
              <w:rPr>
                <w:rFonts w:ascii="Arial" w:cs="Arial" w:eastAsia="Arial" w:hAnsi="Arial"/>
                <w:b w:val="false"/>
                <w:bCs w:val="false"/>
                <w:i w:val="false"/>
                <w:iCs w:val="false"/>
                <w:color w:val="1A1A1A"/>
                <w:sz w:val="18"/>
                <w:szCs w:val="18"/>
              </w:rPr>
              <w:t xml:space="preserve">Août 2025</w:t>
            </w:r>
          </w:p>
        </w:tc>
        <w:tc>
          <w:tcPr>
            <w:tcW w:type="dxa" w:w="24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Mise à jour référencée dans les normes de tolérances métier.</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0D2B5E"/>
          <w:sz w:val="34"/>
          <w:szCs w:val="34"/>
        </w:rPr>
        <w:t xml:space="preserve">4.  Les formations Cetiso — Ce que propose l’organisme</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00"/>
        <w:gridCol w:w="2300"/>
      </w:tblGrid>
      <w:tr>
        <w:trPr>
          <w:tblHeader/>
        </w:trPr>
        <w:tc>
          <w:tcPr>
            <w:tcW w:type="dxa" w:w="1200"/>
            <w:tcBorders>
              <w:top w:val="single" w:color="777777" w:sz="6"/>
              <w:left w:val="single" w:color="777777" w:sz="6"/>
              <w:bottom w:val="single" w:color="777777" w:sz="6"/>
              <w:right w:val="single" w:color="777777" w:sz="6"/>
            </w:tcBorders>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Code</w:t>
            </w:r>
          </w:p>
        </w:tc>
        <w:tc>
          <w:tcPr>
            <w:tcW w:type="dxa" w:w="3200"/>
            <w:tcBorders>
              <w:top w:val="single" w:color="777777" w:sz="6"/>
              <w:left w:val="single" w:color="777777" w:sz="6"/>
              <w:bottom w:val="single" w:color="777777" w:sz="6"/>
              <w:right w:val="single" w:color="777777" w:sz="6"/>
            </w:tcBorders>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Titre</w:t>
            </w:r>
          </w:p>
        </w:tc>
        <w:tc>
          <w:tcPr>
            <w:tcW w:type="dxa" w:w="2500"/>
            <w:tcBorders>
              <w:top w:val="single" w:color="777777" w:sz="6"/>
              <w:left w:val="single" w:color="777777" w:sz="6"/>
              <w:bottom w:val="single" w:color="777777" w:sz="6"/>
              <w:right w:val="single" w:color="777777" w:sz="6"/>
            </w:tcBorders>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Public</w:t>
            </w:r>
          </w:p>
        </w:tc>
        <w:tc>
          <w:tcPr>
            <w:tcW w:type="dxa" w:w="2300"/>
            <w:tcBorders>
              <w:top w:val="single" w:color="777777" w:sz="6"/>
              <w:left w:val="single" w:color="777777" w:sz="6"/>
              <w:bottom w:val="single" w:color="777777" w:sz="6"/>
              <w:right w:val="single" w:color="777777" w:sz="6"/>
            </w:tcBorders>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Financement</w:t>
            </w:r>
          </w:p>
        </w:tc>
      </w:tr>
      <w:tr>
        <w:tc>
          <w:tcPr>
            <w:tcW w:type="dxa" w:w="12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bCs/>
                <w:i w:val="false"/>
                <w:iCs w:val="false"/>
                <w:color w:val="0D2B5E"/>
                <w:sz w:val="20"/>
                <w:szCs w:val="20"/>
              </w:rPr>
              <w:t xml:space="preserve">CFiso1</w:t>
            </w:r>
          </w:p>
        </w:tc>
        <w:tc>
          <w:tcPr>
            <w:tcW w:type="dxa" w:w="32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Comprendre un plan de définition ISO dans l’industrie</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iCs/>
                <w:color w:val="595959"/>
                <w:sz w:val="17"/>
                <w:szCs w:val="17"/>
              </w:rPr>
              <w:t xml:space="preserve">Toute personne devant lire un plan industriel (quali, méthodes, achat)</w:t>
            </w:r>
          </w:p>
        </w:tc>
        <w:tc>
          <w:tcPr>
            <w:tcW w:type="dxa" w:w="23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Plan formation entreprise / OPCO 2i (métallurgie)</w:t>
            </w:r>
          </w:p>
        </w:tc>
      </w:tr>
      <w:tr>
        <w:tc>
          <w:tcPr>
            <w:tcW w:type="dxa" w:w="120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left"/>
            </w:pPr>
            <w:r>
              <w:rPr>
                <w:rFonts w:ascii="Arial" w:cs="Arial" w:eastAsia="Arial" w:hAnsi="Arial"/>
                <w:b/>
                <w:bCs/>
                <w:i w:val="false"/>
                <w:iCs w:val="false"/>
                <w:color w:val="0D2B5E"/>
                <w:sz w:val="20"/>
                <w:szCs w:val="20"/>
              </w:rPr>
              <w:t xml:space="preserve">CFiso2</w:t>
            </w:r>
          </w:p>
        </w:tc>
        <w:tc>
          <w:tcPr>
            <w:tcW w:type="dxa" w:w="320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Appliquer la cotation fonctionnelle et le langage ISO-GPS</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iCs/>
                <w:color w:val="595959"/>
                <w:sz w:val="17"/>
                <w:szCs w:val="17"/>
              </w:rPr>
              <w:t xml:space="preserve">Ingénieurs et techniciens BE, conception, industrialisation</w:t>
            </w:r>
          </w:p>
        </w:tc>
        <w:tc>
          <w:tcPr>
            <w:tcW w:type="dxa" w:w="23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Plan formation / OPCO 2i / CPF (si certifiant)</w:t>
            </w:r>
          </w:p>
        </w:tc>
      </w:tr>
      <w:tr>
        <w:tc>
          <w:tcPr>
            <w:tcW w:type="dxa" w:w="12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bCs/>
                <w:i w:val="false"/>
                <w:iCs w:val="false"/>
                <w:color w:val="0D2B5E"/>
                <w:sz w:val="20"/>
                <w:szCs w:val="20"/>
              </w:rPr>
              <w:t xml:space="preserve">CFiso3</w:t>
            </w:r>
          </w:p>
        </w:tc>
        <w:tc>
          <w:tcPr>
            <w:tcW w:type="dxa" w:w="32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Appliquer la cotation ISO-GPS sur vos produits</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iCs/>
                <w:color w:val="595959"/>
                <w:sz w:val="17"/>
                <w:szCs w:val="17"/>
              </w:rPr>
              <w:t xml:space="preserve">Ingénieurs conception souhaitant tolérancer leurs propres produits</w:t>
            </w:r>
          </w:p>
        </w:tc>
        <w:tc>
          <w:tcPr>
            <w:tcW w:type="dxa" w:w="23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Plan formation / OPCO 2i</w:t>
            </w:r>
          </w:p>
        </w:tc>
      </w:tr>
      <w:tr>
        <w:tc>
          <w:tcPr>
            <w:tcW w:type="dxa" w:w="120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left"/>
            </w:pPr>
            <w:r>
              <w:rPr>
                <w:rFonts w:ascii="Arial" w:cs="Arial" w:eastAsia="Arial" w:hAnsi="Arial"/>
                <w:b/>
                <w:bCs/>
                <w:i w:val="false"/>
                <w:iCs w:val="false"/>
                <w:color w:val="0D2B5E"/>
                <w:sz w:val="20"/>
                <w:szCs w:val="20"/>
              </w:rPr>
              <w:t xml:space="preserve">MEC1</w:t>
            </w:r>
          </w:p>
        </w:tc>
        <w:tc>
          <w:tcPr>
            <w:tcW w:type="dxa" w:w="3200"/>
            <w:tcBorders>
              <w:top w:val="single" w:color="BBBBBB" w:sz="6"/>
              <w:left w:val="single" w:color="BBBBBB" w:sz="6"/>
              <w:bottom w:val="single" w:color="BBBBBB" w:sz="6"/>
              <w:right w:val="single" w:color="BBBBBB" w:sz="6"/>
            </w:tcBorders>
            <w:shd w:fill="E8EEF7"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CMED — Calculs mécaniques d’efforts par les déplacements</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iCs/>
                <w:color w:val="595959"/>
                <w:sz w:val="17"/>
                <w:szCs w:val="17"/>
              </w:rPr>
              <w:t xml:space="preserve">Ingénieurs et techniciens mécaniciens</w:t>
            </w:r>
          </w:p>
        </w:tc>
        <w:tc>
          <w:tcPr>
            <w:tcW w:type="dxa" w:w="23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Plan formation / OPCO 2i</w:t>
            </w:r>
          </w:p>
        </w:tc>
      </w:tr>
    </w:tbl>
    <w:p>
      <w:pPr>
        <w:spacing w:before="4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E2EFDA" w:val="clear"/>
            <w:tcMar>
              <w:top w:type="dxa" w:w="90"/>
              <w:left w:type="dxa" w:w="150"/>
              <w:bottom w:type="dxa" w:w="90"/>
              <w:right w:type="dxa" w:w="150"/>
            </w:tcMar>
          </w:tcPr>
          <w:p>
            <w:pPr>
              <w:spacing w:before="0" w:after="50"/>
            </w:pPr>
            <w:r>
              <w:rPr>
                <w:rFonts w:ascii="Arial" w:cs="Arial" w:eastAsia="Arial" w:hAnsi="Arial"/>
                <w:b/>
                <w:bCs/>
                <w:color w:val="375623"/>
                <w:sz w:val="20"/>
                <w:szCs w:val="20"/>
              </w:rPr>
              <w:t xml:space="preserve">🏫  Livret gratuit — disponible sur Cetiso.fr</w:t>
            </w:r>
          </w:p>
          <w:p>
            <w:r>
              <w:rPr>
                <w:rFonts w:ascii="Arial" w:cs="Arial" w:eastAsia="Arial" w:hAnsi="Arial"/>
                <w:color w:val="1A1A1A"/>
                <w:sz w:val="20"/>
                <w:szCs w:val="20"/>
              </w:rPr>
              <w:t xml:space="preserve">Cetiso met à disposition gratuitement son livret de synthèse du tolérancement ISO-GPS en version 1.20 (octobre 2025), disponible en français et en anglais. Il intègre les nouveautés ISO 5459 2024 et ISO 14405-1 2025, ainsi qu’une comparaison avec les normes américaines ASME Y14.5-2018 (GD&amp;T). C’est la ressource de référence pour un ingénieur aéronautique travaillant aussi avec des fournisseurs américains.</w:t>
            </w:r>
          </w:p>
        </w:tc>
      </w:tr>
    </w:tbl>
    <w:p>
      <w:pPr>
        <w:spacing w:before="80" w:after="80"/>
      </w:pPr>
      <w:r>
        <w:rPr>
          <w:rFonts w:ascii="Arial" w:cs="Arial" w:eastAsia="Arial" w:hAnsi="Arial"/>
          <w:sz w:val="21"/>
          <w:szCs w:val="21"/>
        </w:rPr>
        <w:t xml:space="preserve"/>
      </w:r>
    </w:p>
    <w:p>
      <w:pPr>
        <w:pBdr>
          <w:bottom w:val="single" w:color="0D2B5E" w:sz="10" w:space="1"/>
        </w:pBdr>
        <w:spacing w:before="120" w:after="12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F6000" w:sz="6"/>
              <w:left w:val="single" w:color="7F6000" w:sz="6"/>
              <w:bottom w:val="single" w:color="7F6000" w:sz="6"/>
              <w:right w:val="single" w:color="7F6000" w:sz="6"/>
            </w:tcBorders>
            <w:shd w:fill="7F6000" w:val="clear"/>
            <w:tcMar>
              <w:top w:type="dxa" w:w="90"/>
              <w:left w:type="dxa" w:w="150"/>
              <w:bottom w:type="dxa" w:w="90"/>
              <w:right w:type="dxa" w:w="150"/>
            </w:tcMar>
          </w:tcPr>
          <w:p>
            <w:pPr>
              <w:jc w:val="center"/>
            </w:pPr>
            <w:r>
              <w:rPr>
                <w:rFonts w:ascii="Arial" w:cs="Arial" w:eastAsia="Arial" w:hAnsi="Arial"/>
                <w:b/>
                <w:bCs/>
                <w:color w:val="FFFFFF"/>
                <w:sz w:val="23"/>
                <w:szCs w:val="23"/>
              </w:rPr>
              <w:t xml:space="preserve">PARTIE 2 — ALLEMAND PROFESSIONNEL ET TECHNIQUE — MÉTHODES, FORMATIONS, PLAN 6–12 MOIS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7F6000"/>
          <w:sz w:val="34"/>
          <w:szCs w:val="34"/>
        </w:rPr>
        <w:t xml:space="preserve">5.  Pourquoi l’allemand technique est un différenciateur pour un ingénieur mécanicien</w:t>
      </w:r>
    </w:p>
    <w:p>
      <w:pPr>
        <w:spacing w:before="80" w:after="80"/>
      </w:pPr>
      <w:r>
        <w:rPr>
          <w:rFonts w:ascii="Arial" w:cs="Arial" w:eastAsia="Arial" w:hAnsi="Arial"/>
          <w:sz w:val="21"/>
          <w:szCs w:val="21"/>
        </w:rPr>
        <w:t xml:space="preserve">L’Allemagne est le premier pays exportateur de machines et équipements industriels au monde. Les grands donneurs d’ordres aéronautiques et ferroviaires (Airbus Hamburg, Siemens Mobility, Knorr-Bremse, Liebherr, ZF, Bosch, Continental, Alstom Deutschland) ont tous une documentation technique principale en allemand. Pour un ingénieur conception mécanique travaillant dans des secteurs réglementés, la capacité à lire, comprendre et communiquer en allemand technique est un avantage structurel — et une barrière à l’entrée que très peu de profils possèdent en France.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7F6000"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Secteurs où l’allemand technique est valorisé</w:t>
            </w:r>
          </w:p>
        </w:tc>
        <w:tc>
          <w:tcPr>
            <w:tcW w:type="dxa" w:w="4600"/>
            <w:tcBorders>
              <w:top w:val="single" w:color="777777" w:sz="6"/>
              <w:left w:val="single" w:color="777777" w:sz="6"/>
              <w:bottom w:val="single" w:color="777777" w:sz="6"/>
              <w:right w:val="single" w:color="777777" w:sz="6"/>
            </w:tcBorders>
            <w:shd w:fill="375623"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 que ça débloquer concritement</w:t>
            </w:r>
          </w:p>
        </w:tc>
      </w:tr>
      <w:tr>
        <w:tc>
          <w:tcPr>
            <w:tcW w:type="dxa" w:w="4600"/>
            <w:tcBorders>
              <w:top w:val="single" w:color="BBBBBB" w:sz="6"/>
              <w:left w:val="single" w:color="BBBBBB" w:sz="6"/>
              <w:bottom w:val="single" w:color="BBBBBB" w:sz="6"/>
              <w:right w:val="single" w:color="BBBBBB" w:sz="6"/>
            </w:tcBorders>
            <w:shd w:fill="FFF8E1" w:val="clear"/>
            <w:tcMar>
              <w:top w:type="dxa" w:w="80"/>
              <w:left w:type="dxa" w:w="110"/>
              <w:bottom w:type="dxa" w:w="80"/>
              <w:right w:type="dxa" w:w="110"/>
            </w:tcMar>
            <w:vAlign w:val="top"/>
          </w:tcPr>
          <w:p>
            <w:pPr>
              <w:pStyle w:val="ListParagraph"/>
              <w:numPr>
                <w:ilvl w:val="0"/>
                <w:numId w:val="2"/>
              </w:numPr>
              <w:spacing w:before="55" w:after="55"/>
            </w:pPr>
            <w:r>
              <w:rPr>
                <w:rFonts w:ascii="Arial" w:cs="Arial" w:eastAsia="Arial" w:hAnsi="Arial"/>
                <w:sz w:val="21"/>
                <w:szCs w:val="21"/>
              </w:rPr>
              <w:t xml:space="preserve">Aéronautique : Airbus Hamburg / Bremen, Liebherr Aerospace, Diehl Aviation</w:t>
            </w:r>
          </w:p>
          <w:p>
            <w:pPr>
              <w:pStyle w:val="ListParagraph"/>
              <w:numPr>
                <w:ilvl w:val="0"/>
                <w:numId w:val="2"/>
              </w:numPr>
              <w:spacing w:before="55" w:after="55"/>
            </w:pPr>
            <w:r>
              <w:rPr>
                <w:rFonts w:ascii="Arial" w:cs="Arial" w:eastAsia="Arial" w:hAnsi="Arial"/>
                <w:sz w:val="21"/>
                <w:szCs w:val="21"/>
              </w:rPr>
              <w:t xml:space="preserve">Ferroviaire : Siemens Mobility, Knorr-Bremse, Alstom Deutschland</w:t>
            </w:r>
          </w:p>
          <w:p>
            <w:pPr>
              <w:pStyle w:val="ListParagraph"/>
              <w:numPr>
                <w:ilvl w:val="0"/>
                <w:numId w:val="2"/>
              </w:numPr>
              <w:spacing w:before="55" w:after="55"/>
            </w:pPr>
            <w:r>
              <w:rPr>
                <w:rFonts w:ascii="Arial" w:cs="Arial" w:eastAsia="Arial" w:hAnsi="Arial"/>
                <w:sz w:val="21"/>
                <w:szCs w:val="21"/>
              </w:rPr>
              <w:t xml:space="preserve">Automobile : BMW, Audi, Porsche, Bosch, ZF, Continental</w:t>
            </w:r>
          </w:p>
          <w:p>
            <w:pPr>
              <w:pStyle w:val="ListParagraph"/>
              <w:numPr>
                <w:ilvl w:val="0"/>
                <w:numId w:val="2"/>
              </w:numPr>
              <w:spacing w:before="55" w:after="55"/>
            </w:pPr>
            <w:r>
              <w:rPr>
                <w:rFonts w:ascii="Arial" w:cs="Arial" w:eastAsia="Arial" w:hAnsi="Arial"/>
                <w:sz w:val="21"/>
                <w:szCs w:val="21"/>
              </w:rPr>
              <w:t xml:space="preserve">Machines et équipements industriels : Trumpf, Kuka, Schunk, Festo</w:t>
            </w:r>
          </w:p>
          <w:p>
            <w:pPr>
              <w:pStyle w:val="ListParagraph"/>
              <w:numPr>
                <w:ilvl w:val="0"/>
                <w:numId w:val="2"/>
              </w:numPr>
              <w:spacing w:before="55" w:after="55"/>
            </w:pPr>
            <w:r>
              <w:rPr>
                <w:rFonts w:ascii="Arial" w:cs="Arial" w:eastAsia="Arial" w:hAnsi="Arial"/>
                <w:sz w:val="21"/>
                <w:szCs w:val="21"/>
              </w:rPr>
              <w:t xml:space="preserve">Documentation DIN et normes allemandes (DIN 9013, VDI 3405, etc.)</w:t>
            </w:r>
          </w:p>
        </w:tc>
        <w:tc>
          <w:tcPr>
            <w:tcW w:type="dxa" w:w="4600"/>
            <w:tcBorders>
              <w:top w:val="single" w:color="BBBBBB" w:sz="6"/>
              <w:left w:val="single" w:color="BBBBBB" w:sz="6"/>
              <w:bottom w:val="single" w:color="BBBBBB" w:sz="6"/>
              <w:right w:val="single" w:color="BBBBBB" w:sz="6"/>
            </w:tcBorders>
            <w:shd w:fill="E2EFDA" w:val="clear"/>
            <w:tcMar>
              <w:top w:type="dxa" w:w="80"/>
              <w:left w:type="dxa" w:w="110"/>
              <w:bottom w:type="dxa" w:w="80"/>
              <w:right w:type="dxa" w:w="110"/>
            </w:tcMar>
            <w:vAlign w:val="top"/>
          </w:tcPr>
          <w:p>
            <w:pPr>
              <w:pStyle w:val="ListParagraph"/>
              <w:numPr>
                <w:ilvl w:val="0"/>
                <w:numId w:val="2"/>
              </w:numPr>
              <w:spacing w:before="55" w:after="55"/>
            </w:pPr>
            <w:r>
              <w:rPr>
                <w:rFonts w:ascii="Arial" w:cs="Arial" w:eastAsia="Arial" w:hAnsi="Arial"/>
                <w:sz w:val="21"/>
                <w:szCs w:val="21"/>
              </w:rPr>
              <w:t xml:space="preserve">Lire des normes DIN en version originale sans traduction</w:t>
            </w:r>
          </w:p>
          <w:p>
            <w:pPr>
              <w:pStyle w:val="ListParagraph"/>
              <w:numPr>
                <w:ilvl w:val="0"/>
                <w:numId w:val="2"/>
              </w:numPr>
              <w:spacing w:before="55" w:after="55"/>
            </w:pPr>
            <w:r>
              <w:rPr>
                <w:rFonts w:ascii="Arial" w:cs="Arial" w:eastAsia="Arial" w:hAnsi="Arial"/>
                <w:sz w:val="21"/>
                <w:szCs w:val="21"/>
              </w:rPr>
              <w:t xml:space="preserve">Communiquer directement avec des ingénieurs de bureau d’études allemands</w:t>
            </w:r>
          </w:p>
          <w:p>
            <w:pPr>
              <w:pStyle w:val="ListParagraph"/>
              <w:numPr>
                <w:ilvl w:val="0"/>
                <w:numId w:val="2"/>
              </w:numPr>
              <w:spacing w:before="55" w:after="55"/>
            </w:pPr>
            <w:r>
              <w:rPr>
                <w:rFonts w:ascii="Arial" w:cs="Arial" w:eastAsia="Arial" w:hAnsi="Arial"/>
                <w:sz w:val="21"/>
                <w:szCs w:val="21"/>
              </w:rPr>
              <w:t xml:space="preserve">Accès à des postes franco-allemands très valorisés (prime salariale réelle)</w:t>
            </w:r>
          </w:p>
          <w:p>
            <w:pPr>
              <w:pStyle w:val="ListParagraph"/>
              <w:numPr>
                <w:ilvl w:val="0"/>
                <w:numId w:val="2"/>
              </w:numPr>
              <w:spacing w:before="55" w:after="55"/>
            </w:pPr>
            <w:r>
              <w:rPr>
                <w:rFonts w:ascii="Arial" w:cs="Arial" w:eastAsia="Arial" w:hAnsi="Arial"/>
                <w:sz w:val="21"/>
                <w:szCs w:val="21"/>
              </w:rPr>
              <w:t xml:space="preserve">Travailler sur des programmes Airbus ou Siemens à double ancrage</w:t>
            </w:r>
          </w:p>
          <w:p>
            <w:pPr>
              <w:pStyle w:val="ListParagraph"/>
              <w:numPr>
                <w:ilvl w:val="0"/>
                <w:numId w:val="2"/>
              </w:numPr>
              <w:spacing w:before="55" w:after="55"/>
            </w:pPr>
            <w:r>
              <w:rPr>
                <w:rFonts w:ascii="Arial" w:cs="Arial" w:eastAsia="Arial" w:hAnsi="Arial"/>
                <w:sz w:val="21"/>
                <w:szCs w:val="21"/>
              </w:rPr>
              <w:t xml:space="preserve">Différenciation unique combinée à la double culture normative ferro+aéro</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7F6000"/>
          <w:sz w:val="34"/>
          <w:szCs w:val="34"/>
        </w:rPr>
        <w:t xml:space="preserve">6.  Les méthodes les plus efficaces — Avec sources</w:t>
      </w:r>
    </w:p>
    <w:p>
      <w:pPr>
        <w:spacing w:before="80" w:after="80"/>
      </w:pPr>
      <w:r>
        <w:rPr>
          <w:rFonts w:ascii="Arial" w:cs="Arial" w:eastAsia="Arial" w:hAnsi="Arial"/>
          <w:sz w:val="21"/>
          <w:szCs w:val="21"/>
        </w:rPr>
        <w:t xml:space="preserve">La recherche en acquisition des langues identifie plusieurs méthodes à haut rendement. Pour un professionnel à temps plein avec peu de temps disponible, l’objectif est de maximiser l’immersion et la répétition espacée.</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500"/>
      </w:tblGrid>
      <w:tr>
        <w:trPr>
          <w:tblHeader/>
        </w:trPr>
        <w:tc>
          <w:tcPr>
            <w:tcW w:type="dxa" w:w="200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Méthode</w:t>
            </w:r>
          </w:p>
        </w:tc>
        <w:tc>
          <w:tcPr>
            <w:tcW w:type="dxa" w:w="370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Pourquoi ça marche</w:t>
            </w:r>
          </w:p>
        </w:tc>
        <w:tc>
          <w:tcPr>
            <w:tcW w:type="dxa" w:w="350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Ressource concrète</w:t>
            </w:r>
          </w:p>
        </w:tc>
      </w:tr>
      <w:tr>
        <w:tc>
          <w:tcPr>
            <w:tcW w:type="dxa" w:w="20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8"/>
                <w:szCs w:val="18"/>
              </w:rPr>
              <w:t xml:space="preserve">Répétition espacée (SRS)</w:t>
            </w:r>
          </w:p>
        </w:tc>
        <w:tc>
          <w:tcPr>
            <w:tcW w:type="dxa" w:w="37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Méthode scientifiquement validée : réviser un mot juste avant de l’oublier. Très efficace pour le vocabulaire technique spécialisé.</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Anki (gratuit, créer ses propres decks techniques) + app Pons / Babbel pour vocabulaire</w:t>
            </w:r>
          </w:p>
        </w:tc>
      </w:tr>
      <w:tr>
        <w:tc>
          <w:tcPr>
            <w:tcW w:type="dxa" w:w="2000"/>
            <w:tcBorders>
              <w:top w:val="single" w:color="BBBBBB" w:sz="6"/>
              <w:left w:val="single" w:color="BBBBBB" w:sz="6"/>
              <w:bottom w:val="single" w:color="BBBBBB" w:sz="6"/>
              <w:right w:val="single" w:color="BBBBBB" w:sz="6"/>
            </w:tcBorders>
            <w:shd w:fill="D6EAF8"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8"/>
                <w:szCs w:val="18"/>
              </w:rPr>
              <w:t xml:space="preserve">Immersion passive quotidienne</w:t>
            </w:r>
          </w:p>
        </w:tc>
        <w:tc>
          <w:tcPr>
            <w:tcW w:type="dxa" w:w="3700"/>
            <w:tcBorders>
              <w:top w:val="single" w:color="BBBBBB" w:sz="6"/>
              <w:left w:val="single" w:color="BBBBBB" w:sz="6"/>
              <w:bottom w:val="single" w:color="BBBBBB" w:sz="6"/>
              <w:right w:val="single" w:color="BBBBBB" w:sz="6"/>
            </w:tcBorders>
            <w:shd w:fill="D6EAF8"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20–30 min/jour de contenu authentique allemand ancre l’accent et les structures. Ne demande pas de concentration active.</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Podcasts DW Langsam gesprochene Nachrichten, ARD Mediathek, télévision allemande. Pour l’industriel : podcasts Siemens, BMW tech.</w:t>
            </w:r>
          </w:p>
        </w:tc>
      </w:tr>
      <w:tr>
        <w:tc>
          <w:tcPr>
            <w:tcW w:type="dxa" w:w="2000"/>
            <w:tcBorders>
              <w:top w:val="single" w:color="BBBBBB" w:sz="6"/>
              <w:left w:val="single" w:color="BBBBBB" w:sz="6"/>
              <w:bottom w:val="single" w:color="BBBBBB" w:sz="6"/>
              <w:right w:val="single" w:color="BBBBBB" w:sz="6"/>
            </w:tcBorders>
            <w:shd w:fill="E2EFDA"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8"/>
                <w:szCs w:val="18"/>
              </w:rPr>
              <w:t xml:space="preserve">Lectures techniques en allemand</w:t>
            </w:r>
          </w:p>
        </w:tc>
        <w:tc>
          <w:tcPr>
            <w:tcW w:type="dxa" w:w="3700"/>
            <w:tcBorders>
              <w:top w:val="single" w:color="BBBBBB" w:sz="6"/>
              <w:left w:val="single" w:color="BBBBBB" w:sz="6"/>
              <w:bottom w:val="single" w:color="BBBBBB" w:sz="6"/>
              <w:right w:val="single" w:color="BBBBBB" w:sz="6"/>
            </w:tcBorders>
            <w:shd w:fill="E2EFDA"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Accélère la maîtrise du vocabulaire professionnel. Un ingénieur connaissant déjà le fond technique acquiert le vocabulaire 2–3x plus vite.</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Documentation fournisseurs (notices Festo, Schunk). Normes DIN disponibles en version bilingue. Wikipedia de en comparant FR↔DE</w:t>
            </w:r>
          </w:p>
        </w:tc>
      </w:tr>
      <w:tr>
        <w:tc>
          <w:tcPr>
            <w:tcW w:type="dxa" w:w="2000"/>
            <w:tcBorders>
              <w:top w:val="single" w:color="BBBBBB" w:sz="6"/>
              <w:left w:val="single" w:color="BBBBBB" w:sz="6"/>
              <w:bottom w:val="single" w:color="BBBBBB" w:sz="6"/>
              <w:right w:val="single" w:color="BBBBBB" w:sz="6"/>
            </w:tcBorders>
            <w:shd w:fill="F4ECF7"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8"/>
                <w:szCs w:val="18"/>
              </w:rPr>
              <w:t xml:space="preserve">Cours structuré avec formateur natif (1h–2h/semaine)</w:t>
            </w:r>
          </w:p>
        </w:tc>
        <w:tc>
          <w:tcPr>
            <w:tcW w:type="dxa" w:w="3700"/>
            <w:tcBorders>
              <w:top w:val="single" w:color="BBBBBB" w:sz="6"/>
              <w:left w:val="single" w:color="BBBBBB" w:sz="6"/>
              <w:bottom w:val="single" w:color="BBBBBB" w:sz="6"/>
              <w:right w:val="single" w:color="BBBBBB" w:sz="6"/>
            </w:tcBorders>
            <w:shd w:fill="F4ECF7"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Maintient une progression régulière, corrige les erreurs d’oral. La correction par un natif est irremplacable pour l’accent et les nuances.</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Goethe-Institut Paris (financement CPF/OPCO), cours en ligne avec Italki ou Preply (formateurs natifs allemands), Espace Lingua</w:t>
            </w:r>
          </w:p>
        </w:tc>
      </w:tr>
      <w:tr>
        <w:tc>
          <w:tcPr>
            <w:tcW w:type="dxa" w:w="2000"/>
            <w:tcBorders>
              <w:top w:val="single" w:color="BBBBBB" w:sz="6"/>
              <w:left w:val="single" w:color="BBBBBB" w:sz="6"/>
              <w:bottom w:val="single" w:color="BBBBBB" w:sz="6"/>
              <w:right w:val="single" w:color="BBBBBB" w:sz="6"/>
            </w:tcBorders>
            <w:shd w:fill="FCE4D6"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8"/>
                <w:szCs w:val="18"/>
              </w:rPr>
              <w:t xml:space="preserve">Shadowing</w:t>
            </w:r>
          </w:p>
        </w:tc>
        <w:tc>
          <w:tcPr>
            <w:tcW w:type="dxa" w:w="3700"/>
            <w:tcBorders>
              <w:top w:val="single" w:color="BBBBBB" w:sz="6"/>
              <w:left w:val="single" w:color="BBBBBB" w:sz="6"/>
              <w:bottom w:val="single" w:color="BBBBBB" w:sz="6"/>
              <w:right w:val="single" w:color="BBBBBB" w:sz="6"/>
            </w:tcBorders>
            <w:shd w:fill="FCE4D6"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Répéter en écho des phrases entendues en allemand : améliore la prononciation et les structures de façon naturelle.</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Disponible sur YouTube avec des vidéos techniques allemandes (Bosch, DW). Dédier 10 min/jour à cet exercice.</w:t>
            </w:r>
          </w:p>
        </w:tc>
      </w:tr>
      <w:tr>
        <w:tc>
          <w:tcPr>
            <w:tcW w:type="dxa" w:w="20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8"/>
                <w:szCs w:val="18"/>
              </w:rPr>
              <w:t xml:space="preserve">Jeux et interactivité (maintien de la motivation)</w:t>
            </w:r>
          </w:p>
        </w:tc>
        <w:tc>
          <w:tcPr>
            <w:tcW w:type="dxa" w:w="37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La gamification maintient la discipline au-delà des 3 premiers mois, qui sont critiques. Ne doit pas remplacer les méthodes principales.</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Duolingo (complément seulement), Lingua Attack (plateforme avec extraits de séries), jeux vidéos en allem.</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7F6000"/>
          <w:sz w:val="34"/>
          <w:szCs w:val="34"/>
        </w:rPr>
        <w:t xml:space="preserve">7.  Formations financées par l’employeur — Dispositifs vérifiés</w:t>
      </w:r>
    </w:p>
    <w:p>
      <w:pPr>
        <w:spacing w:before="80" w:after="80"/>
      </w:pPr>
      <w:r>
        <w:rPr>
          <w:rFonts w:ascii="Arial" w:cs="Arial" w:eastAsia="Arial" w:hAnsi="Arial"/>
          <w:sz w:val="21"/>
          <w:szCs w:val="21"/>
        </w:rPr>
        <w:t xml:space="preserve">La formation en langue étrangère à vocation professionnelle est financiçable par l’employeur via plusieurs dispositifs. L’entreprise relevant du secteur de la métallurgie (NAF 30.30Z) dépend de l’OPCO 2i.</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450"/>
        <w:gridCol w:w="2450"/>
      </w:tblGrid>
      <w:tr>
        <w:trPr>
          <w:tblHeader/>
        </w:trPr>
        <w:tc>
          <w:tcPr>
            <w:tcW w:type="dxa" w:w="1800"/>
            <w:tcBorders>
              <w:top w:val="single" w:color="777777" w:sz="6"/>
              <w:left w:val="single" w:color="777777" w:sz="6"/>
              <w:bottom w:val="single" w:color="777777" w:sz="6"/>
              <w:right w:val="single" w:color="777777" w:sz="6"/>
            </w:tcBorders>
            <w:shd w:fill="7F6000"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Dispositif</w:t>
            </w:r>
          </w:p>
        </w:tc>
        <w:tc>
          <w:tcPr>
            <w:tcW w:type="dxa" w:w="2500"/>
            <w:tcBorders>
              <w:top w:val="single" w:color="777777" w:sz="6"/>
              <w:left w:val="single" w:color="777777" w:sz="6"/>
              <w:bottom w:val="single" w:color="777777" w:sz="6"/>
              <w:right w:val="single" w:color="777777" w:sz="6"/>
            </w:tcBorders>
            <w:shd w:fill="7F6000"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Principe</w:t>
            </w:r>
          </w:p>
        </w:tc>
        <w:tc>
          <w:tcPr>
            <w:tcW w:type="dxa" w:w="2450"/>
            <w:tcBorders>
              <w:top w:val="single" w:color="777777" w:sz="6"/>
              <w:left w:val="single" w:color="777777" w:sz="6"/>
              <w:bottom w:val="single" w:color="777777" w:sz="6"/>
              <w:right w:val="single" w:color="777777" w:sz="6"/>
            </w:tcBorders>
            <w:shd w:fill="7F6000"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Montant / conditions</w:t>
            </w:r>
          </w:p>
        </w:tc>
        <w:tc>
          <w:tcPr>
            <w:tcW w:type="dxa" w:w="2450"/>
            <w:tcBorders>
              <w:top w:val="single" w:color="777777" w:sz="6"/>
              <w:left w:val="single" w:color="777777" w:sz="6"/>
              <w:bottom w:val="single" w:color="777777" w:sz="6"/>
              <w:right w:val="single" w:color="777777" w:sz="6"/>
            </w:tcBorders>
            <w:shd w:fill="7F6000"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Organisme</w:t>
            </w:r>
          </w:p>
        </w:tc>
      </w:tr>
      <w:tr>
        <w:tc>
          <w:tcPr>
            <w:tcW w:type="dxa" w:w="1800"/>
            <w:tcBorders>
              <w:top w:val="single" w:color="BBBBBB" w:sz="6"/>
              <w:left w:val="single" w:color="BBBBBB" w:sz="6"/>
              <w:bottom w:val="single" w:color="BBBBBB" w:sz="6"/>
              <w:right w:val="single" w:color="BBBBBB" w:sz="6"/>
            </w:tcBorders>
            <w:shd w:fill="FFF8E1"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7"/>
                <w:szCs w:val="17"/>
              </w:rPr>
              <w:t xml:space="preserve">Plan de développement des compétences</w:t>
            </w:r>
          </w:p>
        </w:tc>
        <w:tc>
          <w:tcPr>
            <w:tcW w:type="dxa" w:w="2500"/>
            <w:tcBorders>
              <w:top w:val="single" w:color="BBBBBB" w:sz="6"/>
              <w:left w:val="single" w:color="BBBBBB" w:sz="6"/>
              <w:bottom w:val="single" w:color="BBBBBB" w:sz="6"/>
              <w:right w:val="single" w:color="BBBBBB" w:sz="6"/>
            </w:tcBorders>
            <w:shd w:fill="FFF8E1"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L’employeur finance directement la formation. Le plus direct — à inscrire dans le contrat ou à demander à la RH.</w:t>
            </w:r>
          </w:p>
        </w:tc>
        <w:tc>
          <w:tcPr>
            <w:tcW w:type="dxa" w:w="24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6"/>
                <w:szCs w:val="16"/>
              </w:rPr>
              <w:t xml:space="preserve">Pris en charge à 100 % par l’entreprise. Pas de plafond fixé par la loi.</w:t>
            </w:r>
          </w:p>
        </w:tc>
        <w:tc>
          <w:tcPr>
            <w:tcW w:type="dxa" w:w="245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1A1A1A"/>
                <w:sz w:val="16"/>
                <w:szCs w:val="16"/>
              </w:rPr>
              <w:t xml:space="preserve">Votre entreprise via OPCO 2i (métallurgie). Démarche RH interne.</w:t>
            </w:r>
          </w:p>
        </w:tc>
      </w:tr>
      <w:tr>
        <w:tc>
          <w:tcPr>
            <w:tcW w:type="dxa" w:w="1800"/>
            <w:tcBorders>
              <w:top w:val="single" w:color="BBBBBB" w:sz="6"/>
              <w:left w:val="single" w:color="BBBBBB" w:sz="6"/>
              <w:bottom w:val="single" w:color="BBBBBB" w:sz="6"/>
              <w:right w:val="single" w:color="BBBBBB" w:sz="6"/>
            </w:tcBorders>
            <w:shd w:fill="E2EFDA"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7"/>
                <w:szCs w:val="17"/>
              </w:rPr>
              <w:t xml:space="preserve">OPCO 2i (métallurgie)</w:t>
            </w:r>
          </w:p>
        </w:tc>
        <w:tc>
          <w:tcPr>
            <w:tcW w:type="dxa" w:w="2500"/>
            <w:tcBorders>
              <w:top w:val="single" w:color="BBBBBB" w:sz="6"/>
              <w:left w:val="single" w:color="BBBBBB" w:sz="6"/>
              <w:bottom w:val="single" w:color="BBBBBB" w:sz="6"/>
              <w:right w:val="single" w:color="BBBBBB" w:sz="6"/>
            </w:tcBorders>
            <w:shd w:fill="E2EFDA"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Financement des formations pour PME de la métallurgie. L’entreprise soumet un plan de formation.</w:t>
            </w:r>
          </w:p>
        </w:tc>
        <w:tc>
          <w:tcPr>
            <w:tcW w:type="dxa" w:w="24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6"/>
                <w:szCs w:val="16"/>
              </w:rPr>
              <w:t xml:space="preserve">&lt; 11 salariés : 1 400 €/an/salarié. 11–49 : 2 100 €/an. Au-delà : variable selon accord de branche.</w:t>
            </w:r>
          </w:p>
        </w:tc>
        <w:tc>
          <w:tcPr>
            <w:tcW w:type="dxa" w:w="245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1A1A1A"/>
                <w:sz w:val="16"/>
                <w:szCs w:val="16"/>
              </w:rPr>
              <w:t xml:space="preserve">OPCO 2i — opco2i.fr. Le contrat IDCC 3248 relève de cet OPCO.</w:t>
            </w:r>
          </w:p>
        </w:tc>
      </w:tr>
      <w:tr>
        <w:tc>
          <w:tcPr>
            <w:tcW w:type="dxa" w:w="18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7"/>
                <w:szCs w:val="17"/>
              </w:rPr>
              <w:t xml:space="preserve">CPF (Compte Personnel de Formation)</w:t>
            </w:r>
          </w:p>
        </w:tc>
        <w:tc>
          <w:tcPr>
            <w:tcW w:type="dxa" w:w="25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Droit individuel du salarié. Peut financer un cours d’allemand certifiant (CLOE). Depuis 2025 : reste à charge de 102,23 € sauf si l’employeur abonde.</w:t>
            </w:r>
          </w:p>
        </w:tc>
        <w:tc>
          <w:tcPr>
            <w:tcW w:type="dxa" w:w="24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6"/>
                <w:szCs w:val="16"/>
              </w:rPr>
              <w:t xml:space="preserve">500 €/an, plafonné à 5 000 €. Participation forfaitaire 102,23 € (2025). L’employeur peut abonder.</w:t>
            </w:r>
          </w:p>
        </w:tc>
        <w:tc>
          <w:tcPr>
            <w:tcW w:type="dxa" w:w="245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1A1A1A"/>
                <w:sz w:val="16"/>
                <w:szCs w:val="16"/>
              </w:rPr>
              <w:t xml:space="preserve">moncompteformation.gouv.fr. Goethe-Institut Paris : cours CPF/OPCO avec certification CLOE.</w:t>
            </w:r>
          </w:p>
        </w:tc>
      </w:tr>
      <w:tr>
        <w:tc>
          <w:tcPr>
            <w:tcW w:type="dxa" w:w="1800"/>
            <w:tcBorders>
              <w:top w:val="single" w:color="BBBBBB" w:sz="6"/>
              <w:left w:val="single" w:color="BBBBBB" w:sz="6"/>
              <w:bottom w:val="single" w:color="BBBBBB" w:sz="6"/>
              <w:right w:val="single" w:color="BBBBBB" w:sz="6"/>
            </w:tcBorders>
            <w:shd w:fill="F4ECF7"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7"/>
                <w:szCs w:val="17"/>
              </w:rPr>
              <w:t xml:space="preserve">Abondement CPF par l’employeur</w:t>
            </w:r>
          </w:p>
        </w:tc>
        <w:tc>
          <w:tcPr>
            <w:tcW w:type="dxa" w:w="2500"/>
            <w:tcBorders>
              <w:top w:val="single" w:color="BBBBBB" w:sz="6"/>
              <w:left w:val="single" w:color="BBBBBB" w:sz="6"/>
              <w:bottom w:val="single" w:color="BBBBBB" w:sz="6"/>
              <w:right w:val="single" w:color="BBBBBB" w:sz="6"/>
            </w:tcBorders>
            <w:shd w:fill="F4ECF7"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L’employeur complète les droits CPF du salarié pour financer une formation dans l’intérêt de l’entreprise. À négocier au contrat.</w:t>
            </w:r>
          </w:p>
        </w:tc>
        <w:tc>
          <w:tcPr>
            <w:tcW w:type="dxa" w:w="24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6"/>
                <w:szCs w:val="16"/>
              </w:rPr>
              <w:t xml:space="preserve">L’employeur verse directement sur le CPF. Montant libre, à négocier lors de la prise de poste ou de la revoyure.</w:t>
            </w:r>
          </w:p>
        </w:tc>
        <w:tc>
          <w:tcPr>
            <w:tcW w:type="dxa" w:w="245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1A1A1A"/>
                <w:sz w:val="16"/>
                <w:szCs w:val="16"/>
              </w:rPr>
              <w:t xml:space="preserve">À demander explicitement à l’employeur. Aucun texte ne l’interdit.</w:t>
            </w:r>
          </w:p>
        </w:tc>
      </w:tr>
      <w:tr>
        <w:tc>
          <w:tcPr>
            <w:tcW w:type="dxa" w:w="1800"/>
            <w:tcBorders>
              <w:top w:val="single" w:color="BBBBBB" w:sz="6"/>
              <w:left w:val="single" w:color="BBBBBB" w:sz="6"/>
              <w:bottom w:val="single" w:color="BBBBBB" w:sz="6"/>
              <w:right w:val="single" w:color="BBBBBB" w:sz="6"/>
            </w:tcBorders>
            <w:shd w:fill="FFF8E1" w:val="clear"/>
            <w:tcMar>
              <w:top w:type="dxa" w:w="80"/>
              <w:left w:type="dxa" w:w="110"/>
              <w:bottom w:type="dxa" w:w="80"/>
              <w:right w:type="dxa" w:w="110"/>
            </w:tcMar>
            <w:vAlign w:val="top"/>
          </w:tcPr>
          <w:p>
            <w:pPr>
              <w:jc w:val="left"/>
            </w:pPr>
            <w:r>
              <w:rPr>
                <w:rFonts w:ascii="Arial" w:cs="Arial" w:eastAsia="Arial" w:hAnsi="Arial"/>
                <w:b/>
                <w:bCs/>
                <w:i w:val="false"/>
                <w:iCs w:val="false"/>
                <w:color w:val="1A1A1A"/>
                <w:sz w:val="17"/>
                <w:szCs w:val="17"/>
              </w:rPr>
              <w:t xml:space="preserve">Goethe-Institut Paris</w:t>
            </w:r>
          </w:p>
        </w:tc>
        <w:tc>
          <w:tcPr>
            <w:tcW w:type="dxa" w:w="2500"/>
            <w:tcBorders>
              <w:top w:val="single" w:color="BBBBBB" w:sz="6"/>
              <w:left w:val="single" w:color="BBBBBB" w:sz="6"/>
              <w:bottom w:val="single" w:color="BBBBBB" w:sz="6"/>
              <w:right w:val="single" w:color="BBBBBB" w:sz="6"/>
            </w:tcBorders>
            <w:shd w:fill="FFF8E1"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Cours d’allemand en groupes ou individuels, financement via CPF, OPCO ou plan de formation. Certification CLOE reconnue.</w:t>
            </w:r>
          </w:p>
        </w:tc>
        <w:tc>
          <w:tcPr>
            <w:tcW w:type="dxa" w:w="245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6"/>
                <w:szCs w:val="16"/>
              </w:rPr>
              <w:t xml:space="preserve">Frais administratifs : 250 €. Certification CLOE : 120 €. Cours financementés via OPCO avec subrogation possible.</w:t>
            </w:r>
          </w:p>
        </w:tc>
        <w:tc>
          <w:tcPr>
            <w:tcW w:type="dxa" w:w="245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iCs/>
                <w:color w:val="1A1A1A"/>
                <w:sz w:val="16"/>
                <w:szCs w:val="16"/>
              </w:rPr>
              <w:t xml:space="preserve">goethe.de/fr/paris. Certification CLOE : reconnue par les OPCO comme justificatif de compétence.</w:t>
            </w:r>
          </w:p>
        </w:tc>
      </w:tr>
    </w:tbl>
    <w:p>
      <w:pPr>
        <w:spacing w:before="4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6"/>
              <w:left w:val="single" w:color="C55A11" w:sz="6"/>
              <w:bottom w:val="single" w:color="C55A11" w:sz="6"/>
              <w:right w:val="single" w:color="C55A11" w:sz="6"/>
            </w:tcBorders>
            <w:shd w:fill="FCE4D6" w:val="clear"/>
            <w:tcMar>
              <w:top w:type="dxa" w:w="90"/>
              <w:left w:type="dxa" w:w="150"/>
              <w:bottom w:type="dxa" w:w="90"/>
              <w:right w:type="dxa" w:w="150"/>
            </w:tcMar>
          </w:tcPr>
          <w:p>
            <w:pPr>
              <w:spacing w:before="0" w:after="50"/>
            </w:pPr>
            <w:r>
              <w:rPr>
                <w:rFonts w:ascii="Arial" w:cs="Arial" w:eastAsia="Arial" w:hAnsi="Arial"/>
                <w:b/>
                <w:bCs/>
                <w:color w:val="C55A11"/>
                <w:sz w:val="20"/>
                <w:szCs w:val="20"/>
              </w:rPr>
              <w:t xml:space="preserve">⚠️  Point de vérification : certification CLOE</w:t>
            </w:r>
          </w:p>
          <w:p>
            <w:r>
              <w:rPr>
                <w:rFonts w:ascii="Arial" w:cs="Arial" w:eastAsia="Arial" w:hAnsi="Arial"/>
                <w:color w:val="1A1A1A"/>
                <w:sz w:val="20"/>
                <w:szCs w:val="20"/>
              </w:rPr>
              <w:t xml:space="preserve">La certification CLOE (Certificat de compétences en Langue de l’Enseignement Supérieur) est la certification de référence demandée par de nombreux OPCO pour valider une formation en langue étrangère. Le Goethe-Institut Paris la délivre. Pour une formation financée par un OPCO, la certification CLOE est souvent exigée dans les 3 semaines suivant la formation. Coût : 120 €. Assurez-vous que votre formation inclut cette certification.</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7F6000"/>
          <w:sz w:val="34"/>
          <w:szCs w:val="34"/>
        </w:rPr>
        <w:t xml:space="preserve">8.  Plan d’apprentissage autodidacte 6–12 mois — Ingénieur à plein temps</w:t>
      </w:r>
    </w:p>
    <w:p>
      <w:pPr>
        <w:spacing w:before="80" w:after="80"/>
      </w:pPr>
      <w:r>
        <w:rPr>
          <w:rFonts w:ascii="Arial" w:cs="Arial" w:eastAsia="Arial" w:hAnsi="Arial"/>
          <w:sz w:val="21"/>
          <w:szCs w:val="21"/>
        </w:rPr>
        <w:t xml:space="preserve">Ce plan suppose un niveau de départ de zéro ou très faible (A1). Il est conçu pour un professionnel à plein temps avec 45–60 minutes par jour disponibles, réparties sur les transports, les pauses et les soirées. L’objectif final : niveau B1 professionnel technique en 12 mois.</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400"/>
        <w:gridCol w:w="3100"/>
        <w:gridCol w:w="1500"/>
      </w:tblGrid>
      <w:tr>
        <w:trPr>
          <w:tblHeader/>
        </w:trPr>
        <w:tc>
          <w:tcPr>
            <w:tcW w:type="dxa" w:w="120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Période</w:t>
            </w:r>
          </w:p>
        </w:tc>
        <w:tc>
          <w:tcPr>
            <w:tcW w:type="dxa" w:w="100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Niveau cible</w:t>
            </w:r>
          </w:p>
        </w:tc>
        <w:tc>
          <w:tcPr>
            <w:tcW w:type="dxa" w:w="240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Objectif</w:t>
            </w:r>
          </w:p>
        </w:tc>
        <w:tc>
          <w:tcPr>
            <w:tcW w:type="dxa" w:w="310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Activités quotidiennes</w:t>
            </w:r>
          </w:p>
        </w:tc>
        <w:tc>
          <w:tcPr>
            <w:tcW w:type="dxa" w:w="1500"/>
            <w:tcBorders>
              <w:top w:val="single" w:color="777777" w:sz="6"/>
              <w:left w:val="single" w:color="777777" w:sz="6"/>
              <w:bottom w:val="single" w:color="777777" w:sz="6"/>
              <w:right w:val="single" w:color="777777" w:sz="6"/>
            </w:tcBorders>
            <w:shd w:fill="1F4E79"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Temps/jour</w:t>
            </w:r>
          </w:p>
        </w:tc>
      </w:tr>
      <w:tr>
        <w:tc>
          <w:tcPr>
            <w:tcW w:type="dxa" w:w="1200"/>
            <w:tcBorders>
              <w:top w:val="single" w:color="BBBBBB" w:sz="6"/>
              <w:left w:val="single" w:color="BBBBBB" w:sz="6"/>
              <w:bottom w:val="single" w:color="BBBBBB" w:sz="6"/>
              <w:right w:val="single" w:color="BBBBBB" w:sz="6"/>
            </w:tcBorders>
            <w:shd w:fill="375623"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Mois 1–2</w:t>
            </w:r>
          </w:p>
        </w:tc>
        <w:tc>
          <w:tcPr>
            <w:tcW w:type="dxa" w:w="1000"/>
            <w:tcBorders>
              <w:top w:val="single" w:color="BBBBBB" w:sz="6"/>
              <w:left w:val="single" w:color="BBBBBB" w:sz="6"/>
              <w:bottom w:val="single" w:color="BBBBBB" w:sz="6"/>
              <w:right w:val="single" w:color="BBBBBB" w:sz="6"/>
            </w:tcBorders>
            <w:shd w:fill="E2EFDA" w:val="clear"/>
            <w:tcMar>
              <w:top w:type="dxa" w:w="80"/>
              <w:left w:type="dxa" w:w="110"/>
              <w:bottom w:type="dxa" w:w="80"/>
              <w:right w:type="dxa" w:w="110"/>
            </w:tcMar>
            <w:vAlign w:val="top"/>
          </w:tcPr>
          <w:p>
            <w:pPr>
              <w:jc w:val="center"/>
            </w:pPr>
            <w:r>
              <w:rPr>
                <w:rFonts w:ascii="Arial" w:cs="Arial" w:eastAsia="Arial" w:hAnsi="Arial"/>
                <w:b/>
                <w:bCs/>
                <w:i w:val="false"/>
                <w:iCs w:val="false"/>
                <w:color w:val="1F3864"/>
                <w:sz w:val="17"/>
                <w:szCs w:val="17"/>
              </w:rPr>
              <w:t xml:space="preserve">A1→A2</w:t>
            </w:r>
          </w:p>
        </w:tc>
        <w:tc>
          <w:tcPr>
            <w:tcW w:type="dxa" w:w="24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Bases solides : alphabet, prononc., structures de base</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15 min Anki (400 mots) • 15 min Duolingo ou Babbel • 20 min écoute DW Langsam • Flashcards vocabulaire mécanique (vis, écrou, palier, jeu…)</w:t>
            </w:r>
          </w:p>
        </w:tc>
        <w:tc>
          <w:tcPr>
            <w:tcW w:type="dxa" w:w="15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center"/>
            </w:pPr>
            <w:r>
              <w:rPr>
                <w:rFonts w:ascii="Arial" w:cs="Arial" w:eastAsia="Arial" w:hAnsi="Arial"/>
                <w:b/>
                <w:bCs/>
                <w:i w:val="false"/>
                <w:iCs w:val="false"/>
                <w:color w:val="375623"/>
                <w:sz w:val="17"/>
                <w:szCs w:val="17"/>
              </w:rPr>
              <w:t xml:space="preserve">50 min/j</w:t>
            </w:r>
          </w:p>
        </w:tc>
      </w:tr>
      <w:tr>
        <w:tc>
          <w:tcPr>
            <w:tcW w:type="dxa" w:w="1200"/>
            <w:tcBorders>
              <w:top w:val="single" w:color="BBBBBB" w:sz="6"/>
              <w:left w:val="single" w:color="BBBBBB" w:sz="6"/>
              <w:bottom w:val="single" w:color="BBBBBB" w:sz="6"/>
              <w:right w:val="single" w:color="BBBBBB" w:sz="6"/>
            </w:tcBorders>
            <w:shd w:fill="375623"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Mois 3–4</w:t>
            </w:r>
          </w:p>
        </w:tc>
        <w:tc>
          <w:tcPr>
            <w:tcW w:type="dxa" w:w="1000"/>
            <w:tcBorders>
              <w:top w:val="single" w:color="BBBBBB" w:sz="6"/>
              <w:left w:val="single" w:color="BBBBBB" w:sz="6"/>
              <w:bottom w:val="single" w:color="BBBBBB" w:sz="6"/>
              <w:right w:val="single" w:color="BBBBBB" w:sz="6"/>
            </w:tcBorders>
            <w:shd w:fill="E2EFDA" w:val="clear"/>
            <w:tcMar>
              <w:top w:type="dxa" w:w="80"/>
              <w:left w:type="dxa" w:w="110"/>
              <w:bottom w:type="dxa" w:w="80"/>
              <w:right w:type="dxa" w:w="110"/>
            </w:tcMar>
            <w:vAlign w:val="top"/>
          </w:tcPr>
          <w:p>
            <w:pPr>
              <w:jc w:val="center"/>
            </w:pPr>
            <w:r>
              <w:rPr>
                <w:rFonts w:ascii="Arial" w:cs="Arial" w:eastAsia="Arial" w:hAnsi="Arial"/>
                <w:b/>
                <w:bCs/>
                <w:i w:val="false"/>
                <w:iCs w:val="false"/>
                <w:color w:val="1F3864"/>
                <w:sz w:val="17"/>
                <w:szCs w:val="17"/>
              </w:rPr>
              <w:t xml:space="preserve">A2</w:t>
            </w:r>
          </w:p>
        </w:tc>
        <w:tc>
          <w:tcPr>
            <w:tcW w:type="dxa" w:w="24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Grammaire essentielle + vocabulaire technique de base</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20 min Anki (800 mots) • 20 min lecture d’un texte technique all. (notice Festo, Wikipedia DE) • 10 min shadowing • 1h/sem cours Goethe ou Italki</w:t>
            </w:r>
          </w:p>
        </w:tc>
        <w:tc>
          <w:tcPr>
            <w:tcW w:type="dxa" w:w="15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center"/>
            </w:pPr>
            <w:r>
              <w:rPr>
                <w:rFonts w:ascii="Arial" w:cs="Arial" w:eastAsia="Arial" w:hAnsi="Arial"/>
                <w:b/>
                <w:bCs/>
                <w:i w:val="false"/>
                <w:iCs w:val="false"/>
                <w:color w:val="375623"/>
                <w:sz w:val="17"/>
                <w:szCs w:val="17"/>
              </w:rPr>
              <w:t xml:space="preserve">50 min/j</w:t>
            </w:r>
          </w:p>
        </w:tc>
      </w:tr>
      <w:tr>
        <w:tc>
          <w:tcPr>
            <w:tcW w:type="dxa" w:w="1200"/>
            <w:tcBorders>
              <w:top w:val="single" w:color="BBBBBB" w:sz="6"/>
              <w:left w:val="single" w:color="BBBBBB" w:sz="6"/>
              <w:bottom w:val="single" w:color="BBBBBB" w:sz="6"/>
              <w:right w:val="single" w:color="BBBBBB" w:sz="6"/>
            </w:tcBorders>
            <w:shd w:fill="7F6000"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Mois 5–6</w:t>
            </w:r>
          </w:p>
        </w:tc>
        <w:tc>
          <w:tcPr>
            <w:tcW w:type="dxa" w:w="1000"/>
            <w:tcBorders>
              <w:top w:val="single" w:color="BBBBBB" w:sz="6"/>
              <w:left w:val="single" w:color="BBBBBB" w:sz="6"/>
              <w:bottom w:val="single" w:color="BBBBBB" w:sz="6"/>
              <w:right w:val="single" w:color="BBBBBB" w:sz="6"/>
            </w:tcBorders>
            <w:shd w:fill="FFF8E1" w:val="clear"/>
            <w:tcMar>
              <w:top w:type="dxa" w:w="80"/>
              <w:left w:type="dxa" w:w="110"/>
              <w:bottom w:type="dxa" w:w="80"/>
              <w:right w:type="dxa" w:w="110"/>
            </w:tcMar>
            <w:vAlign w:val="top"/>
          </w:tcPr>
          <w:p>
            <w:pPr>
              <w:jc w:val="center"/>
            </w:pPr>
            <w:r>
              <w:rPr>
                <w:rFonts w:ascii="Arial" w:cs="Arial" w:eastAsia="Arial" w:hAnsi="Arial"/>
                <w:b/>
                <w:bCs/>
                <w:i w:val="false"/>
                <w:iCs w:val="false"/>
                <w:color w:val="1F3864"/>
                <w:sz w:val="17"/>
                <w:szCs w:val="17"/>
              </w:rPr>
              <w:t xml:space="preserve">A2+</w:t>
            </w:r>
          </w:p>
        </w:tc>
        <w:tc>
          <w:tcPr>
            <w:tcW w:type="dxa" w:w="24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Compréhension de plans et termes DIN</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Exercice : lire un plan d’une pièce Bosch ou Festo en all. • Flashcards spécifiques : tolérances, usinages, matériaux • 15 min shadowing • 1h/sem cours</w:t>
            </w:r>
          </w:p>
        </w:tc>
        <w:tc>
          <w:tcPr>
            <w:tcW w:type="dxa" w:w="15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center"/>
            </w:pPr>
            <w:r>
              <w:rPr>
                <w:rFonts w:ascii="Arial" w:cs="Arial" w:eastAsia="Arial" w:hAnsi="Arial"/>
                <w:b/>
                <w:bCs/>
                <w:i w:val="false"/>
                <w:iCs w:val="false"/>
                <w:color w:val="7F6000"/>
                <w:sz w:val="17"/>
                <w:szCs w:val="17"/>
              </w:rPr>
              <w:t xml:space="preserve">60 min/j</w:t>
            </w:r>
          </w:p>
        </w:tc>
      </w:tr>
      <w:tr>
        <w:tc>
          <w:tcPr>
            <w:tcW w:type="dxa" w:w="1200"/>
            <w:tcBorders>
              <w:top w:val="single" w:color="BBBBBB" w:sz="6"/>
              <w:left w:val="single" w:color="BBBBBB" w:sz="6"/>
              <w:bottom w:val="single" w:color="BBBBBB" w:sz="6"/>
              <w:right w:val="single" w:color="BBBBBB" w:sz="6"/>
            </w:tcBorders>
            <w:shd w:fill="7F6000"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Mois 7–8</w:t>
            </w:r>
          </w:p>
        </w:tc>
        <w:tc>
          <w:tcPr>
            <w:tcW w:type="dxa" w:w="1000"/>
            <w:tcBorders>
              <w:top w:val="single" w:color="BBBBBB" w:sz="6"/>
              <w:left w:val="single" w:color="BBBBBB" w:sz="6"/>
              <w:bottom w:val="single" w:color="BBBBBB" w:sz="6"/>
              <w:right w:val="single" w:color="BBBBBB" w:sz="6"/>
            </w:tcBorders>
            <w:shd w:fill="FFF8E1" w:val="clear"/>
            <w:tcMar>
              <w:top w:type="dxa" w:w="80"/>
              <w:left w:type="dxa" w:w="110"/>
              <w:bottom w:type="dxa" w:w="80"/>
              <w:right w:type="dxa" w:w="110"/>
            </w:tcMar>
            <w:vAlign w:val="top"/>
          </w:tcPr>
          <w:p>
            <w:pPr>
              <w:jc w:val="center"/>
            </w:pPr>
            <w:r>
              <w:rPr>
                <w:rFonts w:ascii="Arial" w:cs="Arial" w:eastAsia="Arial" w:hAnsi="Arial"/>
                <w:b/>
                <w:bCs/>
                <w:i w:val="false"/>
                <w:iCs w:val="false"/>
                <w:color w:val="1F3864"/>
                <w:sz w:val="17"/>
                <w:szCs w:val="17"/>
              </w:rPr>
              <w:t xml:space="preserve">B1</w:t>
            </w:r>
          </w:p>
        </w:tc>
        <w:tc>
          <w:tcPr>
            <w:tcW w:type="dxa" w:w="24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Lecture et compréhension de normes DIN</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Lire 1 page de norme DIN/semaine (ex. : DIN ISO 286) avec dictionnaire • Anki 15 min • DW actualités 15 min • 1h/sem cours axé technique</w:t>
            </w:r>
          </w:p>
        </w:tc>
        <w:tc>
          <w:tcPr>
            <w:tcW w:type="dxa" w:w="15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center"/>
            </w:pPr>
            <w:r>
              <w:rPr>
                <w:rFonts w:ascii="Arial" w:cs="Arial" w:eastAsia="Arial" w:hAnsi="Arial"/>
                <w:b/>
                <w:bCs/>
                <w:i w:val="false"/>
                <w:iCs w:val="false"/>
                <w:color w:val="7F6000"/>
                <w:sz w:val="17"/>
                <w:szCs w:val="17"/>
              </w:rPr>
              <w:t xml:space="preserve">60 min/j</w:t>
            </w:r>
          </w:p>
        </w:tc>
      </w:tr>
      <w:tr>
        <w:tc>
          <w:tcPr>
            <w:tcW w:type="dxa" w:w="1200"/>
            <w:tcBorders>
              <w:top w:val="single" w:color="BBBBBB" w:sz="6"/>
              <w:left w:val="single" w:color="BBBBBB" w:sz="6"/>
              <w:bottom w:val="single" w:color="BBBBBB" w:sz="6"/>
              <w:right w:val="single" w:color="BBBBBB" w:sz="6"/>
            </w:tcBorders>
            <w:shd w:fill="2E75B6"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Mois 9–10</w:t>
            </w:r>
          </w:p>
        </w:tc>
        <w:tc>
          <w:tcPr>
            <w:tcW w:type="dxa" w:w="10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center"/>
            </w:pPr>
            <w:r>
              <w:rPr>
                <w:rFonts w:ascii="Arial" w:cs="Arial" w:eastAsia="Arial" w:hAnsi="Arial"/>
                <w:b/>
                <w:bCs/>
                <w:i w:val="false"/>
                <w:iCs w:val="false"/>
                <w:color w:val="1F3864"/>
                <w:sz w:val="17"/>
                <w:szCs w:val="17"/>
              </w:rPr>
              <w:t xml:space="preserve">B1</w:t>
            </w:r>
          </w:p>
        </w:tc>
        <w:tc>
          <w:tcPr>
            <w:tcW w:type="dxa" w:w="24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Échange professionnel basique + email technique</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Écriture d’un email technique en all. (objet : devis pièce, non-conformité…) • Correction par formateur 1h/sem • Lecture complète d’une fiche technique all.</w:t>
            </w:r>
          </w:p>
        </w:tc>
        <w:tc>
          <w:tcPr>
            <w:tcW w:type="dxa" w:w="15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center"/>
            </w:pPr>
            <w:r>
              <w:rPr>
                <w:rFonts w:ascii="Arial" w:cs="Arial" w:eastAsia="Arial" w:hAnsi="Arial"/>
                <w:b/>
                <w:bCs/>
                <w:i w:val="false"/>
                <w:iCs w:val="false"/>
                <w:color w:val="2E75B6"/>
                <w:sz w:val="17"/>
                <w:szCs w:val="17"/>
              </w:rPr>
              <w:t xml:space="preserve">60 min/j</w:t>
            </w:r>
          </w:p>
        </w:tc>
      </w:tr>
      <w:tr>
        <w:tc>
          <w:tcPr>
            <w:tcW w:type="dxa" w:w="1200"/>
            <w:tcBorders>
              <w:top w:val="single" w:color="BBBBBB" w:sz="6"/>
              <w:left w:val="single" w:color="BBBBBB" w:sz="6"/>
              <w:bottom w:val="single" w:color="BBBBBB" w:sz="6"/>
              <w:right w:val="single" w:color="BBBBBB" w:sz="6"/>
            </w:tcBorders>
            <w:shd w:fill="2E75B6" w:val="clear"/>
            <w:tcMar>
              <w:top w:type="dxa" w:w="80"/>
              <w:left w:type="dxa" w:w="110"/>
              <w:bottom w:type="dxa" w:w="80"/>
              <w:right w:type="dxa" w:w="110"/>
            </w:tcMar>
            <w:vAlign w:val="top"/>
          </w:tcPr>
          <w:p>
            <w:pPr>
              <w:jc w:val="center"/>
            </w:pPr>
            <w:r>
              <w:rPr>
                <w:rFonts w:ascii="Arial" w:cs="Arial" w:eastAsia="Arial" w:hAnsi="Arial"/>
                <w:b/>
                <w:bCs/>
                <w:i w:val="false"/>
                <w:iCs w:val="false"/>
                <w:color w:val="FFFFFF"/>
                <w:sz w:val="18"/>
                <w:szCs w:val="18"/>
              </w:rPr>
              <w:t xml:space="preserve">Mois 11–12</w:t>
            </w:r>
          </w:p>
        </w:tc>
        <w:tc>
          <w:tcPr>
            <w:tcW w:type="dxa" w:w="1000"/>
            <w:tcBorders>
              <w:top w:val="single" w:color="BBBBBB" w:sz="6"/>
              <w:left w:val="single" w:color="BBBBBB" w:sz="6"/>
              <w:bottom w:val="single" w:color="BBBBBB" w:sz="6"/>
              <w:right w:val="single" w:color="BBBBBB" w:sz="6"/>
            </w:tcBorders>
            <w:shd w:fill="DEEAF1" w:val="clear"/>
            <w:tcMar>
              <w:top w:type="dxa" w:w="80"/>
              <w:left w:type="dxa" w:w="110"/>
              <w:bottom w:type="dxa" w:w="80"/>
              <w:right w:type="dxa" w:w="110"/>
            </w:tcMar>
            <w:vAlign w:val="top"/>
          </w:tcPr>
          <w:p>
            <w:pPr>
              <w:jc w:val="center"/>
            </w:pPr>
            <w:r>
              <w:rPr>
                <w:rFonts w:ascii="Arial" w:cs="Arial" w:eastAsia="Arial" w:hAnsi="Arial"/>
                <w:b/>
                <w:bCs/>
                <w:i w:val="false"/>
                <w:iCs w:val="false"/>
                <w:color w:val="1F3864"/>
                <w:sz w:val="17"/>
                <w:szCs w:val="17"/>
              </w:rPr>
              <w:t xml:space="preserve">B1+</w:t>
            </w:r>
          </w:p>
        </w:tc>
        <w:tc>
          <w:tcPr>
            <w:tcW w:type="dxa" w:w="24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8"/>
                <w:szCs w:val="18"/>
              </w:rPr>
              <w:t xml:space="preserve">Certification CLOE niveau B1 • Maintien et consolidation</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0"/>
              <w:bottom w:type="dxa" w:w="80"/>
              <w:right w:type="dxa" w:w="110"/>
            </w:tcMar>
            <w:vAlign w:val="top"/>
          </w:tcPr>
          <w:p>
            <w:pPr>
              <w:jc w:val="left"/>
            </w:pPr>
            <w:r>
              <w:rPr>
                <w:rFonts w:ascii="Arial" w:cs="Arial" w:eastAsia="Arial" w:hAnsi="Arial"/>
                <w:b w:val="false"/>
                <w:bCs w:val="false"/>
                <w:i w:val="false"/>
                <w:iCs w:val="false"/>
                <w:color w:val="1A1A1A"/>
                <w:sz w:val="17"/>
                <w:szCs w:val="17"/>
              </w:rPr>
              <w:t xml:space="preserve">Révisions CLOE via Goethe-Institut • 1 appel Skype/semaine avec locuteur all. natif (Italki) • Podcast technique quotidien • Passage certification CLOE</w:t>
            </w:r>
          </w:p>
        </w:tc>
        <w:tc>
          <w:tcPr>
            <w:tcW w:type="dxa" w:w="1500"/>
            <w:tcBorders>
              <w:top w:val="single" w:color="BBBBBB" w:sz="6"/>
              <w:left w:val="single" w:color="BBBBBB" w:sz="6"/>
              <w:bottom w:val="single" w:color="BBBBBB" w:sz="6"/>
              <w:right w:val="single" w:color="BBBBBB" w:sz="6"/>
            </w:tcBorders>
            <w:shd w:fill="FFFFFF" w:val="clear"/>
            <w:tcMar>
              <w:top w:type="dxa" w:w="80"/>
              <w:left w:type="dxa" w:w="110"/>
              <w:bottom w:type="dxa" w:w="80"/>
              <w:right w:type="dxa" w:w="110"/>
            </w:tcMar>
            <w:vAlign w:val="top"/>
          </w:tcPr>
          <w:p>
            <w:pPr>
              <w:jc w:val="center"/>
            </w:pPr>
            <w:r>
              <w:rPr>
                <w:rFonts w:ascii="Arial" w:cs="Arial" w:eastAsia="Arial" w:hAnsi="Arial"/>
                <w:b/>
                <w:bCs/>
                <w:i w:val="false"/>
                <w:iCs w:val="false"/>
                <w:color w:val="2E75B6"/>
                <w:sz w:val="17"/>
                <w:szCs w:val="17"/>
              </w:rPr>
              <w:t xml:space="preserve">45 min/j</w:t>
            </w:r>
          </w:p>
        </w:tc>
      </w:tr>
    </w:tbl>
    <w:p>
      <w:pPr>
        <w:spacing w:before="6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E2EFDA" w:val="clear"/>
            <w:tcMar>
              <w:top w:type="dxa" w:w="90"/>
              <w:left w:type="dxa" w:w="150"/>
              <w:bottom w:type="dxa" w:w="90"/>
              <w:right w:type="dxa" w:w="150"/>
            </w:tcMar>
          </w:tcPr>
          <w:p>
            <w:pPr>
              <w:spacing w:before="0" w:after="50"/>
            </w:pPr>
            <w:r>
              <w:rPr>
                <w:rFonts w:ascii="Arial" w:cs="Arial" w:eastAsia="Arial" w:hAnsi="Arial"/>
                <w:b/>
                <w:bCs/>
                <w:color w:val="375623"/>
                <w:sz w:val="20"/>
                <w:szCs w:val="20"/>
              </w:rPr>
              <w:t xml:space="preserve">📊  Budget autodidacte sur 12 mois (hors cours financés employeur)</w:t>
            </w:r>
          </w:p>
          <w:p>
            <w:r>
              <w:rPr>
                <w:rFonts w:ascii="Arial" w:cs="Arial" w:eastAsia="Arial" w:hAnsi="Arial"/>
                <w:color w:val="1A1A1A"/>
                <w:sz w:val="20"/>
                <w:szCs w:val="20"/>
              </w:rPr>
              <w:t xml:space="preserve">Anki : gratuit. Duolingo/Babbel : 5–10 €/mois. Italki (tandem ou cours) : 15–25 €/mois. Livres méthode (ex. : Alter Ego A1-B1 Hachette) : 25–40 €. Certification CLOE : 120 €. Total autodidacte : ≈200–400 € sur 12 mois. Si cours Goethe-Institut financés OPCO : coût réel quasi nul.</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7F6000"/>
          <w:sz w:val="34"/>
          <w:szCs w:val="34"/>
        </w:rPr>
        <w:t xml:space="preserve">9.  Ce qu’il ne faut pas faire — Les erreurs classiques</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777777" w:sz="6"/>
              <w:left w:val="single" w:color="777777" w:sz="6"/>
              <w:bottom w:val="single" w:color="777777" w:sz="6"/>
              <w:right w:val="single" w:color="777777" w:sz="6"/>
            </w:tcBorders>
            <w:shd w:fill="833333"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  Erreurs à éviter</w:t>
            </w:r>
          </w:p>
        </w:tc>
        <w:tc>
          <w:tcPr>
            <w:tcW w:type="dxa" w:w="4600"/>
            <w:tcBorders>
              <w:top w:val="single" w:color="777777" w:sz="6"/>
              <w:left w:val="single" w:color="777777" w:sz="6"/>
              <w:bottom w:val="single" w:color="777777" w:sz="6"/>
              <w:right w:val="single" w:color="777777" w:sz="6"/>
            </w:tcBorders>
            <w:shd w:fill="375623"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  Ce qu’il faut faire à la place</w:t>
            </w:r>
          </w:p>
        </w:tc>
      </w:tr>
      <w:tr>
        <w:tc>
          <w:tcPr>
            <w:tcW w:type="dxa" w:w="4600"/>
            <w:tcBorders>
              <w:top w:val="single" w:color="BBBBBB" w:sz="6"/>
              <w:left w:val="single" w:color="BBBBBB" w:sz="6"/>
              <w:bottom w:val="single" w:color="BBBBBB" w:sz="6"/>
              <w:right w:val="single" w:color="BBBBBB" w:sz="6"/>
            </w:tcBorders>
            <w:shd w:fill="FCE4E4" w:val="clear"/>
            <w:tcMar>
              <w:top w:type="dxa" w:w="80"/>
              <w:left w:type="dxa" w:w="110"/>
              <w:bottom w:type="dxa" w:w="80"/>
              <w:right w:type="dxa" w:w="110"/>
            </w:tcMar>
            <w:vAlign w:val="top"/>
          </w:tcPr>
          <w:p>
            <w:pPr>
              <w:pStyle w:val="ListParagraph"/>
              <w:numPr>
                <w:ilvl w:val="0"/>
                <w:numId w:val="2"/>
              </w:numPr>
              <w:spacing w:before="55" w:after="55"/>
            </w:pPr>
            <w:r>
              <w:rPr>
                <w:rFonts w:ascii="Arial" w:cs="Arial" w:eastAsia="Arial" w:hAnsi="Arial"/>
                <w:sz w:val="21"/>
                <w:szCs w:val="21"/>
              </w:rPr>
              <w:t xml:space="preserve">Compter uniquement sur Duolingo ou une seule appli</w:t>
            </w:r>
          </w:p>
          <w:p>
            <w:pPr>
              <w:pStyle w:val="ListParagraph"/>
              <w:numPr>
                <w:ilvl w:val="0"/>
                <w:numId w:val="2"/>
              </w:numPr>
              <w:spacing w:before="55" w:after="55"/>
            </w:pPr>
            <w:r>
              <w:rPr>
                <w:rFonts w:ascii="Arial" w:cs="Arial" w:eastAsia="Arial" w:hAnsi="Arial"/>
                <w:sz w:val="21"/>
                <w:szCs w:val="21"/>
              </w:rPr>
              <w:t xml:space="preserve">Apprendre de façon irrégulière (s’arrêter 2 semaines et reprendre)</w:t>
            </w:r>
          </w:p>
          <w:p>
            <w:pPr>
              <w:pStyle w:val="ListParagraph"/>
              <w:numPr>
                <w:ilvl w:val="0"/>
                <w:numId w:val="2"/>
              </w:numPr>
              <w:spacing w:before="55" w:after="55"/>
            </w:pPr>
            <w:r>
              <w:rPr>
                <w:rFonts w:ascii="Arial" w:cs="Arial" w:eastAsia="Arial" w:hAnsi="Arial"/>
                <w:sz w:val="21"/>
                <w:szCs w:val="21"/>
              </w:rPr>
              <w:t xml:space="preserve">Viser d’abord l’oral conversationnel sans base technique</w:t>
            </w:r>
          </w:p>
          <w:p>
            <w:pPr>
              <w:pStyle w:val="ListParagraph"/>
              <w:numPr>
                <w:ilvl w:val="0"/>
                <w:numId w:val="2"/>
              </w:numPr>
              <w:spacing w:before="55" w:after="55"/>
            </w:pPr>
            <w:r>
              <w:rPr>
                <w:rFonts w:ascii="Arial" w:cs="Arial" w:eastAsia="Arial" w:hAnsi="Arial"/>
                <w:sz w:val="21"/>
                <w:szCs w:val="21"/>
              </w:rPr>
              <w:t xml:space="preserve">Attendre de « tout savoir » avant de lire des textes allemands réels</w:t>
            </w:r>
          </w:p>
          <w:p>
            <w:pPr>
              <w:pStyle w:val="ListParagraph"/>
              <w:numPr>
                <w:ilvl w:val="0"/>
                <w:numId w:val="2"/>
              </w:numPr>
              <w:spacing w:before="55" w:after="55"/>
            </w:pPr>
            <w:r>
              <w:rPr>
                <w:rFonts w:ascii="Arial" w:cs="Arial" w:eastAsia="Arial" w:hAnsi="Arial"/>
                <w:sz w:val="21"/>
                <w:szCs w:val="21"/>
              </w:rPr>
              <w:t xml:space="preserve">Ne jamais parler avec un natif par peur de l’erreur</w:t>
            </w:r>
          </w:p>
        </w:tc>
        <w:tc>
          <w:tcPr>
            <w:tcW w:type="dxa" w:w="4600"/>
            <w:tcBorders>
              <w:top w:val="single" w:color="BBBBBB" w:sz="6"/>
              <w:left w:val="single" w:color="BBBBBB" w:sz="6"/>
              <w:bottom w:val="single" w:color="BBBBBB" w:sz="6"/>
              <w:right w:val="single" w:color="BBBBBB" w:sz="6"/>
            </w:tcBorders>
            <w:shd w:fill="E2EFDA" w:val="clear"/>
            <w:tcMar>
              <w:top w:type="dxa" w:w="80"/>
              <w:left w:type="dxa" w:w="110"/>
              <w:bottom w:type="dxa" w:w="80"/>
              <w:right w:type="dxa" w:w="110"/>
            </w:tcMar>
            <w:vAlign w:val="top"/>
          </w:tcPr>
          <w:p>
            <w:pPr>
              <w:pStyle w:val="ListParagraph"/>
              <w:numPr>
                <w:ilvl w:val="0"/>
                <w:numId w:val="2"/>
              </w:numPr>
              <w:spacing w:before="55" w:after="55"/>
            </w:pPr>
            <w:r>
              <w:rPr>
                <w:rFonts w:ascii="Arial" w:cs="Arial" w:eastAsia="Arial" w:hAnsi="Arial"/>
                <w:sz w:val="21"/>
                <w:szCs w:val="21"/>
              </w:rPr>
              <w:t xml:space="preserve">Combiner 3 méthodes minimum : SRS + immersion + cours</w:t>
            </w:r>
          </w:p>
          <w:p>
            <w:pPr>
              <w:pStyle w:val="ListParagraph"/>
              <w:numPr>
                <w:ilvl w:val="0"/>
                <w:numId w:val="2"/>
              </w:numPr>
              <w:spacing w:before="55" w:after="55"/>
            </w:pPr>
            <w:r>
              <w:rPr>
                <w:rFonts w:ascii="Arial" w:cs="Arial" w:eastAsia="Arial" w:hAnsi="Arial"/>
                <w:sz w:val="21"/>
                <w:szCs w:val="21"/>
              </w:rPr>
              <w:t xml:space="preserve">Travailler tous les jours, même 20 minutes. La régularité prime la durée.</w:t>
            </w:r>
          </w:p>
          <w:p>
            <w:pPr>
              <w:pStyle w:val="ListParagraph"/>
              <w:numPr>
                <w:ilvl w:val="0"/>
                <w:numId w:val="2"/>
              </w:numPr>
              <w:spacing w:before="55" w:after="55"/>
            </w:pPr>
            <w:r>
              <w:rPr>
                <w:rFonts w:ascii="Arial" w:cs="Arial" w:eastAsia="Arial" w:hAnsi="Arial"/>
                <w:sz w:val="21"/>
                <w:szCs w:val="21"/>
              </w:rPr>
              <w:t xml:space="preserve">Attaquer le vocabulaire technique dès A2 : on apprend ce qu’on utilise</w:t>
            </w:r>
          </w:p>
          <w:p>
            <w:pPr>
              <w:pStyle w:val="ListParagraph"/>
              <w:numPr>
                <w:ilvl w:val="0"/>
                <w:numId w:val="2"/>
              </w:numPr>
              <w:spacing w:before="55" w:after="55"/>
            </w:pPr>
            <w:r>
              <w:rPr>
                <w:rFonts w:ascii="Arial" w:cs="Arial" w:eastAsia="Arial" w:hAnsi="Arial"/>
                <w:sz w:val="21"/>
                <w:szCs w:val="21"/>
              </w:rPr>
              <w:t xml:space="preserve">Lire des textes réels dès le mois 3 — avec dictionnaire, sans complexe</w:t>
            </w:r>
          </w:p>
          <w:p>
            <w:pPr>
              <w:pStyle w:val="ListParagraph"/>
              <w:numPr>
                <w:ilvl w:val="0"/>
                <w:numId w:val="2"/>
              </w:numPr>
              <w:spacing w:before="55" w:after="55"/>
            </w:pPr>
            <w:r>
              <w:rPr>
                <w:rFonts w:ascii="Arial" w:cs="Arial" w:eastAsia="Arial" w:hAnsi="Arial"/>
                <w:sz w:val="21"/>
                <w:szCs w:val="21"/>
              </w:rPr>
              <w:t xml:space="preserve">Faire 1 session/semaine avec un natif dès A2 : les erreurs font progresser</w:t>
            </w:r>
          </w:p>
        </w:tc>
      </w:tr>
    </w:tbl>
    <w:p>
      <w:pPr>
        <w:spacing w:before="80" w:after="60"/>
      </w:pPr>
      <w:r>
        <w:rPr>
          <w:rFonts w:ascii="Arial" w:cs="Arial" w:eastAsia="Arial" w:hAnsi="Arial"/>
          <w:sz w:val="21"/>
          <w:szCs w:val="21"/>
        </w:rPr>
        <w:t xml:space="preserve"/>
      </w:r>
    </w:p>
    <w:p>
      <w:pPr>
        <w:pBdr>
          <w:bottom w:val="single" w:color="7F6000" w:sz="10" w:space="1"/>
        </w:pBdr>
        <w:spacing w:before="120" w:after="120"/>
      </w:pPr>
      <w:r>
        <w:rPr>
          <w:rFonts w:ascii="Arial" w:cs="Arial" w:eastAsia="Arial" w:hAnsi="Arial"/>
          <w:sz w:val="21"/>
          <w:szCs w:val="21"/>
        </w:rPr>
        <w:t xml:space="preserve"/>
      </w:r>
    </w:p>
    <w:p>
      <w:pPr>
        <w:spacing w:before="4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
        <w:gridCol w:w="9020"/>
      </w:tblGrid>
      <w:tr>
        <w:tc>
          <w:tcPr>
            <w:tcW w:type="dxa" w:w="180"/>
            <w:tcBorders>
              <w:top w:val="none" w:color="FFFFFF" w:sz="0"/>
              <w:left w:val="none" w:color="FFFFFF" w:sz="0"/>
              <w:bottom w:val="none" w:color="FFFFFF" w:sz="0"/>
              <w:right w:val="none" w:color="FFFFFF" w:sz="0"/>
            </w:tcBorders>
            <w:shd w:fill="7F6000" w:val="clear"/>
            <w:tcMar>
              <w:top w:type="dxa" w:w="0"/>
              <w:left w:type="dxa" w:w="0"/>
              <w:bottom w:type="dxa" w:w="0"/>
              <w:right w:type="dxa" w:w="0"/>
            </w:tcMar>
          </w:tcPr>
          <w:p>
            <w:r>
              <w:rPr>
                <w:rFonts w:ascii="Arial" w:cs="Arial" w:eastAsia="Arial" w:hAnsi="Arial"/>
                <w:sz w:val="21"/>
                <w:szCs w:val="21"/>
              </w:rPr>
              <w:t xml:space="preserve"/>
            </w:r>
          </w:p>
        </w:tc>
        <w:tc>
          <w:tcPr>
            <w:tcW w:type="dxa" w:w="9020"/>
            <w:tcBorders>
              <w:top w:val="single" w:color="7F6000" w:sz="4"/>
              <w:left w:val="none" w:color="FFFFFF" w:sz="0"/>
              <w:bottom w:val="single" w:color="7F6000" w:sz="4"/>
              <w:right w:val="single" w:color="7F6000" w:sz="4"/>
            </w:tcBorders>
            <w:shd w:fill="FFF8E1" w:val="clear"/>
            <w:tcMar>
              <w:top w:type="dxa" w:w="90"/>
              <w:left w:type="dxa" w:w="150"/>
              <w:bottom w:type="dxa" w:w="90"/>
              <w:right w:type="dxa" w:w="150"/>
            </w:tcMar>
          </w:tcPr>
          <w:p>
            <w:pPr>
              <w:spacing w:before="0" w:after="40"/>
            </w:pPr>
            <w:r>
              <w:rPr>
                <w:rFonts w:ascii="Arial" w:cs="Arial" w:eastAsia="Arial" w:hAnsi="Arial"/>
                <w:b/>
                <w:bCs/>
                <w:color w:val="595959"/>
                <w:sz w:val="17"/>
                <w:szCs w:val="17"/>
              </w:rPr>
              <w:t xml:space="preserve">Phrase type pour demander à l’employeur de financer la formation allemand :</w:t>
            </w:r>
          </w:p>
          <w:p>
            <w:r>
              <w:rPr>
                <w:rFonts w:ascii="Arial" w:cs="Arial" w:eastAsia="Arial" w:hAnsi="Arial"/>
                <w:b/>
                <w:bCs/>
                <w:color w:val="7F6000"/>
                <w:sz w:val="22"/>
                <w:szCs w:val="22"/>
              </w:rPr>
              <w:t xml:space="preserve">“</w:t>
            </w:r>
            <w:r>
              <w:rPr>
                <w:rFonts w:ascii="Arial" w:cs="Arial" w:eastAsia="Arial" w:hAnsi="Arial"/>
                <w:i/>
                <w:iCs/>
                <w:color w:val="1F3864"/>
                <w:sz w:val="20"/>
                <w:szCs w:val="20"/>
              </w:rPr>
              <w:t xml:space="preserve">L’allemand technique est directement valorisable sur nos programmes avec les fournisseurs et clients allemands. Je souhaite suivre un cours d’allemand professionnel au Goethe-Institut de Paris, financement via le plan de développement des compétences et OPCO 2i. La certification CLOE à l’issue de la formation documente le niveau atteint. Le coût pour l’entreprise est inférieur à 2 500 €.</w:t>
            </w:r>
            <w:r>
              <w:rPr>
                <w:rFonts w:ascii="Arial" w:cs="Arial" w:eastAsia="Arial" w:hAnsi="Arial"/>
                <w:b/>
                <w:bCs/>
                <w:color w:val="7F6000"/>
                <w:sz w:val="22"/>
                <w:szCs w:val="22"/>
              </w:rPr>
              <w:t xml:space="preserve">”</w:t>
            </w:r>
          </w:p>
        </w:tc>
      </w:tr>
    </w:tbl>
    <w:p>
      <w:pPr>
        <w:spacing w:before="80" w:after="60"/>
      </w:pPr>
      <w:r>
        <w:rPr>
          <w:rFonts w:ascii="Arial" w:cs="Arial" w:eastAsia="Arial" w:hAnsi="Arial"/>
          <w:sz w:val="21"/>
          <w:szCs w:val="21"/>
        </w:rPr>
        <w:t xml:space="preserve"/>
      </w:r>
    </w:p>
    <w:p>
      <w:pPr>
        <w:spacing w:before="60" w:after="40"/>
        <w:jc w:val="center"/>
      </w:pPr>
      <w:r>
        <w:rPr>
          <w:rFonts w:ascii="Arial" w:cs="Arial" w:eastAsia="Arial" w:hAnsi="Arial"/>
          <w:b/>
          <w:bCs/>
          <w:i/>
          <w:iCs/>
          <w:color w:val="0D2B5E"/>
          <w:sz w:val="24"/>
          <w:szCs w:val="24"/>
        </w:rPr>
        <w:t xml:space="preserve">La cotation ISO et l’allemand technique : deux compétences qui durent 30 ans.</w:t>
      </w:r>
    </w:p>
    <w:p>
      <w:pPr>
        <w:spacing w:before="0" w:after="0"/>
        <w:jc w:val="center"/>
      </w:pPr>
      <w:r>
        <w:rPr>
          <w:rFonts w:ascii="Arial" w:cs="Arial" w:eastAsia="Arial" w:hAnsi="Arial"/>
          <w:i/>
          <w:iCs/>
          <w:color w:val="888888"/>
          <w:sz w:val="16"/>
          <w:szCs w:val="16"/>
        </w:rPr>
        <w:t xml:space="preserve">Sources : Cetiso.fr (vérifié mars 2026), Goethe-Institut Paris, OPCO 2i, MonCompteFormation, DW Deutschland</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B5E" w:sz="6" w:space="1"/>
      </w:pBdr>
      <w:jc w:val="center"/>
    </w:pPr>
    <w:r>
      <w:rPr>
        <w:rFonts w:ascii="Arial" w:cs="Arial" w:eastAsia="Arial" w:hAnsi="Arial"/>
        <w:color w:val="888888"/>
        <w:sz w:val="15"/>
        <w:szCs w:val="15"/>
      </w:rPr>
      <w:t xml:space="preserve">Document personnel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E" w:sz="8" w:space="1"/>
      </w:pBdr>
    </w:pPr>
    <w:r>
      <w:rPr>
        <w:rFonts w:ascii="Arial" w:cs="Arial" w:eastAsia="Arial" w:hAnsi="Arial"/>
        <w:b/>
        <w:bCs/>
        <w:color w:val="0D2B5E"/>
        <w:sz w:val="16"/>
        <w:szCs w:val="16"/>
      </w:rPr>
      <w:t xml:space="preserve">✈  COTATION ISO-GPS (Cetiso) + ALLEMAND TECHNIQUE  </w:t>
    </w:r>
    <w:r>
      <w:rPr>
        <w:rFonts w:ascii="Arial" w:cs="Arial" w:eastAsia="Arial" w:hAnsi="Arial"/>
        <w:color w:val="888888"/>
        <w:sz w:val="15"/>
        <w:szCs w:val="15"/>
      </w:rPr>
      <w:t xml:space="preserve">| Ingénieur Conception Mécanique — Guide pratique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0D2B5E"/>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2026-03-26T06:29:05.509Z</dcterms:created>
  <dcterms:modified xsi:type="dcterms:W3CDTF">2026-03-26T06:29:05.509Z</dcterms:modified>
</cp:coreProperties>
</file>

<file path=docProps/custom.xml><?xml version="1.0" encoding="utf-8"?>
<Properties xmlns="http://schemas.openxmlformats.org/officeDocument/2006/custom-properties" xmlns:vt="http://schemas.openxmlformats.org/officeDocument/2006/docPropsVTypes"/>
</file>