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60"/>
      </w:pPr>
      <w:r>
        <w:rPr>
          <w:rFonts w:ascii="Arial" w:cs="Arial" w:eastAsia="Arial" w:hAnsi="Arial"/>
          <w:sz w:val="21"/>
          <w:szCs w:val="21"/>
        </w:rPr>
        <w:t xml:space="preserve"/>
      </w:r>
    </w:p>
    <w:p>
      <w:pPr>
        <w:spacing w:before="0" w:after="60"/>
        <w:jc w:val="center"/>
      </w:pPr>
      <w:r>
        <w:rPr>
          <w:rFonts w:ascii="Arial" w:cs="Arial" w:eastAsia="Arial" w:hAnsi="Arial"/>
          <w:b/>
          <w:bCs/>
          <w:color w:val="0D2B5E"/>
          <w:sz w:val="50"/>
          <w:szCs w:val="50"/>
        </w:rPr>
        <w:t xml:space="preserve">COURS FEA</w:t>
      </w:r>
    </w:p>
    <w:p>
      <w:pPr>
        <w:spacing w:before="0" w:after="60"/>
        <w:jc w:val="center"/>
      </w:pPr>
      <w:r>
        <w:rPr>
          <w:rFonts w:ascii="Arial" w:cs="Arial" w:eastAsia="Arial" w:hAnsi="Arial"/>
          <w:b/>
          <w:bCs/>
          <w:color w:val="2E75B6"/>
          <w:sz w:val="28"/>
          <w:szCs w:val="28"/>
        </w:rPr>
        <w:t xml:space="preserve">Principes physiques et mathématiques derrière les logiciels de simulation</w:t>
      </w:r>
    </w:p>
    <w:p>
      <w:pPr>
        <w:spacing w:before="0" w:after="180"/>
        <w:jc w:val="center"/>
      </w:pPr>
      <w:r>
        <w:rPr>
          <w:rFonts w:ascii="Arial" w:cs="Arial" w:eastAsia="Arial" w:hAnsi="Arial"/>
          <w:i/>
          <w:iCs/>
          <w:color w:val="595959"/>
          <w:sz w:val="20"/>
          <w:szCs w:val="20"/>
        </w:rPr>
        <w:t xml:space="preserve">Pour l’ingénieur qui veut comprendre ce que le logiciel calcule vraiment</w:t>
      </w:r>
    </w:p>
    <w:p>
      <w:pPr>
        <w:pBdr>
          <w:bottom w:val="single" w:color="0D2B5E" w:sz="10" w:space="1"/>
        </w:pBdr>
        <w:spacing w:before="130" w:after="13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E8EEF7" w:val="clear"/>
            <w:tcMar>
              <w:top w:type="dxa" w:w="90"/>
              <w:left w:type="dxa" w:w="150"/>
              <w:bottom w:type="dxa" w:w="90"/>
              <w:right w:type="dxa" w:w="150"/>
            </w:tcMar>
          </w:tcPr>
          <w:p>
            <w:pPr>
              <w:spacing w:before="0" w:after="50"/>
            </w:pPr>
            <w:r>
              <w:rPr>
                <w:rFonts w:ascii="Arial" w:cs="Arial" w:eastAsia="Arial" w:hAnsi="Arial"/>
                <w:b/>
                <w:bCs/>
                <w:color w:val="0D2B5E"/>
                <w:sz w:val="20"/>
                <w:szCs w:val="20"/>
              </w:rPr>
              <w:t xml:space="preserve">📌  Intégrité de ce document</w:t>
            </w:r>
          </w:p>
          <w:p>
            <w:pPr>
              <w:spacing w:before="0" w:after="0"/>
            </w:pPr>
            <w:r>
              <w:rPr>
                <w:rFonts w:ascii="Arial" w:cs="Arial" w:eastAsia="Arial" w:hAnsi="Arial"/>
                <w:color w:val="1A1A1A"/>
                <w:sz w:val="20"/>
                <w:szCs w:val="20"/>
              </w:rPr>
              <w:t xml:space="preserve">Ce cours repose uniquement sur la mécanique des milieux continus, l’algèbre linéaire et la numérique classiques — des fondements établis et vérifiables. Aucune valeur numérique n’est inventée. Les formules sont celles de la littérature standard (Zienkiewicz &amp; Taylor, Bathe, Cook). Les erreurs à éviter sont basées sur la pratique réelle de la simulation.</w:t>
            </w:r>
          </w:p>
        </w:tc>
      </w:tr>
    </w:tbl>
    <w:p>
      <w:pPr>
        <w:spacing w:before="80" w:after="6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0D2B5E"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1 — POURQUOI LA FEA EXISTE : LE PROBLÈME QU’ELLE RÉSOUT</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1.1  Le problème de la mécanique des solides</w:t>
      </w:r>
    </w:p>
    <w:p>
      <w:pPr>
        <w:spacing w:before="80" w:after="80"/>
      </w:pPr>
      <w:r>
        <w:rPr>
          <w:rFonts w:ascii="Arial" w:cs="Arial" w:eastAsia="Arial" w:hAnsi="Arial"/>
          <w:sz w:val="21"/>
          <w:szCs w:val="21"/>
        </w:rPr>
        <w:t xml:space="preserve">En mécanique des solides, on cherche à connaître en tout point d’une structure soumise à des charges : le champ de déplacements (combien la pièce se déforme), le champ de déformations (comment la matière se distord), et le champ de contraintes (les forces internes par unité de surface). Ces trois grandeurs sont liées par des équations. Le problème : ces équations n’ont de solution analytique exacte que pour des géométries très simples.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C003E" w:sz="6"/>
              <w:left w:val="single" w:color="2C003E" w:sz="6"/>
              <w:bottom w:val="single" w:color="2C003E" w:sz="6"/>
              <w:right w:val="single" w:color="2C003E" w:sz="6"/>
            </w:tcBorders>
            <w:shd w:fill="F3E5F5" w:val="clear"/>
            <w:tcMar>
              <w:top w:type="dxa" w:w="90"/>
              <w:left w:type="dxa" w:w="150"/>
              <w:bottom w:type="dxa" w:w="90"/>
              <w:right w:type="dxa" w:w="150"/>
            </w:tcMar>
          </w:tcPr>
          <w:p>
            <w:pPr>
              <w:spacing w:before="0" w:after="40"/>
            </w:pPr>
            <w:r>
              <w:rPr>
                <w:rFonts w:ascii="Arial" w:cs="Arial" w:eastAsia="Arial" w:hAnsi="Arial"/>
                <w:b/>
                <w:bCs/>
                <w:color w:val="2C003E"/>
                <w:sz w:val="18"/>
                <w:szCs w:val="18"/>
              </w:rPr>
              <w:t xml:space="preserve">Relation fondamentale contrainte–déformation (loi de Hooke généralisée)</w:t>
            </w:r>
          </w:p>
          <w:p>
            <w:pPr>
              <w:spacing w:before="0" w:after="50"/>
              <w:jc w:val="center"/>
            </w:pPr>
            <w:r>
              <w:rPr>
                <w:rFonts w:ascii="Courier New" w:cs="Courier New" w:eastAsia="Courier New" w:hAnsi="Courier New"/>
                <w:b/>
                <w:bCs/>
                <w:color w:val="2C003E"/>
                <w:sz w:val="22"/>
                <w:szCs w:val="22"/>
              </w:rPr>
              <w:t xml:space="preserve">σ = C : ε     où C est le tenseur élastique du matériau</w:t>
            </w:r>
          </w:p>
          <w:p>
            <w:pPr>
              <w:spacing w:before="0" w:after="0"/>
            </w:pPr>
            <w:r>
              <w:rPr>
                <w:rFonts w:ascii="Arial" w:cs="Arial" w:eastAsia="Arial" w:hAnsi="Arial"/>
                <w:i/>
                <w:iCs/>
                <w:color w:val="1A1A1A"/>
                <w:sz w:val="19"/>
                <w:szCs w:val="19"/>
              </w:rPr>
              <w:t xml:space="preserve">Pour un matériau isotrope linéaire, le tenseur C se réduit à deux paramètres : le module de Young E et le coefficient de Poisson ν. Toute la mécanique élastique linéaire en découle.</w:t>
            </w:r>
          </w:p>
        </w:tc>
      </w:tr>
    </w:tbl>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C003E" w:sz="6"/>
              <w:left w:val="single" w:color="2C003E" w:sz="6"/>
              <w:bottom w:val="single" w:color="2C003E" w:sz="6"/>
              <w:right w:val="single" w:color="2C003E" w:sz="6"/>
            </w:tcBorders>
            <w:shd w:fill="F3E5F5" w:val="clear"/>
            <w:tcMar>
              <w:top w:type="dxa" w:w="90"/>
              <w:left w:type="dxa" w:w="150"/>
              <w:bottom w:type="dxa" w:w="90"/>
              <w:right w:type="dxa" w:w="150"/>
            </w:tcMar>
          </w:tcPr>
          <w:p>
            <w:pPr>
              <w:spacing w:before="0" w:after="40"/>
            </w:pPr>
            <w:r>
              <w:rPr>
                <w:rFonts w:ascii="Arial" w:cs="Arial" w:eastAsia="Arial" w:hAnsi="Arial"/>
                <w:b/>
                <w:bCs/>
                <w:color w:val="2C003E"/>
                <w:sz w:val="18"/>
                <w:szCs w:val="18"/>
              </w:rPr>
              <w:t xml:space="preserve">Équations d’équilibre de Cauchy (vérifiées en tout point du solide)</w:t>
            </w:r>
          </w:p>
          <w:p>
            <w:pPr>
              <w:spacing w:before="0" w:after="50"/>
              <w:jc w:val="center"/>
            </w:pPr>
            <w:r>
              <w:rPr>
                <w:rFonts w:ascii="Courier New" w:cs="Courier New" w:eastAsia="Courier New" w:hAnsi="Courier New"/>
                <w:b/>
                <w:bCs/>
                <w:color w:val="2C003E"/>
                <w:sz w:val="22"/>
                <w:szCs w:val="22"/>
              </w:rPr>
              <w:t xml:space="preserve">div(σ) + f = 0     (conditions aux limites : σ·n = t sur Γₜ, u = u̅ sur Γᵤ)</w:t>
            </w:r>
          </w:p>
          <w:p>
            <w:pPr>
              <w:spacing w:before="0" w:after="0"/>
            </w:pPr>
            <w:r>
              <w:rPr>
                <w:rFonts w:ascii="Arial" w:cs="Arial" w:eastAsia="Arial" w:hAnsi="Arial"/>
                <w:i/>
                <w:iCs/>
                <w:color w:val="1A1A1A"/>
                <w:sz w:val="19"/>
                <w:szCs w:val="19"/>
              </w:rPr>
              <w:t xml:space="preserve">f est la force volumique (gravité), t est la force surfacique imposée, u̅ est le déplacement imposé. Ces équations aux dérivées partielles n’ont généralement pas de solution fermée pour les géométries industrielles.</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1.2  L’idée centrale de la FEA : la discrétisation</w:t>
      </w:r>
    </w:p>
    <w:p>
      <w:pPr>
        <w:spacing w:before="80" w:after="80"/>
      </w:pPr>
      <w:r>
        <w:rPr>
          <w:rFonts w:ascii="Arial" w:cs="Arial" w:eastAsia="Arial" w:hAnsi="Arial"/>
          <w:sz w:val="21"/>
          <w:szCs w:val="21"/>
        </w:rPr>
        <w:t xml:space="preserve">Puisqu’on ne peut pas résoudre ces équations en tout point d’une géométrie quelconque, la FEA approche la solution en la cherchant seulement en un nombre fini de points (les nœuds), reliés entre eux par des éléments. Entre les nœuds, le déplacement est interpolé par des fonctions de forme polynomiales. Plus il y a de nœuds, plus l’approximation est fine — et plus le calcul est long.</w:t>
      </w:r>
    </w:p>
    <w:p>
      <w:pPr>
        <w:spacing w:before="80" w:after="80"/>
      </w:pPr>
      <w:r>
        <w:rPr>
          <w:rFonts w:ascii="Arial" w:cs="Arial" w:eastAsia="Arial" w:hAnsi="Arial"/>
          <w:sz w:val="21"/>
          <w:szCs w:val="21"/>
        </w:rPr>
        <w:t xml:space="preserve">L’élément fini est donc une région de l’espace où le comportement mécanique est approximé par des fonctions polynomiales simples. La qualité de cette approximation dépend du type d’élément, de sa taille, et de son orientation par rapport aux gradients de déformation.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C003E" w:sz="6"/>
              <w:left w:val="single" w:color="2C003E" w:sz="6"/>
              <w:bottom w:val="single" w:color="2C003E" w:sz="6"/>
              <w:right w:val="single" w:color="2C003E" w:sz="6"/>
            </w:tcBorders>
            <w:shd w:fill="F3E5F5" w:val="clear"/>
            <w:tcMar>
              <w:top w:type="dxa" w:w="90"/>
              <w:left w:type="dxa" w:w="150"/>
              <w:bottom w:type="dxa" w:w="90"/>
              <w:right w:type="dxa" w:w="150"/>
            </w:tcMar>
          </w:tcPr>
          <w:p>
            <w:pPr>
              <w:spacing w:before="0" w:after="40"/>
            </w:pPr>
            <w:r>
              <w:rPr>
                <w:rFonts w:ascii="Arial" w:cs="Arial" w:eastAsia="Arial" w:hAnsi="Arial"/>
                <w:b/>
                <w:bCs/>
                <w:color w:val="2C003E"/>
                <w:sz w:val="18"/>
                <w:szCs w:val="18"/>
              </w:rPr>
              <w:t xml:space="preserve">Approximation du déplacement par les fonctions de forme</w:t>
            </w:r>
          </w:p>
          <w:p>
            <w:pPr>
              <w:spacing w:before="0" w:after="50"/>
              <w:jc w:val="center"/>
            </w:pPr>
            <w:r>
              <w:rPr>
                <w:rFonts w:ascii="Courier New" w:cs="Courier New" w:eastAsia="Courier New" w:hAnsi="Courier New"/>
                <w:b/>
                <w:bCs/>
                <w:color w:val="2C003E"/>
                <w:sz w:val="22"/>
                <w:szCs w:val="22"/>
              </w:rPr>
              <w:t xml:space="preserve">u(x) ≈ N(x) · d     où N sont les fonctions de forme, d les déplacements nodaux</w:t>
            </w:r>
          </w:p>
          <w:p>
            <w:pPr>
              <w:spacing w:before="0" w:after="0"/>
            </w:pPr>
            <w:r>
              <w:rPr>
                <w:rFonts w:ascii="Arial" w:cs="Arial" w:eastAsia="Arial" w:hAnsi="Arial"/>
                <w:i/>
                <w:iCs/>
                <w:color w:val="1A1A1A"/>
                <w:sz w:val="19"/>
                <w:szCs w:val="19"/>
              </w:rPr>
              <w:t xml:space="preserve">N(x) sont des polynomiales valant 1 au nœud considéré et 0 aux autres nœuds. Pour un élément linéaire (Q4, TET4), N est linéaire. Pour un élément quadratique (Q8, TET10), N est du second degré — bien meilleur pour capturer les gradients courbes.</w:t>
            </w:r>
          </w:p>
        </w:tc>
      </w:tr>
    </w:tbl>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2E75B6"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2 — CE QUE LE LOGICIEL RÉSOUT RÉELLEMENT</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2.1  L’assemblage de la matrice de rigidité globale</w:t>
      </w:r>
    </w:p>
    <w:p>
      <w:pPr>
        <w:spacing w:before="80" w:after="80"/>
      </w:pPr>
      <w:r>
        <w:rPr>
          <w:rFonts w:ascii="Arial" w:cs="Arial" w:eastAsia="Arial" w:hAnsi="Arial"/>
          <w:sz w:val="21"/>
          <w:szCs w:val="21"/>
        </w:rPr>
        <w:t xml:space="preserve">Pour chaque élément, on calcule sa matrice de rigidité élémentaire kᵉ qui relie les forces nodales aux déplacements nodaux de cet élément. Ces matrices sont ensuite assemblées dans une matrice de rigidité globale K qui décrit le comportement de toute la structure. C’est la phase d’assemblage que le logiciel exécute automatiquement.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C003E" w:sz="6"/>
              <w:left w:val="single" w:color="2C003E" w:sz="6"/>
              <w:bottom w:val="single" w:color="2C003E" w:sz="6"/>
              <w:right w:val="single" w:color="2C003E" w:sz="6"/>
            </w:tcBorders>
            <w:shd w:fill="F3E5F5" w:val="clear"/>
            <w:tcMar>
              <w:top w:type="dxa" w:w="90"/>
              <w:left w:type="dxa" w:w="150"/>
              <w:bottom w:type="dxa" w:w="90"/>
              <w:right w:type="dxa" w:w="150"/>
            </w:tcMar>
          </w:tcPr>
          <w:p>
            <w:pPr>
              <w:spacing w:before="0" w:after="40"/>
            </w:pPr>
            <w:r>
              <w:rPr>
                <w:rFonts w:ascii="Arial" w:cs="Arial" w:eastAsia="Arial" w:hAnsi="Arial"/>
                <w:b/>
                <w:bCs/>
                <w:color w:val="2C003E"/>
                <w:sz w:val="18"/>
                <w:szCs w:val="18"/>
              </w:rPr>
              <w:t xml:space="preserve">Matrice de rigidité élémentaire</w:t>
            </w:r>
          </w:p>
          <w:p>
            <w:pPr>
              <w:spacing w:before="0" w:after="50"/>
              <w:jc w:val="center"/>
            </w:pPr>
            <w:r>
              <w:rPr>
                <w:rFonts w:ascii="Courier New" w:cs="Courier New" w:eastAsia="Courier New" w:hAnsi="Courier New"/>
                <w:b/>
                <w:bCs/>
                <w:color w:val="2C003E"/>
                <w:sz w:val="22"/>
                <w:szCs w:val="22"/>
              </w:rPr>
              <w:t xml:space="preserve">kᵉ = ∫ᵥ Bᵀ · C · B dV     où B = ∂N/∂x est la matrice des déformations</w:t>
            </w:r>
          </w:p>
          <w:p>
            <w:pPr>
              <w:spacing w:before="0" w:after="0"/>
            </w:pPr>
            <w:r>
              <w:rPr>
                <w:rFonts w:ascii="Arial" w:cs="Arial" w:eastAsia="Arial" w:hAnsi="Arial"/>
                <w:i/>
                <w:iCs/>
                <w:color w:val="1A1A1A"/>
                <w:sz w:val="19"/>
                <w:szCs w:val="19"/>
              </w:rPr>
              <w:t xml:space="preserve">B est la matrice qui relie les déformations aux déplacements nodaux via les dérivées des fonctions de forme. C est la matrice élastique du matériau. L’intégration est numérique — c’est là qu’intervient l’intégration de Gauss.</w:t>
            </w:r>
          </w:p>
        </w:tc>
      </w:tr>
    </w:tbl>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C003E" w:sz="6"/>
              <w:left w:val="single" w:color="2C003E" w:sz="6"/>
              <w:bottom w:val="single" w:color="2C003E" w:sz="6"/>
              <w:right w:val="single" w:color="2C003E" w:sz="6"/>
            </w:tcBorders>
            <w:shd w:fill="F3E5F5" w:val="clear"/>
            <w:tcMar>
              <w:top w:type="dxa" w:w="90"/>
              <w:left w:type="dxa" w:w="150"/>
              <w:bottom w:type="dxa" w:w="90"/>
              <w:right w:type="dxa" w:w="150"/>
            </w:tcMar>
          </w:tcPr>
          <w:p>
            <w:pPr>
              <w:spacing w:before="0" w:after="40"/>
            </w:pPr>
            <w:r>
              <w:rPr>
                <w:rFonts w:ascii="Arial" w:cs="Arial" w:eastAsia="Arial" w:hAnsi="Arial"/>
                <w:b/>
                <w:bCs/>
                <w:color w:val="2C003E"/>
                <w:sz w:val="18"/>
                <w:szCs w:val="18"/>
              </w:rPr>
              <w:t xml:space="preserve">Système linéaire global à résoudre</w:t>
            </w:r>
          </w:p>
          <w:p>
            <w:pPr>
              <w:spacing w:before="0" w:after="50"/>
              <w:jc w:val="center"/>
            </w:pPr>
            <w:r>
              <w:rPr>
                <w:rFonts w:ascii="Courier New" w:cs="Courier New" w:eastAsia="Courier New" w:hAnsi="Courier New"/>
                <w:b/>
                <w:bCs/>
                <w:color w:val="2C003E"/>
                <w:sz w:val="22"/>
                <w:szCs w:val="22"/>
              </w:rPr>
              <w:t xml:space="preserve">K · U = F     (N×N équations, N = nombre de degrés de liberté)</w:t>
            </w:r>
          </w:p>
          <w:p>
            <w:pPr>
              <w:spacing w:before="0" w:after="0"/>
            </w:pPr>
            <w:r>
              <w:rPr>
                <w:rFonts w:ascii="Arial" w:cs="Arial" w:eastAsia="Arial" w:hAnsi="Arial"/>
                <w:i/>
                <w:iCs/>
                <w:color w:val="1A1A1A"/>
                <w:sz w:val="19"/>
                <w:szCs w:val="19"/>
              </w:rPr>
              <w:t xml:space="preserve">K est la matrice de rigidité globale (symétrique, creuse, définie positive après application des conditions aux limites). U est le vecteur des déplacements nodaux inconnus. F est le vecteur des forces nodales. Tout le calcul se ramène à la résolution de ce système.</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2.2  Comment le solveur résout K·U = F</w:t>
      </w:r>
    </w:p>
    <w:p>
      <w:pPr>
        <w:spacing w:before="80" w:after="80"/>
      </w:pPr>
      <w:r>
        <w:rPr>
          <w:rFonts w:ascii="Arial" w:cs="Arial" w:eastAsia="Arial" w:hAnsi="Arial"/>
          <w:sz w:val="21"/>
          <w:szCs w:val="21"/>
        </w:rPr>
        <w:t xml:space="preserve">Pour des modèles industriels, K peut avoir des millions de degrés de liberté. La résolution directe (factorisation LU, méthode de Cholesky) est coûteuse en mémoire mais garantit la solution exacte du système discret. Les solveurs itératifs (gradient conjugué, GMRES) sont plus légers mais nécessitent un préconditionneur. Le choix du solveur influe sur la précision numérique et le temps de calcul.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Solveur direct</w:t>
            </w:r>
          </w:p>
        </w:tc>
        <w:tc>
          <w:tcPr>
            <w:tcW w:type="dxa" w:w="3067"/>
            <w:tcBorders>
              <w:top w:val="single" w:color="777777" w:sz="6"/>
              <w:left w:val="single" w:color="777777" w:sz="6"/>
              <w:bottom w:val="single" w:color="777777" w:sz="6"/>
              <w:right w:val="single" w:color="777777" w:sz="6"/>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Solveur itératif</w:t>
            </w:r>
          </w:p>
        </w:tc>
        <w:tc>
          <w:tcPr>
            <w:tcW w:type="dxa" w:w="3067"/>
            <w:tcBorders>
              <w:top w:val="single" w:color="777777" w:sz="6"/>
              <w:left w:val="single" w:color="777777" w:sz="6"/>
              <w:bottom w:val="single" w:color="777777" w:sz="6"/>
              <w:right w:val="single" w:color="777777" w:sz="6"/>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Solveur multipas</w:t>
            </w:r>
          </w:p>
        </w:tc>
      </w:tr>
      <w:tr>
        <w:tc>
          <w:tcPr>
            <w:tcW w:type="dxa" w:w="3066"/>
            <w:tcBorders>
              <w:top w:val="single" w:color="BBBBBB" w:sz="6"/>
              <w:left w:val="single" w:color="BBBBBB" w:sz="6"/>
              <w:bottom w:val="single" w:color="BBBBBB" w:sz="6"/>
              <w:right w:val="single" w:color="BBBBBB" w:sz="6"/>
            </w:tcBorders>
            <w:shd w:fill="DEEAF1"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sz w:val="21"/>
                <w:szCs w:val="21"/>
              </w:rPr>
              <w:t xml:space="preserve">Factorisation LU ou Cholesky</w:t>
            </w:r>
          </w:p>
          <w:p>
            <w:pPr>
              <w:pStyle w:val="ListParagraph"/>
              <w:numPr>
                <w:ilvl w:val="0"/>
                <w:numId w:val="2"/>
              </w:numPr>
              <w:spacing w:before="55" w:after="55"/>
            </w:pPr>
            <w:r>
              <w:rPr>
                <w:rFonts w:ascii="Arial" w:cs="Arial" w:eastAsia="Arial" w:hAnsi="Arial"/>
                <w:sz w:val="21"/>
                <w:szCs w:val="21"/>
              </w:rPr>
              <w:t xml:space="preserve">Solution exacte du système discret</w:t>
            </w:r>
          </w:p>
          <w:p>
            <w:pPr>
              <w:pStyle w:val="ListParagraph"/>
              <w:numPr>
                <w:ilvl w:val="0"/>
                <w:numId w:val="2"/>
              </w:numPr>
              <w:spacing w:before="55" w:after="55"/>
            </w:pPr>
            <w:r>
              <w:rPr>
                <w:rFonts w:ascii="Arial" w:cs="Arial" w:eastAsia="Arial" w:hAnsi="Arial"/>
                <w:sz w:val="21"/>
                <w:szCs w:val="21"/>
              </w:rPr>
              <w:t xml:space="preserve">Lent pour les très grands modèles</w:t>
            </w:r>
          </w:p>
          <w:p>
            <w:pPr>
              <w:pStyle w:val="ListParagraph"/>
              <w:numPr>
                <w:ilvl w:val="0"/>
                <w:numId w:val="2"/>
              </w:numPr>
              <w:spacing w:before="55" w:after="55"/>
            </w:pPr>
            <w:r>
              <w:rPr>
                <w:rFonts w:ascii="Arial" w:cs="Arial" w:eastAsia="Arial" w:hAnsi="Arial"/>
                <w:sz w:val="21"/>
                <w:szCs w:val="21"/>
              </w:rPr>
              <w:t xml:space="preserve">Robuste sur les matériaux mal conditionnés</w:t>
            </w:r>
          </w:p>
        </w:tc>
        <w:tc>
          <w:tcPr>
            <w:tcW w:type="dxa" w:w="3067"/>
            <w:tcBorders>
              <w:top w:val="single" w:color="BBBBBB" w:sz="6"/>
              <w:left w:val="single" w:color="BBBBBB" w:sz="6"/>
              <w:bottom w:val="single" w:color="BBBBBB" w:sz="6"/>
              <w:right w:val="single" w:color="BBBBBB" w:sz="6"/>
            </w:tcBorders>
            <w:shd w:fill="D6EAF8"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sz w:val="21"/>
                <w:szCs w:val="21"/>
              </w:rPr>
              <w:t xml:space="preserve">Gradient conjugué, GMRES</w:t>
            </w:r>
          </w:p>
          <w:p>
            <w:pPr>
              <w:pStyle w:val="ListParagraph"/>
              <w:numPr>
                <w:ilvl w:val="0"/>
                <w:numId w:val="2"/>
              </w:numPr>
              <w:spacing w:before="55" w:after="55"/>
            </w:pPr>
            <w:r>
              <w:rPr>
                <w:rFonts w:ascii="Arial" w:cs="Arial" w:eastAsia="Arial" w:hAnsi="Arial"/>
                <w:sz w:val="21"/>
                <w:szCs w:val="21"/>
              </w:rPr>
              <w:t xml:space="preserve">Solution approchée (critère de convergence)</w:t>
            </w:r>
          </w:p>
          <w:p>
            <w:pPr>
              <w:pStyle w:val="ListParagraph"/>
              <w:numPr>
                <w:ilvl w:val="0"/>
                <w:numId w:val="2"/>
              </w:numPr>
              <w:spacing w:before="55" w:after="55"/>
            </w:pPr>
            <w:r>
              <w:rPr>
                <w:rFonts w:ascii="Arial" w:cs="Arial" w:eastAsia="Arial" w:hAnsi="Arial"/>
                <w:sz w:val="21"/>
                <w:szCs w:val="21"/>
              </w:rPr>
              <w:t xml:space="preserve">Rapide pour les grands modèles creux</w:t>
            </w:r>
          </w:p>
          <w:p>
            <w:pPr>
              <w:pStyle w:val="ListParagraph"/>
              <w:numPr>
                <w:ilvl w:val="0"/>
                <w:numId w:val="2"/>
              </w:numPr>
              <w:spacing w:before="55" w:after="55"/>
            </w:pPr>
            <w:r>
              <w:rPr>
                <w:rFonts w:ascii="Arial" w:cs="Arial" w:eastAsia="Arial" w:hAnsi="Arial"/>
                <w:sz w:val="21"/>
                <w:szCs w:val="21"/>
              </w:rPr>
              <w:t xml:space="preserve">Sensible au conditionnement de K</w:t>
            </w:r>
          </w:p>
        </w:tc>
        <w:tc>
          <w:tcPr>
            <w:tcW w:type="dxa" w:w="3067"/>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sz w:val="21"/>
                <w:szCs w:val="21"/>
              </w:rPr>
              <w:t xml:space="preserve">Problèmes non-linéaires, dynamiques</w:t>
            </w:r>
          </w:p>
          <w:p>
            <w:pPr>
              <w:pStyle w:val="ListParagraph"/>
              <w:numPr>
                <w:ilvl w:val="0"/>
                <w:numId w:val="2"/>
              </w:numPr>
              <w:spacing w:before="55" w:after="55"/>
            </w:pPr>
            <w:r>
              <w:rPr>
                <w:rFonts w:ascii="Arial" w:cs="Arial" w:eastAsia="Arial" w:hAnsi="Arial"/>
                <w:sz w:val="21"/>
                <w:szCs w:val="21"/>
              </w:rPr>
              <w:t xml:space="preserve">Itérations Newton-Raphson</w:t>
            </w:r>
          </w:p>
          <w:p>
            <w:pPr>
              <w:pStyle w:val="ListParagraph"/>
              <w:numPr>
                <w:ilvl w:val="0"/>
                <w:numId w:val="2"/>
              </w:numPr>
              <w:spacing w:before="55" w:after="55"/>
            </w:pPr>
            <w:r>
              <w:rPr>
                <w:rFonts w:ascii="Arial" w:cs="Arial" w:eastAsia="Arial" w:hAnsi="Arial"/>
                <w:sz w:val="21"/>
                <w:szCs w:val="21"/>
              </w:rPr>
              <w:t xml:space="preserve">Chargement incrémental</w:t>
            </w:r>
          </w:p>
          <w:p>
            <w:pPr>
              <w:pStyle w:val="ListParagraph"/>
              <w:numPr>
                <w:ilvl w:val="0"/>
                <w:numId w:val="2"/>
              </w:numPr>
              <w:spacing w:before="55" w:after="55"/>
            </w:pPr>
            <w:r>
              <w:rPr>
                <w:rFonts w:ascii="Arial" w:cs="Arial" w:eastAsia="Arial" w:hAnsi="Arial"/>
                <w:sz w:val="21"/>
                <w:szCs w:val="21"/>
              </w:rPr>
              <w:t xml:space="preserve">Chaque pas résout un K·ΔU = ΔF linéarisé</w:t>
            </w:r>
          </w:p>
        </w:tc>
      </w:tr>
    </w:tbl>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6"/>
              <w:left w:val="single" w:color="375623" w:sz="6"/>
              <w:bottom w:val="single" w:color="375623" w:sz="6"/>
              <w:right w:val="single" w:color="375623" w:sz="6"/>
            </w:tcBorders>
            <w:shd w:fill="375623"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3 — LES ÉLÉMENTS FINIS : TYPES, CHOIX, IMPLICATIONS</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3.1  Les types d’éléments et ce qu’ils supposent</w:t>
      </w:r>
    </w:p>
    <w:p>
      <w:pPr>
        <w:spacing w:before="80" w:after="80"/>
      </w:pPr>
      <w:r>
        <w:rPr>
          <w:rFonts w:ascii="Arial" w:cs="Arial" w:eastAsia="Arial" w:hAnsi="Arial"/>
          <w:sz w:val="21"/>
          <w:szCs w:val="21"/>
        </w:rPr>
        <w:t xml:space="preserve">Le choix du type d’élément n’est pas cosmétique — il définit quels comportements physiques peuvent être capturés et lesquels sont exclus par construction. Utiliser un élément inadapté à la physique donne des résultats précis pour le mauvais problème.</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00"/>
        <w:gridCol w:w="1800"/>
      </w:tblGrid>
      <w:tr>
        <w:trPr>
          <w:tblHeader/>
        </w:trPr>
        <w:tc>
          <w:tcPr>
            <w:tcW w:type="dxa" w:w="16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Type</w:t>
            </w:r>
          </w:p>
        </w:tc>
        <w:tc>
          <w:tcPr>
            <w:tcW w:type="dxa" w:w="20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Nom courant</w:t>
            </w:r>
          </w:p>
        </w:tc>
        <w:tc>
          <w:tcPr>
            <w:tcW w:type="dxa" w:w="20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Usage approprié</w:t>
            </w:r>
          </w:p>
        </w:tc>
        <w:tc>
          <w:tcPr>
            <w:tcW w:type="dxa" w:w="18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Ce qu’il suppose</w:t>
            </w:r>
          </w:p>
        </w:tc>
        <w:tc>
          <w:tcPr>
            <w:tcW w:type="dxa" w:w="18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Limite principale</w:t>
            </w:r>
          </w:p>
        </w:tc>
      </w:tr>
      <w:tr>
        <w:tc>
          <w:tcPr>
            <w:tcW w:type="dxa" w:w="1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Solide 3D linéaire</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TET4, HEX8</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Structures massives 3D</w:t>
            </w:r>
          </w:p>
        </w:tc>
        <w:tc>
          <w:tcPr>
            <w:tcW w:type="dxa" w:w="1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Déplacement linéaire sur chaque élément</w:t>
            </w:r>
          </w:p>
        </w:tc>
        <w:tc>
          <w:tcPr>
            <w:tcW w:type="dxa" w:w="18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833333"/>
                <w:sz w:val="17"/>
                <w:szCs w:val="17"/>
              </w:rPr>
              <w:t xml:space="preserve">Mauvais en flexion — trop rigide (locking)</w:t>
            </w:r>
          </w:p>
        </w:tc>
      </w:tr>
      <w:tr>
        <w:tc>
          <w:tcPr>
            <w:tcW w:type="dxa" w:w="1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Solide 3D quadratique</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TET10, HEX20</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Structures 3D avec courbure</w:t>
            </w:r>
          </w:p>
        </w:tc>
        <w:tc>
          <w:tcPr>
            <w:tcW w:type="dxa" w:w="1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Déplacement parabolique sur chaque élément</w:t>
            </w:r>
          </w:p>
        </w:tc>
        <w:tc>
          <w:tcPr>
            <w:tcW w:type="dxa" w:w="1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833333"/>
                <w:sz w:val="17"/>
                <w:szCs w:val="17"/>
              </w:rPr>
              <w:t xml:space="preserve">2–3× plus de DDL — mais nécessaire aux entailles</w:t>
            </w:r>
          </w:p>
        </w:tc>
      </w:tr>
      <w:tr>
        <w:tc>
          <w:tcPr>
            <w:tcW w:type="dxa" w:w="1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Coques (shell)</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QUAD4, QUAD8</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Plaques, coques minces, tôles</w:t>
            </w:r>
          </w:p>
        </w:tc>
        <w:tc>
          <w:tcPr>
            <w:tcW w:type="dxa" w:w="1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Hypothèse de Kirchhoff ou Mindlin</w:t>
            </w:r>
          </w:p>
        </w:tc>
        <w:tc>
          <w:tcPr>
            <w:tcW w:type="dxa" w:w="18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833333"/>
                <w:sz w:val="17"/>
                <w:szCs w:val="17"/>
              </w:rPr>
              <w:t xml:space="preserve">Invalid si l’épaisseur n’est pas petite devant les autres dimensions</w:t>
            </w:r>
          </w:p>
        </w:tc>
      </w:tr>
      <w:tr>
        <w:tc>
          <w:tcPr>
            <w:tcW w:type="dxa" w:w="1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Poutres (beam)</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B31, B32</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Cadres, longerons, tubes minces</w:t>
            </w:r>
          </w:p>
        </w:tc>
        <w:tc>
          <w:tcPr>
            <w:tcW w:type="dxa" w:w="1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Section rigide, déformation en ligne</w:t>
            </w:r>
          </w:p>
        </w:tc>
        <w:tc>
          <w:tcPr>
            <w:tcW w:type="dxa" w:w="1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833333"/>
                <w:sz w:val="17"/>
                <w:szCs w:val="17"/>
              </w:rPr>
              <w:t xml:space="preserve">Ne capture pas les déformations de section</w:t>
            </w:r>
          </w:p>
        </w:tc>
      </w:tr>
      <w:tr>
        <w:tc>
          <w:tcPr>
            <w:tcW w:type="dxa" w:w="1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Éléments de contact</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GAP, CONTA</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Interfaces entre pièces</w:t>
            </w:r>
          </w:p>
        </w:tc>
        <w:tc>
          <w:tcPr>
            <w:tcW w:type="dxa" w:w="1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Contact unilatéral (ne traction pas)</w:t>
            </w:r>
          </w:p>
        </w:tc>
        <w:tc>
          <w:tcPr>
            <w:tcW w:type="dxa" w:w="18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833333"/>
                <w:sz w:val="17"/>
                <w:szCs w:val="17"/>
              </w:rPr>
              <w:t xml:space="preserve">Non-linéaire — itérations nécessaires</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3.2  Le phénomène de locking (blocage en cisaillement)</w:t>
      </w:r>
    </w:p>
    <w:p>
      <w:pPr>
        <w:spacing w:before="80" w:after="80"/>
      </w:pPr>
      <w:r>
        <w:rPr>
          <w:rFonts w:ascii="Arial" w:cs="Arial" w:eastAsia="Arial" w:hAnsi="Arial"/>
          <w:sz w:val="21"/>
          <w:szCs w:val="21"/>
        </w:rPr>
        <w:t xml:space="preserve">Le locking est l’erreur la plus courante et la moins détectée en FEA. Un élément linéaire (TET4, HEX8) utilisé pour modéliser de la flexion produit une rigidité artificielle — la pièce semble plus rigide qu’elle n’est en réalité. Le résultat est faux mais semble cohérent si on ne sait pas quoi chercher.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5100" w:sz="6"/>
              <w:left w:val="single" w:color="E65100" w:sz="6"/>
              <w:bottom w:val="single" w:color="E65100" w:sz="6"/>
              <w:right w:val="single" w:color="E65100" w:sz="6"/>
            </w:tcBorders>
            <w:shd w:fill="FFF3E0" w:val="clear"/>
            <w:tcMar>
              <w:top w:type="dxa" w:w="80"/>
              <w:left w:type="dxa" w:w="140"/>
              <w:bottom w:type="dxa" w:w="80"/>
              <w:right w:type="dxa" w:w="140"/>
            </w:tcMar>
          </w:tcPr>
          <w:p>
            <w:r>
              <w:rPr>
                <w:rFonts w:ascii="Arial" w:cs="Arial" w:eastAsia="Arial" w:hAnsi="Arial"/>
                <w:b/>
                <w:bCs/>
                <w:color w:val="E65100"/>
                <w:sz w:val="19"/>
                <w:szCs w:val="19"/>
              </w:rPr>
              <w:t xml:space="preserve">⚠️  Un modèle TET4 chargé en flexion peut sous-estimer le déplacement réel d’un facteur 2 à 10 selon la finesse du maillage. Toujours utiliser TET10 ou HEX20 pour les structures en flexion.</w:t>
            </w:r>
          </w:p>
        </w:tc>
      </w:tr>
    </w:tbl>
    <w:p>
      <w:pPr>
        <w:spacing w:before="60" w:after="60"/>
      </w:pPr>
      <w:r>
        <w:rPr>
          <w:rFonts w:ascii="Arial" w:cs="Arial" w:eastAsia="Arial" w:hAnsi="Arial"/>
          <w:sz w:val="21"/>
          <w:szCs w:val="21"/>
        </w:rPr>
        <w:t xml:space="preserve"/>
      </w:r>
    </w:p>
    <w:p>
      <w:pPr>
        <w:spacing w:before="80" w:after="80"/>
      </w:pPr>
      <w:r>
        <w:rPr>
          <w:rFonts w:ascii="Arial" w:cs="Arial" w:eastAsia="Arial" w:hAnsi="Arial"/>
          <w:sz w:val="21"/>
          <w:szCs w:val="21"/>
        </w:rPr>
        <w:t xml:space="preserve">La raison physique : les éléments linéaires ne peuvent pas représenter un gradient de déformation linéaire (ce qui se passe réellement en flexion). Pour compenser, ils développent des déformations de cisaillement parasites qui absorbent de l’énergie — d’où la rigidité apparente excessive.</w:t>
      </w:r>
    </w:p>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5A11" w:sz="6"/>
              <w:left w:val="single" w:color="C55A11" w:sz="6"/>
              <w:bottom w:val="single" w:color="C55A11" w:sz="6"/>
              <w:right w:val="single" w:color="C55A11" w:sz="6"/>
            </w:tcBorders>
            <w:shd w:fill="C55A11"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4 — LE MAILLAGE : CE QUE TOUT LE MONDE FAIT MAL</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4.1  La convergence de maillage — le seul test rigoureux</w:t>
      </w:r>
    </w:p>
    <w:p>
      <w:pPr>
        <w:spacing w:before="80" w:after="80"/>
      </w:pPr>
      <w:r>
        <w:rPr>
          <w:rFonts w:ascii="Arial" w:cs="Arial" w:eastAsia="Arial" w:hAnsi="Arial"/>
          <w:sz w:val="21"/>
          <w:szCs w:val="21"/>
        </w:rPr>
        <w:t xml:space="preserve">La convergence de maillage est le processus par lequel on vérifie que la solution ne change plus significativement quand on raffine le maillage. C’est la seule validation rigoureuse d’un modèle FEA. Sans étude de convergence, un résultat FEA est une estimation non bornée.</w:t>
      </w:r>
    </w:p>
    <w:p>
      <w:pPr>
        <w:spacing w:before="80" w:after="80"/>
      </w:pPr>
      <w:r>
        <w:rPr>
          <w:rFonts w:ascii="Arial" w:cs="Arial" w:eastAsia="Arial" w:hAnsi="Arial"/>
          <w:sz w:val="21"/>
          <w:szCs w:val="21"/>
        </w:rPr>
        <w:t xml:space="preserve">En pratique : faire tourner le modèle avec trois maillages successivement plus fins (par exemple : taille d’élément divisée par 2 à chaque fois). Si la contrainte maximale varie de moins de 5 % entre les deux derniers maillages, le modèle est considéré comme convergent. Ce seuil de 5 % est une convention pratique — pas une règle physique absolue.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5100" w:sz="6"/>
              <w:left w:val="single" w:color="E65100" w:sz="6"/>
              <w:bottom w:val="single" w:color="E65100" w:sz="6"/>
              <w:right w:val="single" w:color="E65100" w:sz="6"/>
            </w:tcBorders>
            <w:shd w:fill="FFF3E0" w:val="clear"/>
            <w:tcMar>
              <w:top w:type="dxa" w:w="80"/>
              <w:left w:type="dxa" w:w="140"/>
              <w:bottom w:type="dxa" w:w="80"/>
              <w:right w:type="dxa" w:w="140"/>
            </w:tcMar>
          </w:tcPr>
          <w:p>
            <w:r>
              <w:rPr>
                <w:rFonts w:ascii="Arial" w:cs="Arial" w:eastAsia="Arial" w:hAnsi="Arial"/>
                <w:b/>
                <w:bCs/>
                <w:color w:val="E65100"/>
                <w:sz w:val="19"/>
                <w:szCs w:val="19"/>
              </w:rPr>
              <w:t xml:space="preserve">⚠️  Une étude de convergence complète est la première chose que demandera un expert lors d’une revue de calcul aéronautique ou ferroviaire. Son absence disqualifie le dossier.</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4.2  Où raffiner le maillage — la physique guide le choix</w:t>
      </w:r>
    </w:p>
    <w:p>
      <w:pPr>
        <w:spacing w:before="80" w:after="80"/>
      </w:pPr>
      <w:r>
        <w:rPr>
          <w:rFonts w:ascii="Arial" w:cs="Arial" w:eastAsia="Arial" w:hAnsi="Arial"/>
          <w:sz w:val="21"/>
          <w:szCs w:val="21"/>
        </w:rPr>
        <w:t xml:space="preserve">Raffiner uniformément tout un modèle est inefficace. La bonne approche est de raffiner là où les gradients de contrainte sont élevés. La physique dit où ces gradients se trouvent — le logiciel ne peut pas le savoir à l’avance.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Raffiner ici — Gradients élevés</w:t>
            </w:r>
          </w:p>
        </w:tc>
        <w:tc>
          <w:tcPr>
            <w:tcW w:type="dxa" w:w="46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Pas besoin de raffiner — Gradients faibles</w:t>
            </w:r>
          </w:p>
        </w:tc>
      </w:tr>
      <w:tr>
        <w:tc>
          <w:tcPr>
            <w:tcW w:type="dxa" w:w="46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sz w:val="21"/>
                <w:szCs w:val="21"/>
              </w:rPr>
              <w:t xml:space="preserve">Entailles, trous, chaîfreins, transitions de section</w:t>
            </w:r>
          </w:p>
          <w:p>
            <w:pPr>
              <w:pStyle w:val="ListParagraph"/>
              <w:numPr>
                <w:ilvl w:val="0"/>
                <w:numId w:val="2"/>
              </w:numPr>
              <w:spacing w:before="55" w:after="55"/>
            </w:pPr>
            <w:r>
              <w:rPr>
                <w:rFonts w:ascii="Arial" w:cs="Arial" w:eastAsia="Arial" w:hAnsi="Arial"/>
                <w:sz w:val="21"/>
                <w:szCs w:val="21"/>
              </w:rPr>
              <w:t xml:space="preserve">Zones de contact et d’appui</w:t>
            </w:r>
          </w:p>
          <w:p>
            <w:pPr>
              <w:pStyle w:val="ListParagraph"/>
              <w:numPr>
                <w:ilvl w:val="0"/>
                <w:numId w:val="2"/>
              </w:numPr>
              <w:spacing w:before="55" w:after="55"/>
            </w:pPr>
            <w:r>
              <w:rPr>
                <w:rFonts w:ascii="Arial" w:cs="Arial" w:eastAsia="Arial" w:hAnsi="Arial"/>
                <w:sz w:val="21"/>
                <w:szCs w:val="21"/>
              </w:rPr>
              <w:t xml:space="preserve">Zones de changement de matériau</w:t>
            </w:r>
          </w:p>
          <w:p>
            <w:pPr>
              <w:pStyle w:val="ListParagraph"/>
              <w:numPr>
                <w:ilvl w:val="0"/>
                <w:numId w:val="2"/>
              </w:numPr>
              <w:spacing w:before="55" w:after="55"/>
            </w:pPr>
            <w:r>
              <w:rPr>
                <w:rFonts w:ascii="Arial" w:cs="Arial" w:eastAsia="Arial" w:hAnsi="Arial"/>
                <w:sz w:val="21"/>
                <w:szCs w:val="21"/>
              </w:rPr>
              <w:t xml:space="preserve">Bords libres sous charge</w:t>
            </w:r>
          </w:p>
          <w:p>
            <w:pPr>
              <w:pStyle w:val="ListParagraph"/>
              <w:numPr>
                <w:ilvl w:val="0"/>
                <w:numId w:val="2"/>
              </w:numPr>
              <w:spacing w:before="55" w:after="55"/>
            </w:pPr>
            <w:r>
              <w:rPr>
                <w:rFonts w:ascii="Arial" w:cs="Arial" w:eastAsia="Arial" w:hAnsi="Arial"/>
                <w:sz w:val="21"/>
                <w:szCs w:val="21"/>
              </w:rPr>
              <w:t xml:space="preserve">Zones de concentration de contrainte connues analytiquement</w:t>
            </w:r>
          </w:p>
        </w:tc>
        <w:tc>
          <w:tcPr>
            <w:tcW w:type="dxa" w:w="46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sz w:val="21"/>
                <w:szCs w:val="21"/>
              </w:rPr>
              <w:t xml:space="preserve">Zones éloignées des charges et des appuis (principe de Saint-Venant)</w:t>
            </w:r>
          </w:p>
          <w:p>
            <w:pPr>
              <w:pStyle w:val="ListParagraph"/>
              <w:numPr>
                <w:ilvl w:val="0"/>
                <w:numId w:val="2"/>
              </w:numPr>
              <w:spacing w:before="55" w:after="55"/>
            </w:pPr>
            <w:r>
              <w:rPr>
                <w:rFonts w:ascii="Arial" w:cs="Arial" w:eastAsia="Arial" w:hAnsi="Arial"/>
                <w:sz w:val="21"/>
                <w:szCs w:val="21"/>
              </w:rPr>
              <w:t xml:space="preserve">Surfaces libres sans charge</w:t>
            </w:r>
          </w:p>
          <w:p>
            <w:pPr>
              <w:pStyle w:val="ListParagraph"/>
              <w:numPr>
                <w:ilvl w:val="0"/>
                <w:numId w:val="2"/>
              </w:numPr>
              <w:spacing w:before="55" w:after="55"/>
            </w:pPr>
            <w:r>
              <w:rPr>
                <w:rFonts w:ascii="Arial" w:cs="Arial" w:eastAsia="Arial" w:hAnsi="Arial"/>
                <w:sz w:val="21"/>
                <w:szCs w:val="21"/>
              </w:rPr>
              <w:t xml:space="preserve">Intérieur d’une pièce massive éloignée des zones actives</w:t>
            </w:r>
          </w:p>
          <w:p>
            <w:pPr>
              <w:pStyle w:val="ListParagraph"/>
              <w:numPr>
                <w:ilvl w:val="0"/>
                <w:numId w:val="2"/>
              </w:numPr>
              <w:spacing w:before="55" w:after="55"/>
            </w:pPr>
            <w:r>
              <w:rPr>
                <w:rFonts w:ascii="Arial" w:cs="Arial" w:eastAsia="Arial" w:hAnsi="Arial"/>
                <w:sz w:val="21"/>
                <w:szCs w:val="21"/>
              </w:rPr>
              <w:t xml:space="preserve">Zones en traction ou compression pure uniforme</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4.3  La qualité des éléments — indicateurs numériques</w:t>
      </w:r>
    </w:p>
    <w:p>
      <w:pPr>
        <w:spacing w:before="80" w:after="80"/>
      </w:pPr>
      <w:r>
        <w:rPr>
          <w:rFonts w:ascii="Arial" w:cs="Arial" w:eastAsia="Arial" w:hAnsi="Arial"/>
          <w:sz w:val="21"/>
          <w:szCs w:val="21"/>
        </w:rPr>
        <w:t xml:space="preserve">Un élément très distorc ou très aplati produit des erreurs numériques indépendantes de la densité de maillage. Les logiciels fournissent des indicateurs de qualité — il faut les lire et les interpréter avant de lancer le calcul.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Indicateur</w:t>
            </w:r>
          </w:p>
        </w:tc>
        <w:tc>
          <w:tcPr>
            <w:tcW w:type="dxa" w:w="23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Ce qu’il mesure</w:t>
            </w:r>
          </w:p>
        </w:tc>
        <w:tc>
          <w:tcPr>
            <w:tcW w:type="dxa" w:w="23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Seuil acceptable</w:t>
            </w:r>
          </w:p>
        </w:tc>
        <w:tc>
          <w:tcPr>
            <w:tcW w:type="dxa" w:w="23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Conséquence si mauvais</w:t>
            </w:r>
          </w:p>
        </w:tc>
      </w:tr>
      <w:tr>
        <w:tc>
          <w:tcPr>
            <w:tcW w:type="dxa" w:w="2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Aspect ratio</w:t>
            </w:r>
          </w:p>
        </w:tc>
        <w:tc>
          <w:tcPr>
            <w:tcW w:type="dxa" w:w="2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Rapport longueur/largeur d’un élément</w:t>
            </w:r>
          </w:p>
        </w:tc>
        <w:tc>
          <w:tcPr>
            <w:tcW w:type="dxa" w:w="23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18"/>
                <w:szCs w:val="18"/>
              </w:rPr>
              <w:t xml:space="preserve">&lt; 10 (idéalement &lt; 3)</w:t>
            </w:r>
          </w:p>
        </w:tc>
        <w:tc>
          <w:tcPr>
            <w:tcW w:type="dxa" w:w="23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833333"/>
                <w:sz w:val="17"/>
                <w:szCs w:val="17"/>
              </w:rPr>
              <w:t xml:space="preserve">Erreur d’intégration, rigidité parasitaire</w:t>
            </w:r>
          </w:p>
        </w:tc>
      </w:tr>
      <w:tr>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Skewness</w:t>
            </w:r>
          </w:p>
        </w:tc>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Distorsion angulaire de l’élément</w:t>
            </w:r>
          </w:p>
        </w:tc>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18"/>
                <w:szCs w:val="18"/>
              </w:rPr>
              <w:t xml:space="preserve">&lt; 0.85 (0 = parfait, 1 = dégénéré)</w:t>
            </w:r>
          </w:p>
        </w:tc>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833333"/>
                <w:sz w:val="17"/>
                <w:szCs w:val="17"/>
              </w:rPr>
              <w:t xml:space="preserve">Matrices K mal conditionnées</w:t>
            </w:r>
          </w:p>
        </w:tc>
      </w:tr>
      <w:tr>
        <w:tc>
          <w:tcPr>
            <w:tcW w:type="dxa" w:w="2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Jacobien (det. J)</w:t>
            </w:r>
          </w:p>
        </w:tc>
        <w:tc>
          <w:tcPr>
            <w:tcW w:type="dxa" w:w="2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Déterminant de la transformation élément réel → réf.</w:t>
            </w:r>
          </w:p>
        </w:tc>
        <w:tc>
          <w:tcPr>
            <w:tcW w:type="dxa" w:w="23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18"/>
                <w:szCs w:val="18"/>
              </w:rPr>
              <w:t xml:space="preserve">Toujours positif</w:t>
            </w:r>
          </w:p>
        </w:tc>
        <w:tc>
          <w:tcPr>
            <w:tcW w:type="dxa" w:w="23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833333"/>
                <w:sz w:val="17"/>
                <w:szCs w:val="17"/>
              </w:rPr>
              <w:t xml:space="preserve">Jacobien négatif = élément inversé = calcul invalide</w:t>
            </w:r>
          </w:p>
        </w:tc>
      </w:tr>
      <w:tr>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Warping (coques)</w:t>
            </w:r>
          </w:p>
        </w:tc>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Planité d’un élément coque 2D</w:t>
            </w:r>
          </w:p>
        </w:tc>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18"/>
                <w:szCs w:val="18"/>
              </w:rPr>
              <w:t xml:space="preserve">Angle &lt; 10° typ.</w:t>
            </w:r>
          </w:p>
        </w:tc>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833333"/>
                <w:sz w:val="17"/>
                <w:szCs w:val="17"/>
              </w:rPr>
              <w:t xml:space="preserve">Déformation hors plan mal capturée</w:t>
            </w:r>
          </w:p>
        </w:tc>
      </w:tr>
    </w:tbl>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33333" w:sz="6"/>
              <w:left w:val="single" w:color="833333" w:sz="6"/>
              <w:bottom w:val="single" w:color="833333" w:sz="6"/>
              <w:right w:val="single" w:color="833333" w:sz="6"/>
            </w:tcBorders>
            <w:shd w:fill="833333"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5 — LES CONDITIONS AUX LIMITES : LA SOURCE D’ERREUR N° 1</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5.1  Pourquoi les conditions aux limites sont critiques</w:t>
      </w:r>
    </w:p>
    <w:p>
      <w:pPr>
        <w:spacing w:before="80" w:after="80"/>
      </w:pPr>
      <w:r>
        <w:rPr>
          <w:rFonts w:ascii="Arial" w:cs="Arial" w:eastAsia="Arial" w:hAnsi="Arial"/>
          <w:sz w:val="21"/>
          <w:szCs w:val="21"/>
        </w:rPr>
        <w:t xml:space="preserve">Des conditions aux limites incorrectes produisent des résultats numériquement précis pour le mauvais problème physique. C’est la source d’erreur la plus fréquente en pratique — et la moins détectée, parce que le calcul converge sans message d’erreur.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5100" w:sz="6"/>
              <w:left w:val="single" w:color="E65100" w:sz="6"/>
              <w:bottom w:val="single" w:color="E65100" w:sz="6"/>
              <w:right w:val="single" w:color="E65100" w:sz="6"/>
            </w:tcBorders>
            <w:shd w:fill="FFF3E0" w:val="clear"/>
            <w:tcMar>
              <w:top w:type="dxa" w:w="80"/>
              <w:left w:type="dxa" w:w="140"/>
              <w:bottom w:type="dxa" w:w="80"/>
              <w:right w:type="dxa" w:w="140"/>
            </w:tcMar>
          </w:tcPr>
          <w:p>
            <w:r>
              <w:rPr>
                <w:rFonts w:ascii="Arial" w:cs="Arial" w:eastAsia="Arial" w:hAnsi="Arial"/>
                <w:b/>
                <w:bCs/>
                <w:color w:val="E65100"/>
                <w:sz w:val="19"/>
                <w:szCs w:val="19"/>
              </w:rPr>
              <w:t xml:space="preserve">⚠️  Un appui trop rigide (encastrement total là où la réalité est un simple appui) sous-estime systématiquement les déplacements et les contraintes. Un appui trop libre sur-estime les déplacements et peut créer des modes rigides parasitaires. Les deux sont des erreurs graves et silencieuses.</w:t>
            </w:r>
          </w:p>
        </w:tc>
      </w:tr>
    </w:tbl>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 de CL</w:t>
            </w:r>
          </w:p>
        </w:tc>
        <w:tc>
          <w:tcPr>
            <w:tcW w:type="dxa" w:w="3067"/>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Ce qu’il impose</w:t>
            </w:r>
          </w:p>
        </w:tc>
        <w:tc>
          <w:tcPr>
            <w:tcW w:type="dxa" w:w="3067"/>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Erreur classique</w:t>
            </w:r>
          </w:p>
        </w:tc>
      </w:tr>
      <w:tr>
        <w:tc>
          <w:tcPr>
            <w:tcW w:type="dxa" w:w="3066"/>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Encastrement (6 DDL bloqués)</w:t>
            </w:r>
          </w:p>
        </w:tc>
        <w:tc>
          <w:tcPr>
            <w:tcW w:type="dxa" w:w="3067"/>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Déplacement ET rotation nuls</w:t>
            </w:r>
          </w:p>
        </w:tc>
        <w:tc>
          <w:tcPr>
            <w:tcW w:type="dxa" w:w="3067"/>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833333"/>
                <w:sz w:val="17"/>
                <w:szCs w:val="17"/>
              </w:rPr>
              <w:t xml:space="preserve">Surestimation de la rigidité si la liaison réelle est moins rigide</w:t>
            </w:r>
          </w:p>
        </w:tc>
      </w:tr>
      <w:tr>
        <w:tc>
          <w:tcPr>
            <w:tcW w:type="dxa" w:w="3066"/>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Appui simple (translation bloquée)</w:t>
            </w:r>
          </w:p>
        </w:tc>
        <w:tc>
          <w:tcPr>
            <w:tcW w:type="dxa" w:w="3067"/>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Translation bloquée, rotation libre</w:t>
            </w:r>
          </w:p>
        </w:tc>
        <w:tc>
          <w:tcPr>
            <w:tcW w:type="dxa" w:w="3067"/>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833333"/>
                <w:sz w:val="17"/>
                <w:szCs w:val="17"/>
              </w:rPr>
              <w:t xml:space="preserve">Sous-estimation de la rigidité si la liaison réelle est partielle</w:t>
            </w:r>
          </w:p>
        </w:tc>
      </w:tr>
      <w:tr>
        <w:tc>
          <w:tcPr>
            <w:tcW w:type="dxa" w:w="3066"/>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Symétrie</w:t>
            </w:r>
          </w:p>
        </w:tc>
        <w:tc>
          <w:tcPr>
            <w:tcW w:type="dxa" w:w="3067"/>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Translations normales et rotations tangentes bloquées</w:t>
            </w:r>
          </w:p>
        </w:tc>
        <w:tc>
          <w:tcPr>
            <w:tcW w:type="dxa" w:w="3067"/>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833333"/>
                <w:sz w:val="17"/>
                <w:szCs w:val="17"/>
              </w:rPr>
              <w:t xml:space="preserve">Invalide si le chargement ou la géométrie ne sont pas symétriques</w:t>
            </w:r>
          </w:p>
        </w:tc>
      </w:tr>
      <w:tr>
        <w:tc>
          <w:tcPr>
            <w:tcW w:type="dxa" w:w="3066"/>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Force concentrée sur un nœud</w:t>
            </w:r>
          </w:p>
        </w:tc>
        <w:tc>
          <w:tcPr>
            <w:tcW w:type="dxa" w:w="3067"/>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Force ponctuelle (singularité mathématique)</w:t>
            </w:r>
          </w:p>
        </w:tc>
        <w:tc>
          <w:tcPr>
            <w:tcW w:type="dxa" w:w="3067"/>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833333"/>
                <w:sz w:val="17"/>
                <w:szCs w:val="17"/>
              </w:rPr>
              <w:t xml:space="preserve">Contrainte infinie théorique au nœud d’application — résultat local non physique</w:t>
            </w:r>
          </w:p>
        </w:tc>
      </w:tr>
      <w:tr>
        <w:tc>
          <w:tcPr>
            <w:tcW w:type="dxa" w:w="3066"/>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Pression surfacique distribuée</w:t>
            </w:r>
          </w:p>
        </w:tc>
        <w:tc>
          <w:tcPr>
            <w:tcW w:type="dxa" w:w="3067"/>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Charge répartie sur une surface</w:t>
            </w:r>
          </w:p>
        </w:tc>
        <w:tc>
          <w:tcPr>
            <w:tcW w:type="dxa" w:w="3067"/>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833333"/>
                <w:sz w:val="17"/>
                <w:szCs w:val="17"/>
              </w:rPr>
              <w:t xml:space="preserve">Erreur si la zone de contact est mal définie ou surestimée</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5.2  Le principe de Saint-Venant — la règle qui justifie l’approximation</w:t>
      </w:r>
    </w:p>
    <w:p>
      <w:pPr>
        <w:spacing w:before="80" w:after="80"/>
      </w:pPr>
      <w:r>
        <w:rPr>
          <w:rFonts w:ascii="Arial" w:cs="Arial" w:eastAsia="Arial" w:hAnsi="Arial"/>
          <w:sz w:val="21"/>
          <w:szCs w:val="21"/>
        </w:rPr>
        <w:t xml:space="preserve">Le principe de Saint-Venant dit qu’à distance suffisante du point d’application d’une charge (ou d’une condition aux limites), les effets locaux s’atténuent et la solution tend vers celle d’une charge équivalente statiquement. En pratique : à une distance d’environ deux fois la dimension caractéristique de la zone de chargement, la distribution de contrainte est quasi-indépendante de la répartition exacte des forces.</w:t>
      </w:r>
    </w:p>
    <w:p>
      <w:pPr>
        <w:spacing w:before="80" w:after="80"/>
      </w:pPr>
      <w:r>
        <w:rPr>
          <w:rFonts w:ascii="Arial" w:cs="Arial" w:eastAsia="Arial" w:hAnsi="Arial"/>
          <w:sz w:val="21"/>
          <w:szCs w:val="21"/>
        </w:rPr>
        <w:t xml:space="preserve">Implication pratique : si la zone qui vous intéresse est éloignée du point d’application des charges, vous pouvez simplifier la modélisation de ces charges sans affecter significativement les résultats dans la zone d’intérêt.</w:t>
      </w:r>
    </w:p>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276" w:sz="6"/>
              <w:left w:val="single" w:color="1A5276" w:sz="6"/>
              <w:bottom w:val="single" w:color="1A5276" w:sz="6"/>
              <w:right w:val="single" w:color="1A5276" w:sz="6"/>
            </w:tcBorders>
            <w:shd w:fill="1A5276"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6 — INTERPRÉTER LES CONTRAINTES : CE QUE LE LOGICIEL AFFICHE</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6.1  Le tenseur des contraintes et ses invariants</w:t>
      </w:r>
    </w:p>
    <w:p>
      <w:pPr>
        <w:spacing w:before="80" w:after="80"/>
      </w:pPr>
      <w:r>
        <w:rPr>
          <w:rFonts w:ascii="Arial" w:cs="Arial" w:eastAsia="Arial" w:hAnsi="Arial"/>
          <w:sz w:val="21"/>
          <w:szCs w:val="21"/>
        </w:rPr>
        <w:t xml:space="preserve">En un point d’un solide 3D, l’état de contrainte est décrit par un tenseur symétrique de rang 2 à 6 composantes indépendantes (σₓₓ, σᵧᵧ, σᵩᵩ, τₓᵧ, τₓᵩ, τᵧᵩ). Ce tenseur dépend de l’orientation du repère choisi — les composantes changent selon la direction dans laquelle on regarde. Ses invariants (valeurs propres) ne changent pas.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C003E" w:sz="6"/>
              <w:left w:val="single" w:color="2C003E" w:sz="6"/>
              <w:bottom w:val="single" w:color="2C003E" w:sz="6"/>
              <w:right w:val="single" w:color="2C003E" w:sz="6"/>
            </w:tcBorders>
            <w:shd w:fill="F3E5F5" w:val="clear"/>
            <w:tcMar>
              <w:top w:type="dxa" w:w="90"/>
              <w:left w:type="dxa" w:w="150"/>
              <w:bottom w:type="dxa" w:w="90"/>
              <w:right w:type="dxa" w:w="150"/>
            </w:tcMar>
          </w:tcPr>
          <w:p>
            <w:pPr>
              <w:spacing w:before="0" w:after="40"/>
            </w:pPr>
            <w:r>
              <w:rPr>
                <w:rFonts w:ascii="Arial" w:cs="Arial" w:eastAsia="Arial" w:hAnsi="Arial"/>
                <w:b/>
                <w:bCs/>
                <w:color w:val="2C003E"/>
                <w:sz w:val="18"/>
                <w:szCs w:val="18"/>
              </w:rPr>
              <w:t xml:space="preserve">Contraintes principales — invariants du tenseur des contraintes</w:t>
            </w:r>
          </w:p>
          <w:p>
            <w:pPr>
              <w:spacing w:before="0" w:after="50"/>
              <w:jc w:val="center"/>
            </w:pPr>
            <w:r>
              <w:rPr>
                <w:rFonts w:ascii="Courier New" w:cs="Courier New" w:eastAsia="Courier New" w:hAnsi="Courier New"/>
                <w:b/>
                <w:bCs/>
                <w:color w:val="2C003E"/>
                <w:sz w:val="22"/>
                <w:szCs w:val="22"/>
              </w:rPr>
              <w:t xml:space="preserve">det(σ - λ I) = 0     ⇒ λ₁ ≥ λ₂ ≥ λ₃ (contraintes principales)</w:t>
            </w:r>
          </w:p>
          <w:p>
            <w:pPr>
              <w:spacing w:before="0" w:after="0"/>
            </w:pPr>
            <w:r>
              <w:rPr>
                <w:rFonts w:ascii="Arial" w:cs="Arial" w:eastAsia="Arial" w:hAnsi="Arial"/>
                <w:i/>
                <w:iCs/>
                <w:color w:val="1A1A1A"/>
                <w:sz w:val="19"/>
                <w:szCs w:val="19"/>
              </w:rPr>
              <w:t xml:space="preserve">Les contraintes principales λ₁, λ₂, λ₃ sont les valeurs propres du tenseur. Ce sont les contraintes maximale et minimale en un point, dans des directions où le cisaillement est nul (les directions principales). Elles ne dépendent pas du repère choisi.</w:t>
            </w:r>
          </w:p>
        </w:tc>
      </w:tr>
    </w:tbl>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C003E" w:sz="6"/>
              <w:left w:val="single" w:color="2C003E" w:sz="6"/>
              <w:bottom w:val="single" w:color="2C003E" w:sz="6"/>
              <w:right w:val="single" w:color="2C003E" w:sz="6"/>
            </w:tcBorders>
            <w:shd w:fill="F3E5F5" w:val="clear"/>
            <w:tcMar>
              <w:top w:type="dxa" w:w="90"/>
              <w:left w:type="dxa" w:w="150"/>
              <w:bottom w:type="dxa" w:w="90"/>
              <w:right w:type="dxa" w:w="150"/>
            </w:tcMar>
          </w:tcPr>
          <w:p>
            <w:pPr>
              <w:spacing w:before="0" w:after="40"/>
            </w:pPr>
            <w:r>
              <w:rPr>
                <w:rFonts w:ascii="Arial" w:cs="Arial" w:eastAsia="Arial" w:hAnsi="Arial"/>
                <w:b/>
                <w:bCs/>
                <w:color w:val="2C003E"/>
                <w:sz w:val="18"/>
                <w:szCs w:val="18"/>
              </w:rPr>
              <w:t xml:space="preserve">Contrainte de Von Mises — critère de plasticité pour les métaux</w:t>
            </w:r>
          </w:p>
          <w:p>
            <w:pPr>
              <w:spacing w:before="0" w:after="50"/>
              <w:jc w:val="center"/>
            </w:pPr>
            <w:r>
              <w:rPr>
                <w:rFonts w:ascii="Courier New" w:cs="Courier New" w:eastAsia="Courier New" w:hAnsi="Courier New"/>
                <w:b/>
                <w:bCs/>
                <w:color w:val="2C003E"/>
                <w:sz w:val="22"/>
                <w:szCs w:val="22"/>
              </w:rPr>
              <w:t xml:space="preserve">σ_VM = √[½((σ₁-σ₂)² + (σ₂-σ₃)² + (σ₃-σ₁)²)]</w:t>
            </w:r>
          </w:p>
          <w:p>
            <w:pPr>
              <w:spacing w:before="0" w:after="0"/>
            </w:pPr>
            <w:r>
              <w:rPr>
                <w:rFonts w:ascii="Arial" w:cs="Arial" w:eastAsia="Arial" w:hAnsi="Arial"/>
                <w:i/>
                <w:iCs/>
                <w:color w:val="1A1A1A"/>
                <w:sz w:val="19"/>
                <w:szCs w:val="19"/>
              </w:rPr>
              <w:t xml:space="preserve">La contrainte de Von Mises est la contrainte équivalente utilisée pour le critère de plasticité de Huber-Von Mises-Hencky : plastification si σ_VM ≥ Rₙ (limite d’élasticite). Elle est affichée par défaut dans la plupart des logiciels. Elle est pertinente pour les métaux ductiles. Elle n’est pas adaptée aux composites ou aux matériaux fragiles.</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6.2  Limites de la contrainte de Von Mises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5100" w:sz="6"/>
              <w:left w:val="single" w:color="E65100" w:sz="6"/>
              <w:bottom w:val="single" w:color="E65100" w:sz="6"/>
              <w:right w:val="single" w:color="E65100" w:sz="6"/>
            </w:tcBorders>
            <w:shd w:fill="FFF3E0" w:val="clear"/>
            <w:tcMar>
              <w:top w:type="dxa" w:w="80"/>
              <w:left w:type="dxa" w:w="140"/>
              <w:bottom w:type="dxa" w:w="80"/>
              <w:right w:type="dxa" w:w="140"/>
            </w:tcMar>
          </w:tcPr>
          <w:p>
            <w:r>
              <w:rPr>
                <w:rFonts w:ascii="Arial" w:cs="Arial" w:eastAsia="Arial" w:hAnsi="Arial"/>
                <w:b/>
                <w:bCs/>
                <w:color w:val="E65100"/>
                <w:sz w:val="19"/>
                <w:szCs w:val="19"/>
              </w:rPr>
              <w:t xml:space="preserve">⚠️  Von Mises ne convient PAS pour les composites (utiliser Tsai-Wu ou Tsai-Hill), les matériaux fragiles (utiliser Rankine ou Coulomb-Mohr), et les cas de triaxialité élevée où la pression hydrostatique joue un rôle (endommagement ductile, décohesion).</w:t>
            </w:r>
          </w:p>
        </w:tc>
      </w:tr>
    </w:tbl>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300"/>
      </w:tblGrid>
      <w:tr>
        <w:trPr>
          <w:tblHeader/>
        </w:trPr>
        <w:tc>
          <w:tcPr>
            <w:tcW w:type="dxa" w:w="23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Matériau</w:t>
            </w:r>
          </w:p>
        </w:tc>
        <w:tc>
          <w:tcPr>
            <w:tcW w:type="dxa" w:w="36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Critère adapté</w:t>
            </w:r>
          </w:p>
        </w:tc>
        <w:tc>
          <w:tcPr>
            <w:tcW w:type="dxa" w:w="33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Raison</w:t>
            </w:r>
          </w:p>
        </w:tc>
      </w:tr>
      <w:tr>
        <w:tc>
          <w:tcPr>
            <w:tcW w:type="dxa" w:w="2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Acier, aluminium (ductile)</w:t>
            </w:r>
          </w:p>
        </w:tc>
        <w:tc>
          <w:tcPr>
            <w:tcW w:type="dxa" w:w="3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Von Mises (Huber-Von Mises-Hencky)</w:t>
            </w:r>
          </w:p>
        </w:tc>
        <w:tc>
          <w:tcPr>
            <w:tcW w:type="dxa" w:w="3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Plasticité isotrope, insensiblfité à la pression hydrostatique</w:t>
            </w:r>
          </w:p>
        </w:tc>
      </w:tr>
      <w:tr>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Composite stratifié</w:t>
            </w:r>
          </w:p>
        </w:tc>
        <w:tc>
          <w:tcPr>
            <w:tcW w:type="dxa" w:w="3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Tsai-Wu ou Tsai-Hill</w:t>
            </w:r>
          </w:p>
        </w:tc>
        <w:tc>
          <w:tcPr>
            <w:tcW w:type="dxa" w:w="3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Anisotropie, différence traction/compression</w:t>
            </w:r>
          </w:p>
        </w:tc>
      </w:tr>
      <w:tr>
        <w:tc>
          <w:tcPr>
            <w:tcW w:type="dxa" w:w="2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Fonte, céramique (fragile)</w:t>
            </w:r>
          </w:p>
        </w:tc>
        <w:tc>
          <w:tcPr>
            <w:tcW w:type="dxa" w:w="3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Rankine (contrainte principale max)</w:t>
            </w:r>
          </w:p>
        </w:tc>
        <w:tc>
          <w:tcPr>
            <w:tcW w:type="dxa" w:w="3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Rupture en traction, pas en cisaillement</w:t>
            </w:r>
          </w:p>
        </w:tc>
      </w:tr>
      <w:tr>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Bois, béton</w:t>
            </w:r>
          </w:p>
        </w:tc>
        <w:tc>
          <w:tcPr>
            <w:tcW w:type="dxa" w:w="3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Drucker-Prager ou Mohr-Coulomb</w:t>
            </w:r>
          </w:p>
        </w:tc>
        <w:tc>
          <w:tcPr>
            <w:tcW w:type="dxa" w:w="3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Influence de la pression hydrostatique</w:t>
            </w:r>
          </w:p>
        </w:tc>
      </w:tr>
      <w:tr>
        <w:tc>
          <w:tcPr>
            <w:tcW w:type="dxa" w:w="2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Plastomère, élastomère</w:t>
            </w:r>
          </w:p>
        </w:tc>
        <w:tc>
          <w:tcPr>
            <w:tcW w:type="dxa" w:w="3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Hyperelastique (Neo-Hookean, Mooney-Rivlin)</w:t>
            </w:r>
          </w:p>
        </w:tc>
        <w:tc>
          <w:tcPr>
            <w:tcW w:type="dxa" w:w="3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Grandes déformations, non-linéarité matériau</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6.3  Les singularités — contraintes infinies qui ne signifient rien</w:t>
      </w:r>
    </w:p>
    <w:p>
      <w:pPr>
        <w:spacing w:before="80" w:after="80"/>
      </w:pPr>
      <w:r>
        <w:rPr>
          <w:rFonts w:ascii="Arial" w:cs="Arial" w:eastAsia="Arial" w:hAnsi="Arial"/>
          <w:sz w:val="21"/>
          <w:szCs w:val="21"/>
        </w:rPr>
        <w:t xml:space="preserve">En théorie de l’élasticité linéaire, certaines géométries produisent des champs de contrainte singuliers — la contrainte tend vers l’infini quand le maillage est raffiné. Ces singularités mathématiques n’ont pas de sens physique : la réalité se débrouille autrement (plasticité locale, redistribution).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Situation</w:t>
            </w:r>
          </w:p>
        </w:tc>
        <w:tc>
          <w:tcPr>
            <w:tcW w:type="dxa" w:w="3067"/>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Ce qui se passe</w:t>
            </w:r>
          </w:p>
        </w:tc>
        <w:tc>
          <w:tcPr>
            <w:tcW w:type="dxa" w:w="3067"/>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Comment traiter</w:t>
            </w:r>
          </w:p>
        </w:tc>
      </w:tr>
      <w:tr>
        <w:tc>
          <w:tcPr>
            <w:tcW w:type="dxa" w:w="3066"/>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Angle rentrant à 90°</w:t>
            </w:r>
          </w:p>
        </w:tc>
        <w:tc>
          <w:tcPr>
            <w:tcW w:type="dxa" w:w="3067"/>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833333"/>
                <w:sz w:val="17"/>
                <w:szCs w:val="17"/>
              </w:rPr>
              <w:t xml:space="preserve">Singularité mathématique — σ → ∞</w:t>
            </w:r>
          </w:p>
        </w:tc>
        <w:tc>
          <w:tcPr>
            <w:tcW w:type="dxa" w:w="3067"/>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Rayon de raccordement, plasticité locale, approche par LEFM si fissure</w:t>
            </w:r>
          </w:p>
        </w:tc>
      </w:tr>
      <w:tr>
        <w:tc>
          <w:tcPr>
            <w:tcW w:type="dxa" w:w="3066"/>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Force concentrée sur un nœud</w:t>
            </w:r>
          </w:p>
        </w:tc>
        <w:tc>
          <w:tcPr>
            <w:tcW w:type="dxa" w:w="3067"/>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833333"/>
                <w:sz w:val="17"/>
                <w:szCs w:val="17"/>
              </w:rPr>
              <w:t xml:space="preserve">Singularité de point — σ → ∞</w:t>
            </w:r>
          </w:p>
        </w:tc>
        <w:tc>
          <w:tcPr>
            <w:tcW w:type="dxa" w:w="3067"/>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Distribuer la charge sur une surface, ignorer la contrainte au nœud d’application</w:t>
            </w:r>
          </w:p>
        </w:tc>
      </w:tr>
      <w:tr>
        <w:tc>
          <w:tcPr>
            <w:tcW w:type="dxa" w:w="3066"/>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Contact pointé (hertz)</w:t>
            </w:r>
          </w:p>
        </w:tc>
        <w:tc>
          <w:tcPr>
            <w:tcW w:type="dxa" w:w="3067"/>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833333"/>
                <w:sz w:val="17"/>
                <w:szCs w:val="17"/>
              </w:rPr>
              <w:t xml:space="preserve">Préssion de contact infinie en théorie</w:t>
            </w:r>
          </w:p>
        </w:tc>
        <w:tc>
          <w:tcPr>
            <w:tcW w:type="dxa" w:w="3067"/>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Utiliser la formule de Hertz analytique plutôt que la FEA pour le contact ponctuel</w:t>
            </w:r>
          </w:p>
        </w:tc>
      </w:tr>
      <w:tr>
        <w:tc>
          <w:tcPr>
            <w:tcW w:type="dxa" w:w="3066"/>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Transition abrupte matériaux</w:t>
            </w:r>
          </w:p>
        </w:tc>
        <w:tc>
          <w:tcPr>
            <w:tcW w:type="dxa" w:w="3067"/>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833333"/>
                <w:sz w:val="17"/>
                <w:szCs w:val="17"/>
              </w:rPr>
              <w:t xml:space="preserve">Saut de rigidité = gradient infini</w:t>
            </w:r>
          </w:p>
        </w:tc>
        <w:tc>
          <w:tcPr>
            <w:tcW w:type="dxa" w:w="3067"/>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Utiliser une zone de transition progressive</w:t>
            </w:r>
          </w:p>
        </w:tc>
      </w:tr>
    </w:tbl>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A235A" w:sz="6"/>
              <w:left w:val="single" w:color="4A235A" w:sz="6"/>
              <w:bottom w:val="single" w:color="4A235A" w:sz="6"/>
              <w:right w:val="single" w:color="4A235A" w:sz="6"/>
            </w:tcBorders>
            <w:shd w:fill="4A235A"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7 — ANALYSES DYNAMIQUES : MODALE, HARMONIQUE, TRANSITOIRE</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7.1  L’analyse modale — les fréquences propres de la structure</w:t>
      </w:r>
    </w:p>
    <w:p>
      <w:pPr>
        <w:spacing w:before="80" w:after="80"/>
      </w:pPr>
      <w:r>
        <w:rPr>
          <w:rFonts w:ascii="Arial" w:cs="Arial" w:eastAsia="Arial" w:hAnsi="Arial"/>
          <w:sz w:val="21"/>
          <w:szCs w:val="21"/>
        </w:rPr>
        <w:t xml:space="preserve">L’analyse modale calcule les fréquences propres et les déformées modales d’une structure en l’absence d’amortissement. C’est un résultat de la structure seule — indépendant du chargement. Il est utilisé comme base pour les analyses dynamiques plus complexes.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C003E" w:sz="6"/>
              <w:left w:val="single" w:color="2C003E" w:sz="6"/>
              <w:bottom w:val="single" w:color="2C003E" w:sz="6"/>
              <w:right w:val="single" w:color="2C003E" w:sz="6"/>
            </w:tcBorders>
            <w:shd w:fill="F3E5F5" w:val="clear"/>
            <w:tcMar>
              <w:top w:type="dxa" w:w="90"/>
              <w:left w:type="dxa" w:w="150"/>
              <w:bottom w:type="dxa" w:w="90"/>
              <w:right w:type="dxa" w:w="150"/>
            </w:tcMar>
          </w:tcPr>
          <w:p>
            <w:pPr>
              <w:spacing w:before="0" w:after="40"/>
            </w:pPr>
            <w:r>
              <w:rPr>
                <w:rFonts w:ascii="Arial" w:cs="Arial" w:eastAsia="Arial" w:hAnsi="Arial"/>
                <w:b/>
                <w:bCs/>
                <w:color w:val="2C003E"/>
                <w:sz w:val="18"/>
                <w:szCs w:val="18"/>
              </w:rPr>
              <w:t xml:space="preserve">Équation du mouvement et problème aux valeurs propres</w:t>
            </w:r>
          </w:p>
          <w:p>
            <w:pPr>
              <w:spacing w:before="0" w:after="50"/>
              <w:jc w:val="center"/>
            </w:pPr>
            <w:r>
              <w:rPr>
                <w:rFonts w:ascii="Courier New" w:cs="Courier New" w:eastAsia="Courier New" w:hAnsi="Courier New"/>
                <w:b/>
                <w:bCs/>
                <w:color w:val="2C003E"/>
                <w:sz w:val="22"/>
                <w:szCs w:val="22"/>
              </w:rPr>
              <w:t xml:space="preserve">Mü + Ku = 0     ⇒     (K - ω²M)Φ = 0</w:t>
            </w:r>
          </w:p>
          <w:p>
            <w:pPr>
              <w:spacing w:before="0" w:after="0"/>
            </w:pPr>
            <w:r>
              <w:rPr>
                <w:rFonts w:ascii="Arial" w:cs="Arial" w:eastAsia="Arial" w:hAnsi="Arial"/>
                <w:i/>
                <w:iCs/>
                <w:color w:val="1A1A1A"/>
                <w:sz w:val="19"/>
                <w:szCs w:val="19"/>
              </w:rPr>
              <w:t xml:space="preserve">M est la matrice de masse, K la matrice de rigidité. Les valeurs propres ω² donnent les pulsations propres (fréquences fᵢ = ωᵢ/2π). Les vecteurs propres Φᵢ donnent les déformées modales. Les modes sont orthogonaux par rapport à M et K.</w:t>
            </w:r>
          </w:p>
        </w:tc>
      </w:tr>
    </w:tbl>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5100" w:sz="6"/>
              <w:left w:val="single" w:color="E65100" w:sz="6"/>
              <w:bottom w:val="single" w:color="E65100" w:sz="6"/>
              <w:right w:val="single" w:color="E65100" w:sz="6"/>
            </w:tcBorders>
            <w:shd w:fill="FFF3E0" w:val="clear"/>
            <w:tcMar>
              <w:top w:type="dxa" w:w="80"/>
              <w:left w:type="dxa" w:w="140"/>
              <w:bottom w:type="dxa" w:w="80"/>
              <w:right w:type="dxa" w:w="140"/>
            </w:tcMar>
          </w:tcPr>
          <w:p>
            <w:r>
              <w:rPr>
                <w:rFonts w:ascii="Arial" w:cs="Arial" w:eastAsia="Arial" w:hAnsi="Arial"/>
                <w:b/>
                <w:bCs/>
                <w:color w:val="E65100"/>
                <w:sz w:val="19"/>
                <w:szCs w:val="19"/>
              </w:rPr>
              <w:t xml:space="preserve">⚠️  Une fréquence propre proche d’une fréquence d’excitation (moteur, vibrations de route, fréquences de passage des essieux) provoque la résonance. La réponse en résonance est limitée uniquement par l’amortissement — qui est souvent faible dans les structures métalliques.</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7.2  Analyse harmonique et analyse temporelle</w:t>
      </w:r>
    </w:p>
    <w:p>
      <w:pPr>
        <w:spacing w:before="80" w:after="80"/>
      </w:pPr>
      <w:r>
        <w:rPr>
          <w:rFonts w:ascii="Arial" w:cs="Arial" w:eastAsia="Arial" w:hAnsi="Arial"/>
          <w:sz w:val="21"/>
          <w:szCs w:val="21"/>
        </w:rPr>
        <w:t xml:space="preserve">L’analyse harmonique calcule la réponse en régime permanent à un chargement sinusoïdal. Elle donne la courbe de réponse en fréquence (amplitude du déplacement ou de la contrainte en fonction de la fréquence d’excitation). Les pics de résonance apparaissent aux fréquences propres, amoindris par le facteur d’amortissement.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C003E" w:sz="6"/>
              <w:left w:val="single" w:color="2C003E" w:sz="6"/>
              <w:bottom w:val="single" w:color="2C003E" w:sz="6"/>
              <w:right w:val="single" w:color="2C003E" w:sz="6"/>
            </w:tcBorders>
            <w:shd w:fill="F3E5F5" w:val="clear"/>
            <w:tcMar>
              <w:top w:type="dxa" w:w="90"/>
              <w:left w:type="dxa" w:w="150"/>
              <w:bottom w:type="dxa" w:w="90"/>
              <w:right w:type="dxa" w:w="150"/>
            </w:tcMar>
          </w:tcPr>
          <w:p>
            <w:pPr>
              <w:spacing w:before="0" w:after="40"/>
            </w:pPr>
            <w:r>
              <w:rPr>
                <w:rFonts w:ascii="Arial" w:cs="Arial" w:eastAsia="Arial" w:hAnsi="Arial"/>
                <w:b/>
                <w:bCs/>
                <w:color w:val="2C003E"/>
                <w:sz w:val="18"/>
                <w:szCs w:val="18"/>
              </w:rPr>
              <w:t xml:space="preserve">Équation du mouvement en régime harmonique</w:t>
            </w:r>
          </w:p>
          <w:p>
            <w:pPr>
              <w:spacing w:before="0" w:after="50"/>
              <w:jc w:val="center"/>
            </w:pPr>
            <w:r>
              <w:rPr>
                <w:rFonts w:ascii="Courier New" w:cs="Courier New" w:eastAsia="Courier New" w:hAnsi="Courier New"/>
                <w:b/>
                <w:bCs/>
                <w:color w:val="2C003E"/>
                <w:sz w:val="22"/>
                <w:szCs w:val="22"/>
              </w:rPr>
              <w:t xml:space="preserve">(-ω²M + iωC + K)U = F₀     ⇒ U(ω) = H(ω) · F₀</w:t>
            </w:r>
          </w:p>
          <w:p>
            <w:pPr>
              <w:spacing w:before="0" w:after="0"/>
            </w:pPr>
            <w:r>
              <w:rPr>
                <w:rFonts w:ascii="Arial" w:cs="Arial" w:eastAsia="Arial" w:hAnsi="Arial"/>
                <w:i/>
                <w:iCs/>
                <w:color w:val="1A1A1A"/>
                <w:sz w:val="19"/>
                <w:szCs w:val="19"/>
              </w:rPr>
              <w:t xml:space="preserve">C est la matrice d’amortissement. H(ω) est la matrice de réponse en fréquence (Frequency Response Function). L’amplitude au pic de résonance vaut approximativement F₀/(k·2ζ) où ζ est le taux d’amortissement modal.</w:t>
            </w:r>
          </w:p>
        </w:tc>
      </w:tr>
    </w:tbl>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33333" w:sz="6"/>
              <w:left w:val="single" w:color="833333" w:sz="6"/>
              <w:bottom w:val="single" w:color="833333" w:sz="6"/>
              <w:right w:val="single" w:color="833333" w:sz="6"/>
            </w:tcBorders>
            <w:shd w:fill="833333"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8 — LES 10 ERREURS CLASSIQUES EN FEA INDUSTRIELLE</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8.  Les erreurs que les ingénieurs expérimentés font encore</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800"/>
      </w:tblGrid>
      <w:tr>
        <w:trPr>
          <w:tblHeader/>
        </w:trPr>
        <w:tc>
          <w:tcPr>
            <w:tcW w:type="dxa" w:w="4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
            </w:r>
          </w:p>
        </w:tc>
        <w:tc>
          <w:tcPr>
            <w:tcW w:type="dxa" w:w="32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Erreur</w:t>
            </w:r>
          </w:p>
        </w:tc>
        <w:tc>
          <w:tcPr>
            <w:tcW w:type="dxa" w:w="28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Cause</w:t>
            </w:r>
          </w:p>
        </w:tc>
        <w:tc>
          <w:tcPr>
            <w:tcW w:type="dxa" w:w="28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Comment l’éviter</w:t>
            </w:r>
          </w:p>
        </w:tc>
      </w:tr>
      <w:tr>
        <w:tc>
          <w:tcPr>
            <w:tcW w:type="dxa" w:w="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20"/>
                <w:szCs w:val="20"/>
              </w:rPr>
              <w:t xml:space="preserve">1</w:t>
            </w:r>
          </w:p>
        </w:tc>
        <w:tc>
          <w:tcPr>
            <w:tcW w:type="dxa" w:w="3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Pas d’étude de convergence de maillage</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Manque de temps, confiance naïve dans le logiciel</w:t>
            </w:r>
          </w:p>
        </w:tc>
        <w:tc>
          <w:tcPr>
            <w:tcW w:type="dxa" w:w="28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Toujours faire tourner 3 maillages successifs avant de conclure</w:t>
            </w:r>
          </w:p>
        </w:tc>
      </w:tr>
      <w:tr>
        <w:tc>
          <w:tcPr>
            <w:tcW w:type="dxa" w:w="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20"/>
                <w:szCs w:val="20"/>
              </w:rPr>
              <w:t xml:space="preserve">2</w:t>
            </w:r>
          </w:p>
        </w:tc>
        <w:tc>
          <w:tcPr>
            <w:tcW w:type="dxa" w:w="3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Éléments TET4 en flexion (locking)</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Génération automatique du maillage non supervisée</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Utiliser TET10 ou HEX20 pour toutes les structures en flexion</w:t>
            </w:r>
          </w:p>
        </w:tc>
      </w:tr>
      <w:tr>
        <w:tc>
          <w:tcPr>
            <w:tcW w:type="dxa" w:w="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20"/>
                <w:szCs w:val="20"/>
              </w:rPr>
              <w:t xml:space="preserve">3</w:t>
            </w:r>
          </w:p>
        </w:tc>
        <w:tc>
          <w:tcPr>
            <w:tcW w:type="dxa" w:w="3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Conditions aux limites trop rigides</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Encastrement appliqué par défaut, liaison réelle non analysée</w:t>
            </w:r>
          </w:p>
        </w:tc>
        <w:tc>
          <w:tcPr>
            <w:tcW w:type="dxa" w:w="28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Analyser la réalité de la liaison et modéliser son degré de rigidité</w:t>
            </w:r>
          </w:p>
        </w:tc>
      </w:tr>
      <w:tr>
        <w:tc>
          <w:tcPr>
            <w:tcW w:type="dxa" w:w="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20"/>
                <w:szCs w:val="20"/>
              </w:rPr>
              <w:t xml:space="preserve">4</w:t>
            </w:r>
          </w:p>
        </w:tc>
        <w:tc>
          <w:tcPr>
            <w:tcW w:type="dxa" w:w="3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Von Mises appliqué sur des composites</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Habitude d’utilisation, pas de remise en question</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Utiliser Tsai-Wu ou Tsai-Hill pour tous les stratifiés</w:t>
            </w:r>
          </w:p>
        </w:tc>
      </w:tr>
      <w:tr>
        <w:tc>
          <w:tcPr>
            <w:tcW w:type="dxa" w:w="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20"/>
                <w:szCs w:val="20"/>
              </w:rPr>
              <w:t xml:space="preserve">5</w:t>
            </w:r>
          </w:p>
        </w:tc>
        <w:tc>
          <w:tcPr>
            <w:tcW w:type="dxa" w:w="3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Singularité confondue avec une vraie concentration</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Contrainte maxima non interprétée</w:t>
            </w:r>
          </w:p>
        </w:tc>
        <w:tc>
          <w:tcPr>
            <w:tcW w:type="dxa" w:w="28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Vérifier si la contrainte max augmente sans limite quand le maillage est raffiné</w:t>
            </w:r>
          </w:p>
        </w:tc>
      </w:tr>
      <w:tr>
        <w:tc>
          <w:tcPr>
            <w:tcW w:type="dxa" w:w="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20"/>
                <w:szCs w:val="20"/>
              </w:rPr>
              <w:t xml:space="preserve">6</w:t>
            </w:r>
          </w:p>
        </w:tc>
        <w:tc>
          <w:tcPr>
            <w:tcW w:type="dxa" w:w="3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Amortissement négligé en dynamique</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Analyse modale suffisante pour la structure seule</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Toujours spécifier un taux d’amortissement réaliste en harmonique et transitoire</w:t>
            </w:r>
          </w:p>
        </w:tc>
      </w:tr>
      <w:tr>
        <w:tc>
          <w:tcPr>
            <w:tcW w:type="dxa" w:w="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20"/>
                <w:szCs w:val="20"/>
              </w:rPr>
              <w:t xml:space="preserve">7</w:t>
            </w:r>
          </w:p>
        </w:tc>
        <w:tc>
          <w:tcPr>
            <w:tcW w:type="dxa" w:w="3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Modèle de matériau trop simple (linéaire) pour un cas non-linéaire</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Pas de données matériau, chargement mal évalué</w:t>
            </w:r>
          </w:p>
        </w:tc>
        <w:tc>
          <w:tcPr>
            <w:tcW w:type="dxa" w:w="28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Vérifier que la contrainte de Von Mises reste inférieure à la limite élastique</w:t>
            </w:r>
          </w:p>
        </w:tc>
      </w:tr>
      <w:tr>
        <w:tc>
          <w:tcPr>
            <w:tcW w:type="dxa" w:w="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20"/>
                <w:szCs w:val="20"/>
              </w:rPr>
              <w:t xml:space="preserve">8</w:t>
            </w:r>
          </w:p>
        </w:tc>
        <w:tc>
          <w:tcPr>
            <w:tcW w:type="dxa" w:w="3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Géométrie importée non nettoyée (surfaces doubles, trous)</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Import CAO sans vérification</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Toujours vérifier la qualité géométrique avant le maillage</w:t>
            </w:r>
          </w:p>
        </w:tc>
      </w:tr>
      <w:tr>
        <w:tc>
          <w:tcPr>
            <w:tcW w:type="dxa" w:w="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20"/>
                <w:szCs w:val="20"/>
              </w:rPr>
              <w:t xml:space="preserve">9</w:t>
            </w:r>
          </w:p>
        </w:tc>
        <w:tc>
          <w:tcPr>
            <w:tcW w:type="dxa" w:w="3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Interpréter les contraintes aux nœuds seuls (averaged)</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Le logiciel lisse les discontinuités par défaut</w:t>
            </w:r>
          </w:p>
        </w:tc>
        <w:tc>
          <w:tcPr>
            <w:tcW w:type="dxa" w:w="28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Regarder aussi les contraintes aux points de Gauss (unaveraged)</w:t>
            </w:r>
          </w:p>
        </w:tc>
      </w:tr>
      <w:tr>
        <w:tc>
          <w:tcPr>
            <w:tcW w:type="dxa" w:w="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20"/>
                <w:szCs w:val="20"/>
              </w:rPr>
              <w:t xml:space="preserve">10</w:t>
            </w:r>
          </w:p>
        </w:tc>
        <w:tc>
          <w:tcPr>
            <w:tcW w:type="dxa" w:w="3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Valider sur un seul cas de charge</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Seul le cas de charge nominal a été analysé</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Analyser tous les cas de charge prévus par la norme applicable</w:t>
            </w:r>
          </w:p>
        </w:tc>
      </w:tr>
    </w:tbl>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6"/>
              <w:left w:val="single" w:color="375623" w:sz="6"/>
              <w:bottom w:val="single" w:color="375623" w:sz="6"/>
              <w:right w:val="single" w:color="375623" w:sz="6"/>
            </w:tcBorders>
            <w:shd w:fill="375623"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9 — CHECK-LIST D’UNE ÉTUDE FEA RIGOUREUSE</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Avant le calcul</w:t>
            </w:r>
          </w:p>
        </w:tc>
        <w:tc>
          <w:tcPr>
            <w:tcW w:type="dxa" w:w="46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Après le calcul</w:t>
            </w:r>
          </w:p>
        </w:tc>
      </w:tr>
      <w:tr>
        <w:tc>
          <w:tcPr>
            <w:tcW w:type="dxa" w:w="46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sz w:val="21"/>
                <w:szCs w:val="21"/>
              </w:rPr>
              <w:t xml:space="preserve">☐  Définir clairement le problème physique et les grandeurs d’intérêt</w:t>
            </w:r>
          </w:p>
          <w:p>
            <w:pPr>
              <w:pStyle w:val="ListParagraph"/>
              <w:numPr>
                <w:ilvl w:val="0"/>
                <w:numId w:val="2"/>
              </w:numPr>
              <w:spacing w:before="55" w:after="55"/>
            </w:pPr>
            <w:r>
              <w:rPr>
                <w:rFonts w:ascii="Arial" w:cs="Arial" w:eastAsia="Arial" w:hAnsi="Arial"/>
                <w:sz w:val="21"/>
                <w:szCs w:val="21"/>
              </w:rPr>
              <w:t xml:space="preserve">☐  Choisir le type d’élément adapté à la physique</w:t>
            </w:r>
          </w:p>
          <w:p>
            <w:pPr>
              <w:pStyle w:val="ListParagraph"/>
              <w:numPr>
                <w:ilvl w:val="0"/>
                <w:numId w:val="2"/>
              </w:numPr>
              <w:spacing w:before="55" w:after="55"/>
            </w:pPr>
            <w:r>
              <w:rPr>
                <w:rFonts w:ascii="Arial" w:cs="Arial" w:eastAsia="Arial" w:hAnsi="Arial"/>
                <w:sz w:val="21"/>
                <w:szCs w:val="21"/>
              </w:rPr>
              <w:t xml:space="preserve">☐  Vérifier la qualité géométrique du modèle importé</w:t>
            </w:r>
          </w:p>
          <w:p>
            <w:pPr>
              <w:pStyle w:val="ListParagraph"/>
              <w:numPr>
                <w:ilvl w:val="0"/>
                <w:numId w:val="2"/>
              </w:numPr>
              <w:spacing w:before="55" w:after="55"/>
            </w:pPr>
            <w:r>
              <w:rPr>
                <w:rFonts w:ascii="Arial" w:cs="Arial" w:eastAsia="Arial" w:hAnsi="Arial"/>
                <w:sz w:val="21"/>
                <w:szCs w:val="21"/>
              </w:rPr>
              <w:t xml:space="preserve">☐  Vérifier la qualité du maillage (aspect ratio, skewness, Jacobien)</w:t>
            </w:r>
          </w:p>
          <w:p>
            <w:pPr>
              <w:pStyle w:val="ListParagraph"/>
              <w:numPr>
                <w:ilvl w:val="0"/>
                <w:numId w:val="2"/>
              </w:numPr>
              <w:spacing w:before="55" w:after="55"/>
            </w:pPr>
            <w:r>
              <w:rPr>
                <w:rFonts w:ascii="Arial" w:cs="Arial" w:eastAsia="Arial" w:hAnsi="Arial"/>
                <w:sz w:val="21"/>
                <w:szCs w:val="21"/>
              </w:rPr>
              <w:t xml:space="preserve">☐  Analyser et justifier chaque condition aux limites</w:t>
            </w:r>
          </w:p>
          <w:p>
            <w:pPr>
              <w:pStyle w:val="ListParagraph"/>
              <w:numPr>
                <w:ilvl w:val="0"/>
                <w:numId w:val="2"/>
              </w:numPr>
              <w:spacing w:before="55" w:after="55"/>
            </w:pPr>
            <w:r>
              <w:rPr>
                <w:rFonts w:ascii="Arial" w:cs="Arial" w:eastAsia="Arial" w:hAnsi="Arial"/>
                <w:sz w:val="21"/>
                <w:szCs w:val="21"/>
              </w:rPr>
              <w:t xml:space="preserve">☐  Vérifier que les charges sont correctement représentées</w:t>
            </w:r>
          </w:p>
          <w:p>
            <w:pPr>
              <w:pStyle w:val="ListParagraph"/>
              <w:numPr>
                <w:ilvl w:val="0"/>
                <w:numId w:val="2"/>
              </w:numPr>
              <w:spacing w:before="55" w:after="55"/>
            </w:pPr>
            <w:r>
              <w:rPr>
                <w:rFonts w:ascii="Arial" w:cs="Arial" w:eastAsia="Arial" w:hAnsi="Arial"/>
                <w:sz w:val="21"/>
                <w:szCs w:val="21"/>
              </w:rPr>
              <w:t xml:space="preserve">☐  Estimer l’ordre de grandeur analytiquement avant de lancer</w:t>
            </w:r>
          </w:p>
        </w:tc>
        <w:tc>
          <w:tcPr>
            <w:tcW w:type="dxa" w:w="46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sz w:val="21"/>
                <w:szCs w:val="21"/>
              </w:rPr>
              <w:t xml:space="preserve">☐  Vérifier les réactions d’appui (bilan des forces)</w:t>
            </w:r>
          </w:p>
          <w:p>
            <w:pPr>
              <w:pStyle w:val="ListParagraph"/>
              <w:numPr>
                <w:ilvl w:val="0"/>
                <w:numId w:val="2"/>
              </w:numPr>
              <w:spacing w:before="55" w:after="55"/>
            </w:pPr>
            <w:r>
              <w:rPr>
                <w:rFonts w:ascii="Arial" w:cs="Arial" w:eastAsia="Arial" w:hAnsi="Arial"/>
                <w:sz w:val="21"/>
                <w:szCs w:val="21"/>
              </w:rPr>
              <w:t xml:space="preserve">☐  Vérifier l’ordre de grandeur des déplacements</w:t>
            </w:r>
          </w:p>
          <w:p>
            <w:pPr>
              <w:pStyle w:val="ListParagraph"/>
              <w:numPr>
                <w:ilvl w:val="0"/>
                <w:numId w:val="2"/>
              </w:numPr>
              <w:spacing w:before="55" w:after="55"/>
            </w:pPr>
            <w:r>
              <w:rPr>
                <w:rFonts w:ascii="Arial" w:cs="Arial" w:eastAsia="Arial" w:hAnsi="Arial"/>
                <w:sz w:val="21"/>
                <w:szCs w:val="21"/>
              </w:rPr>
              <w:t xml:space="preserve">☐  Réaliser l’étude de convergence de maillage</w:t>
            </w:r>
          </w:p>
          <w:p>
            <w:pPr>
              <w:pStyle w:val="ListParagraph"/>
              <w:numPr>
                <w:ilvl w:val="0"/>
                <w:numId w:val="2"/>
              </w:numPr>
              <w:spacing w:before="55" w:after="55"/>
            </w:pPr>
            <w:r>
              <w:rPr>
                <w:rFonts w:ascii="Arial" w:cs="Arial" w:eastAsia="Arial" w:hAnsi="Arial"/>
                <w:sz w:val="21"/>
                <w:szCs w:val="21"/>
              </w:rPr>
              <w:t xml:space="preserve">☐  Identifier et traiter les singularités</w:t>
            </w:r>
          </w:p>
          <w:p>
            <w:pPr>
              <w:pStyle w:val="ListParagraph"/>
              <w:numPr>
                <w:ilvl w:val="0"/>
                <w:numId w:val="2"/>
              </w:numPr>
              <w:spacing w:before="55" w:after="55"/>
            </w:pPr>
            <w:r>
              <w:rPr>
                <w:rFonts w:ascii="Arial" w:cs="Arial" w:eastAsia="Arial" w:hAnsi="Arial"/>
                <w:sz w:val="21"/>
                <w:szCs w:val="21"/>
              </w:rPr>
              <w:t xml:space="preserve">☐  Choisir le critère de rupture adapté au matériau</w:t>
            </w:r>
          </w:p>
          <w:p>
            <w:pPr>
              <w:pStyle w:val="ListParagraph"/>
              <w:numPr>
                <w:ilvl w:val="0"/>
                <w:numId w:val="2"/>
              </w:numPr>
              <w:spacing w:before="55" w:after="55"/>
            </w:pPr>
            <w:r>
              <w:rPr>
                <w:rFonts w:ascii="Arial" w:cs="Arial" w:eastAsia="Arial" w:hAnsi="Arial"/>
                <w:sz w:val="21"/>
                <w:szCs w:val="21"/>
              </w:rPr>
              <w:t xml:space="preserve">☐  Calculer les facteurs de sécurité sur tous les cas de charge</w:t>
            </w:r>
          </w:p>
          <w:p>
            <w:pPr>
              <w:pStyle w:val="ListParagraph"/>
              <w:numPr>
                <w:ilvl w:val="0"/>
                <w:numId w:val="2"/>
              </w:numPr>
              <w:spacing w:before="55" w:after="55"/>
            </w:pPr>
            <w:r>
              <w:rPr>
                <w:rFonts w:ascii="Arial" w:cs="Arial" w:eastAsia="Arial" w:hAnsi="Arial"/>
                <w:sz w:val="21"/>
                <w:szCs w:val="21"/>
              </w:rPr>
              <w:t xml:space="preserve">☐  Documenter les hypothèses simplificatrices et leur justification</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0D2B5E" w:val="clear"/>
            <w:tcMar>
              <w:top w:type="dxa" w:w="100"/>
              <w:left w:type="dxa" w:w="160"/>
              <w:bottom w:type="dxa" w:w="100"/>
              <w:right w:type="dxa" w:w="160"/>
            </w:tcMar>
          </w:tcPr>
          <w:p>
            <w:pPr>
              <w:spacing w:before="0" w:after="40"/>
              <w:jc w:val="center"/>
            </w:pPr>
            <w:r>
              <w:rPr>
                <w:rFonts w:ascii="Arial" w:cs="Arial" w:eastAsia="Arial" w:hAnsi="Arial"/>
                <w:b/>
                <w:bCs/>
                <w:color w:val="FFFFFF"/>
                <w:sz w:val="20"/>
                <w:szCs w:val="20"/>
              </w:rPr>
              <w:t xml:space="preserve">La règle fondamentale</w:t>
            </w:r>
          </w:p>
          <w:p>
            <w:pPr>
              <w:jc w:val="center"/>
            </w:pPr>
            <w:r>
              <w:rPr>
                <w:rFonts w:ascii="Arial" w:cs="Arial" w:eastAsia="Arial" w:hAnsi="Arial"/>
                <w:b/>
                <w:bCs/>
                <w:i/>
                <w:iCs/>
                <w:color w:val="FFFFFF"/>
                <w:sz w:val="22"/>
                <w:szCs w:val="22"/>
              </w:rPr>
              <w:t xml:space="preserve">Avant de lancer un calcul, estimez le résultat à la main. Après le calcul, demandez-vous pourquoi le résultat est différent de votre estimation. Si vous ne savez pas répondre, le modèle est suspect.</w:t>
            </w:r>
          </w:p>
        </w:tc>
      </w:tr>
    </w:tbl>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2B5E" w:sz="6" w:space="1"/>
      </w:pBdr>
      <w:jc w:val="center"/>
    </w:pPr>
    <w:r>
      <w:rPr>
        <w:rFonts w:ascii="Arial" w:cs="Arial" w:eastAsia="Arial" w:hAnsi="Arial"/>
        <w:color w:val="888888"/>
        <w:sz w:val="15"/>
        <w:szCs w:val="15"/>
      </w:rPr>
      <w:t xml:space="preserve">Document personnel —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B5E" w:sz="8" w:space="1"/>
      </w:pBdr>
    </w:pPr>
    <w:r>
      <w:rPr>
        <w:rFonts w:ascii="Arial" w:cs="Arial" w:eastAsia="Arial" w:hAnsi="Arial"/>
        <w:b/>
        <w:bCs/>
        <w:color w:val="0D2B5E"/>
        <w:sz w:val="16"/>
        <w:szCs w:val="16"/>
      </w:rPr>
      <w:t xml:space="preserve">COURS FEA — Principes physiques et mathématiques derrière les logiciels de simulation  </w:t>
    </w:r>
    <w:r>
      <w:rPr>
        <w:rFonts w:ascii="Arial" w:cs="Arial" w:eastAsia="Arial" w:hAnsi="Arial"/>
        <w:color w:val="888888"/>
        <w:sz w:val="15"/>
        <w:szCs w:val="15"/>
      </w:rPr>
      <w:t xml:space="preserve">| Pour l’ingénieur qui veut comprendre, pas seulement utiliser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30"/>
      <w:outlineLvl w:val="0"/>
    </w:pPr>
    <w:rPr>
      <w:rFonts w:ascii="Arial" w:cs="Arial" w:eastAsia="Arial" w:hAnsi="Arial"/>
      <w:b/>
      <w:bCs/>
      <w:color w:val="1F3864"/>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2026-03-26T06:12:25.055Z</dcterms:created>
  <dcterms:modified xsi:type="dcterms:W3CDTF">2026-03-26T06:12:25.055Z</dcterms:modified>
</cp:coreProperties>
</file>

<file path=docProps/custom.xml><?xml version="1.0" encoding="utf-8"?>
<Properties xmlns="http://schemas.openxmlformats.org/officeDocument/2006/custom-properties" xmlns:vt="http://schemas.openxmlformats.org/officeDocument/2006/docPropsVTypes"/>
</file>