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0D2B5E"/>
          <w:sz w:val="48"/>
          <w:szCs w:val="48"/>
        </w:rPr>
        <w:t xml:space="preserve">L’INGÉNIEUR CONCEPTION MÉCANIQUE</w:t>
      </w:r>
    </w:p>
    <w:p>
      <w:pPr>
        <w:spacing w:before="0" w:after="60"/>
        <w:jc w:val="center"/>
      </w:pPr>
      <w:r>
        <w:rPr>
          <w:rFonts w:ascii="Arial" w:cs="Arial" w:eastAsia="Arial" w:hAnsi="Arial"/>
          <w:b/>
          <w:bCs/>
          <w:color w:val="2E75B6"/>
          <w:sz w:val="28"/>
          <w:szCs w:val="28"/>
        </w:rPr>
        <w:t xml:space="preserve">À l’ère de l’IA — Évolution du métier et stratégies de pertinence durable</w:t>
      </w:r>
    </w:p>
    <w:p>
      <w:pPr>
        <w:spacing w:before="0" w:after="180"/>
        <w:jc w:val="center"/>
      </w:pPr>
      <w:r>
        <w:rPr>
          <w:rFonts w:ascii="Arial" w:cs="Arial" w:eastAsia="Arial" w:hAnsi="Arial"/>
          <w:i/>
          <w:iCs/>
          <w:color w:val="595959"/>
          <w:sz w:val="20"/>
          <w:szCs w:val="20"/>
        </w:rPr>
        <w:t xml:space="preserve">Vision d’un praticien — Analyse des forces en présence — Actions concrètes</w:t>
      </w:r>
    </w:p>
    <w:p>
      <w:pPr>
        <w:pBdr>
          <w:bottom w:val="single" w:color="0D2B5E" w:sz="10" w:space="1"/>
        </w:pBdr>
        <w:spacing w:before="130" w:after="13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90"/>
              <w:left w:type="dxa" w:w="150"/>
              <w:bottom w:type="dxa" w:w="90"/>
              <w:right w:type="dxa" w:w="150"/>
            </w:tcMar>
          </w:tcPr>
          <w:p>
            <w:pPr>
              <w:spacing w:before="0" w:after="50"/>
            </w:pPr>
            <w:r>
              <w:rPr>
                <w:rFonts w:ascii="Arial" w:cs="Arial" w:eastAsia="Arial" w:hAnsi="Arial"/>
                <w:b/>
                <w:bCs/>
                <w:color w:val="E65100"/>
                <w:sz w:val="20"/>
                <w:szCs w:val="20"/>
              </w:rPr>
              <w:t xml:space="preserve">⚠️  Ce document est une analyse, pas une certitude</w:t>
            </w:r>
          </w:p>
          <w:p>
            <w:pPr>
              <w:spacing w:before="0" w:after="0"/>
            </w:pPr>
            <w:r>
              <w:rPr>
                <w:rFonts w:ascii="Arial" w:cs="Arial" w:eastAsia="Arial" w:hAnsi="Arial"/>
                <w:color w:val="1A1A1A"/>
                <w:sz w:val="20"/>
                <w:szCs w:val="20"/>
              </w:rPr>
              <w:t xml:space="preserve">Personne ne sait précisément ce que sera ce métier dans 10 ans. Ce qui suit est un raisonnement sur les forces structurelles en présence, les compétences qui résistent historiquement à la disruption, et les positions qui semblent défendables. Ce n’est pas une liste d’opportunités optimistes — c’est une lecture honnête des enjeux.</w:t>
            </w:r>
          </w:p>
        </w:tc>
      </w:tr>
    </w:tbl>
    <w:p>
      <w:pPr>
        <w:spacing w:before="80" w:after="6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1 — CE QUI SE PASSE RÉELLEMENT</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1.1  Ce que l’IA fait déjà mieux que l’ingénieur moyen</w:t>
      </w:r>
    </w:p>
    <w:p>
      <w:pPr>
        <w:spacing w:before="80" w:after="80"/>
      </w:pPr>
      <w:r>
        <w:rPr>
          <w:rFonts w:ascii="Arial" w:cs="Arial" w:eastAsia="Arial" w:hAnsi="Arial"/>
          <w:sz w:val="21"/>
          <w:szCs w:val="21"/>
        </w:rPr>
        <w:t xml:space="preserve">La première erreur est de sous-estimer ce qui est déjà en train de se passer. Ces capacités ne sont pas futures — elles sont opérationnelles en 2025 dans les outils industriels.</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Déjà automatisé ou en cours</w:t>
            </w:r>
          </w:p>
        </w:tc>
        <w:tc>
          <w:tcPr>
            <w:tcW w:type="dxa" w:w="4600"/>
            <w:tcBorders>
              <w:top w:val="single" w:color="777777" w:sz="6"/>
              <w:left w:val="single" w:color="777777" w:sz="6"/>
              <w:bottom w:val="single" w:color="777777" w:sz="6"/>
              <w:right w:val="single" w:color="777777" w:sz="6"/>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Horizon 3–5 ans</w:t>
            </w:r>
          </w:p>
        </w:tc>
      </w:tr>
      <w:tr>
        <w:tc>
          <w:tcPr>
            <w:tcW w:type="dxa" w:w="46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Optimisation topologique assistée (Ansys Discovery, Autodesk Generative Design)</w:t>
            </w:r>
          </w:p>
          <w:p>
            <w:pPr>
              <w:pStyle w:val="ListParagraph"/>
              <w:numPr>
                <w:ilvl w:val="0"/>
                <w:numId w:val="2"/>
              </w:numPr>
              <w:spacing w:before="55" w:after="55"/>
            </w:pPr>
            <w:r>
              <w:rPr>
                <w:rFonts w:ascii="Arial" w:cs="Arial" w:eastAsia="Arial" w:hAnsi="Arial"/>
                <w:sz w:val="21"/>
                <w:szCs w:val="21"/>
              </w:rPr>
              <w:t xml:space="preserve">Génération de géométries optimisées non intuitives — souvent mécaniquement supérieures</w:t>
            </w:r>
          </w:p>
          <w:p>
            <w:pPr>
              <w:pStyle w:val="ListParagraph"/>
              <w:numPr>
                <w:ilvl w:val="0"/>
                <w:numId w:val="2"/>
              </w:numPr>
              <w:spacing w:before="55" w:after="55"/>
            </w:pPr>
            <w:r>
              <w:rPr>
                <w:rFonts w:ascii="Arial" w:cs="Arial" w:eastAsia="Arial" w:hAnsi="Arial"/>
                <w:sz w:val="21"/>
                <w:szCs w:val="21"/>
              </w:rPr>
              <w:t xml:space="preserve">Vérification de cohérence des nomenclatures et détection de conflits d’assemblage</w:t>
            </w:r>
          </w:p>
          <w:p>
            <w:pPr>
              <w:pStyle w:val="ListParagraph"/>
              <w:numPr>
                <w:ilvl w:val="0"/>
                <w:numId w:val="2"/>
              </w:numPr>
              <w:spacing w:before="55" w:after="55"/>
            </w:pPr>
            <w:r>
              <w:rPr>
                <w:rFonts w:ascii="Arial" w:cs="Arial" w:eastAsia="Arial" w:hAnsi="Arial"/>
                <w:sz w:val="21"/>
                <w:szCs w:val="21"/>
              </w:rPr>
              <w:t xml:space="preserve">Génération automatique des plans 2D à partir des modèles 3D</w:t>
            </w:r>
          </w:p>
          <w:p>
            <w:pPr>
              <w:pStyle w:val="ListParagraph"/>
              <w:numPr>
                <w:ilvl w:val="0"/>
                <w:numId w:val="2"/>
              </w:numPr>
              <w:spacing w:before="55" w:after="55"/>
            </w:pPr>
            <w:r>
              <w:rPr>
                <w:rFonts w:ascii="Arial" w:cs="Arial" w:eastAsia="Arial" w:hAnsi="Arial"/>
                <w:sz w:val="21"/>
                <w:szCs w:val="21"/>
              </w:rPr>
              <w:t xml:space="preserve">Mise en place des cas de charge standards en FEA</w:t>
            </w:r>
          </w:p>
          <w:p>
            <w:pPr>
              <w:pStyle w:val="ListParagraph"/>
              <w:numPr>
                <w:ilvl w:val="0"/>
                <w:numId w:val="2"/>
              </w:numPr>
              <w:spacing w:before="55" w:after="55"/>
            </w:pPr>
            <w:r>
              <w:rPr>
                <w:rFonts w:ascii="Arial" w:cs="Arial" w:eastAsia="Arial" w:hAnsi="Arial"/>
                <w:sz w:val="21"/>
                <w:szCs w:val="21"/>
              </w:rPr>
              <w:t xml:space="preserve">Rédaction de rapports de calcul à partir des résultats de simulation</w:t>
            </w:r>
          </w:p>
        </w:tc>
        <w:tc>
          <w:tcPr>
            <w:tcW w:type="dxa" w:w="4600"/>
            <w:tcBorders>
              <w:top w:val="single" w:color="BBBBBB" w:sz="6"/>
              <w:left w:val="single" w:color="BBBBBB" w:sz="6"/>
              <w:bottom w:val="single" w:color="BBBBBB" w:sz="6"/>
              <w:right w:val="single" w:color="BBBBBB" w:sz="6"/>
            </w:tcBorders>
            <w:shd w:fill="FFF3E0"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Conception préliminaire d’un sous-ensemble mécanique à partir d’un CdC textuel</w:t>
            </w:r>
          </w:p>
          <w:p>
            <w:pPr>
              <w:pStyle w:val="ListParagraph"/>
              <w:numPr>
                <w:ilvl w:val="0"/>
                <w:numId w:val="2"/>
              </w:numPr>
              <w:spacing w:before="55" w:after="55"/>
            </w:pPr>
            <w:r>
              <w:rPr>
                <w:rFonts w:ascii="Arial" w:cs="Arial" w:eastAsia="Arial" w:hAnsi="Arial"/>
                <w:sz w:val="21"/>
                <w:szCs w:val="21"/>
              </w:rPr>
              <w:t xml:space="preserve">Sélection automatisée des matériaux avec vérification normative intégrée</w:t>
            </w:r>
          </w:p>
          <w:p>
            <w:pPr>
              <w:pStyle w:val="ListParagraph"/>
              <w:numPr>
                <w:ilvl w:val="0"/>
                <w:numId w:val="2"/>
              </w:numPr>
              <w:spacing w:before="55" w:after="55"/>
            </w:pPr>
            <w:r>
              <w:rPr>
                <w:rFonts w:ascii="Arial" w:cs="Arial" w:eastAsia="Arial" w:hAnsi="Arial"/>
                <w:sz w:val="21"/>
                <w:szCs w:val="21"/>
              </w:rPr>
              <w:t xml:space="preserve">Génération des dossiers de définition et gammes d’inspection</w:t>
            </w:r>
          </w:p>
          <w:p>
            <w:pPr>
              <w:pStyle w:val="ListParagraph"/>
              <w:numPr>
                <w:ilvl w:val="0"/>
                <w:numId w:val="2"/>
              </w:numPr>
              <w:spacing w:before="55" w:after="55"/>
            </w:pPr>
            <w:r>
              <w:rPr>
                <w:rFonts w:ascii="Arial" w:cs="Arial" w:eastAsia="Arial" w:hAnsi="Arial"/>
                <w:sz w:val="21"/>
                <w:szCs w:val="21"/>
              </w:rPr>
              <w:t xml:space="preserve">Proposition d’alternatives DFMA avec coût estimé intégré</w:t>
            </w:r>
          </w:p>
          <w:p>
            <w:pPr>
              <w:pStyle w:val="ListParagraph"/>
              <w:numPr>
                <w:ilvl w:val="0"/>
                <w:numId w:val="2"/>
              </w:numPr>
              <w:spacing w:before="55" w:after="55"/>
            </w:pPr>
            <w:r>
              <w:rPr>
                <w:rFonts w:ascii="Arial" w:cs="Arial" w:eastAsia="Arial" w:hAnsi="Arial"/>
                <w:sz w:val="21"/>
                <w:szCs w:val="21"/>
              </w:rPr>
              <w:t xml:space="preserve">Vérification de conformité normative sur les géométries générées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1.2  Le vrai risque — pas la disparition du métier, la compression des effectifs</w:t>
      </w:r>
    </w:p>
    <w:p>
      <w:pPr>
        <w:spacing w:before="80" w:after="80"/>
      </w:pPr>
      <w:r>
        <w:rPr>
          <w:rFonts w:ascii="Arial" w:cs="Arial" w:eastAsia="Arial" w:hAnsi="Arial"/>
          <w:sz w:val="21"/>
          <w:szCs w:val="21"/>
        </w:rPr>
        <w:t xml:space="preserve">Le scénario probable n’est pas « l’IA remplace l’ingénieur ». C’est « un ingénieur qui maîtrise l’IA remplace cinq ingénieurs qui ne la maîtrisent pas ». La compression viendra d’abord par les effectifs, pas par la disparition du métier.</w:t>
      </w:r>
    </w:p>
    <w:p>
      <w:pPr>
        <w:spacing w:before="80" w:after="80"/>
      </w:pPr>
      <w:r>
        <w:rPr>
          <w:rFonts w:ascii="Arial" w:cs="Arial" w:eastAsia="Arial" w:hAnsi="Arial"/>
          <w:sz w:val="21"/>
          <w:szCs w:val="21"/>
        </w:rPr>
        <w:t xml:space="preserve">Dans les PME de l’aéronautique et du ferroviaire, la première manifestation concrète sera que les directions techniques voudront des profils capables de piloter des outils génératifs sans bureau d’études traditionnel interposé. Le bureau d’études à 8 personnes deviendra 3 personnes avec des outils — dont deux vraiment compétentes sur les outils IA. L’organisation elle-même se comprime, pas seulement les tâches.</w:t>
      </w:r>
    </w:p>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1.3  Ce que l’IA ne fait pas et ne fera pas de sitôt</w:t>
      </w:r>
    </w:p>
    <w:p>
      <w:pPr>
        <w:spacing w:before="80" w:after="80"/>
      </w:pPr>
      <w:r>
        <w:rPr>
          <w:rFonts w:ascii="Arial" w:cs="Arial" w:eastAsia="Arial" w:hAnsi="Arial"/>
          <w:sz w:val="21"/>
          <w:szCs w:val="21"/>
        </w:rPr>
        <w:t xml:space="preserve">L’IA optimise dans un espace de solutions défini. Elle ne pose pas les bonnes questions. Elle ne sait pas que le vrai problème n’est pas celui qui est écrit dans le cahier des charges. Elle ne détecte pas que ce sous-ensemble va créer un problème de maintenance que personne n’a anticipé parce que l’ingénieur de maintenance n’a pas été invité à la réunion.</w:t>
      </w:r>
    </w:p>
    <w:p>
      <w:pPr>
        <w:spacing w:before="80" w:after="80"/>
      </w:pPr>
      <w:r>
        <w:rPr>
          <w:rFonts w:ascii="Arial" w:cs="Arial" w:eastAsia="Arial" w:hAnsi="Arial"/>
          <w:sz w:val="21"/>
          <w:szCs w:val="21"/>
        </w:rPr>
        <w:t xml:space="preserve">L’IA ne porte pas la responsabilité. Elle ne signe pas le dossier de définition. Elle ne regarde pas le client dans les yeux quand la pièce casse en service. Elle ne décide pas quand les données sont insuffisantes pour conclure. Elle ne négocie pas avec le fournisseur de composites qui dit que votre tolérance est impossible à tenir.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E8EEF7" w:val="clear"/>
            <w:tcMar>
              <w:top w:type="dxa" w:w="90"/>
              <w:left w:type="dxa" w:w="150"/>
              <w:bottom w:type="dxa" w:w="90"/>
              <w:right w:type="dxa" w:w="150"/>
            </w:tcMar>
          </w:tcPr>
          <w:p>
            <w:pPr>
              <w:spacing w:before="0" w:after="50"/>
            </w:pPr>
            <w:r>
              <w:rPr>
                <w:rFonts w:ascii="Arial" w:cs="Arial" w:eastAsia="Arial" w:hAnsi="Arial"/>
                <w:b/>
                <w:bCs/>
                <w:color w:val="0D2B5E"/>
                <w:sz w:val="20"/>
                <w:szCs w:val="20"/>
              </w:rPr>
              <w:t xml:space="preserve">Ce que l’IA ne remplace pas — la liste courte</w:t>
            </w:r>
          </w:p>
          <w:p>
            <w:pPr>
              <w:pStyle w:val="ListParagraph"/>
              <w:numPr>
                <w:ilvl w:val="0"/>
                <w:numId w:val="2"/>
              </w:numPr>
              <w:spacing w:before="45" w:after="45"/>
            </w:pPr>
            <w:r>
              <w:rPr>
                <w:rFonts w:ascii="Arial" w:cs="Arial" w:eastAsia="Arial" w:hAnsi="Arial"/>
                <w:color w:val="1A1A1A"/>
                <w:sz w:val="20"/>
                <w:szCs w:val="20"/>
              </w:rPr>
              <w:t xml:space="preserve">Le jugement dans l’incertitude : décider quand les données sont insuffisantes et que la responsabilité est réelle</w:t>
            </w:r>
          </w:p>
          <w:p>
            <w:pPr>
              <w:pStyle w:val="ListParagraph"/>
              <w:numPr>
                <w:ilvl w:val="0"/>
                <w:numId w:val="2"/>
              </w:numPr>
              <w:spacing w:before="45" w:after="45"/>
            </w:pPr>
            <w:r>
              <w:rPr>
                <w:rFonts w:ascii="Arial" w:cs="Arial" w:eastAsia="Arial" w:hAnsi="Arial"/>
                <w:color w:val="1A1A1A"/>
                <w:sz w:val="20"/>
                <w:szCs w:val="20"/>
              </w:rPr>
              <w:t xml:space="preserve">La formulation du bon problème : identifier ce que le cahier des charges n’a pas su exprimer</w:t>
            </w:r>
          </w:p>
          <w:p>
            <w:pPr>
              <w:pStyle w:val="ListParagraph"/>
              <w:numPr>
                <w:ilvl w:val="0"/>
                <w:numId w:val="2"/>
              </w:numPr>
              <w:spacing w:before="45" w:after="45"/>
            </w:pPr>
            <w:r>
              <w:rPr>
                <w:rFonts w:ascii="Arial" w:cs="Arial" w:eastAsia="Arial" w:hAnsi="Arial"/>
                <w:color w:val="1A1A1A"/>
                <w:sz w:val="20"/>
                <w:szCs w:val="20"/>
              </w:rPr>
              <w:t xml:space="preserve">La responsabilité légale et la navigabilité : quelqu’un signe, et ce quelqu’un doit être humain</w:t>
            </w:r>
          </w:p>
          <w:p>
            <w:pPr>
              <w:pStyle w:val="ListParagraph"/>
              <w:numPr>
                <w:ilvl w:val="0"/>
                <w:numId w:val="2"/>
              </w:numPr>
              <w:spacing w:before="45" w:after="45"/>
            </w:pPr>
            <w:r>
              <w:rPr>
                <w:rFonts w:ascii="Arial" w:cs="Arial" w:eastAsia="Arial" w:hAnsi="Arial"/>
                <w:color w:val="1A1A1A"/>
                <w:sz w:val="20"/>
                <w:szCs w:val="20"/>
              </w:rPr>
              <w:t xml:space="preserve">L’intuition physique issue du terrain : ce que « impossible à tenir en série » signifie vraiment</w:t>
            </w:r>
          </w:p>
          <w:p>
            <w:pPr>
              <w:pStyle w:val="ListParagraph"/>
              <w:numPr>
                <w:ilvl w:val="0"/>
                <w:numId w:val="2"/>
              </w:numPr>
              <w:spacing w:before="45" w:after="45"/>
            </w:pPr>
            <w:r>
              <w:rPr>
                <w:rFonts w:ascii="Arial" w:cs="Arial" w:eastAsia="Arial" w:hAnsi="Arial"/>
                <w:color w:val="1A1A1A"/>
                <w:sz w:val="20"/>
                <w:szCs w:val="20"/>
              </w:rPr>
              <w:t xml:space="preserve">La relation de confiance avec le client, l’autorité de certification, le fournisseur</w:t>
            </w:r>
          </w:p>
          <w:p>
            <w:pPr>
              <w:pStyle w:val="ListParagraph"/>
              <w:numPr>
                <w:ilvl w:val="0"/>
                <w:numId w:val="2"/>
              </w:numPr>
              <w:spacing w:before="45" w:after="45"/>
            </w:pPr>
            <w:r>
              <w:rPr>
                <w:rFonts w:ascii="Arial" w:cs="Arial" w:eastAsia="Arial" w:hAnsi="Arial"/>
                <w:color w:val="1A1A1A"/>
                <w:sz w:val="20"/>
                <w:szCs w:val="20"/>
              </w:rPr>
              <w:t xml:space="preserve">La créativité par analogie entre domaines : l’innovation qui vient de l’expérience croisée</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33333" w:sz="6"/>
              <w:left w:val="single" w:color="833333" w:sz="6"/>
              <w:bottom w:val="single" w:color="833333" w:sz="6"/>
              <w:right w:val="single" w:color="833333" w:sz="6"/>
            </w:tcBorders>
            <w:shd w:fill="83333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2 — LA FRACTURE QUI ARRIVE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2.1  Deux catégories d’ingénieurs, pas une évolution linéaire</w:t>
      </w:r>
    </w:p>
    <w:p>
      <w:pPr>
        <w:spacing w:before="80" w:after="80"/>
      </w:pPr>
      <w:r>
        <w:rPr>
          <w:rFonts w:ascii="Arial" w:cs="Arial" w:eastAsia="Arial" w:hAnsi="Arial"/>
          <w:sz w:val="21"/>
          <w:szCs w:val="21"/>
        </w:rPr>
        <w:t xml:space="preserve">Le métier va se diviser. Ce n’est pas une hypothèse — c’est la dynamique observable dans tous les métiers touchés par l’automatisation industrielle depuis 40 ans. La question n’est pas de quel côté de la fracture on tombera par hasard. C’est de quel côté on choisit de construire.</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Catégorie A — Exécutants augmentés</w:t>
            </w:r>
          </w:p>
        </w:tc>
        <w:tc>
          <w:tcPr>
            <w:tcW w:type="dxa" w:w="46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Catégorie B — Praticiens à responsabilité</w:t>
            </w:r>
          </w:p>
        </w:tc>
      </w:tr>
      <w:tr>
        <w:tc>
          <w:tcPr>
            <w:tcW w:type="dxa" w:w="46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Utilisent des outils très puissants dans un périmètre défini</w:t>
            </w:r>
          </w:p>
          <w:p>
            <w:pPr>
              <w:pStyle w:val="ListParagraph"/>
              <w:numPr>
                <w:ilvl w:val="0"/>
                <w:numId w:val="2"/>
              </w:numPr>
              <w:spacing w:before="55" w:after="55"/>
            </w:pPr>
            <w:r>
              <w:rPr>
                <w:rFonts w:ascii="Arial" w:cs="Arial" w:eastAsia="Arial" w:hAnsi="Arial"/>
                <w:sz w:val="21"/>
                <w:szCs w:val="21"/>
              </w:rPr>
              <w:t xml:space="preserve">Interchangeables — la compétence est l’outil, pas le jugement</w:t>
            </w:r>
          </w:p>
          <w:p>
            <w:pPr>
              <w:pStyle w:val="ListParagraph"/>
              <w:numPr>
                <w:ilvl w:val="0"/>
                <w:numId w:val="2"/>
              </w:numPr>
              <w:spacing w:before="55" w:after="55"/>
            </w:pPr>
            <w:r>
              <w:rPr>
                <w:rFonts w:ascii="Arial" w:cs="Arial" w:eastAsia="Arial" w:hAnsi="Arial"/>
                <w:sz w:val="21"/>
                <w:szCs w:val="21"/>
              </w:rPr>
              <w:t xml:space="preserve">Sous pression sur les salaires — la productivité compense</w:t>
            </w:r>
          </w:p>
          <w:p>
            <w:pPr>
              <w:pStyle w:val="ListParagraph"/>
              <w:numPr>
                <w:ilvl w:val="0"/>
                <w:numId w:val="2"/>
              </w:numPr>
              <w:spacing w:before="55" w:after="55"/>
            </w:pPr>
            <w:r>
              <w:rPr>
                <w:rFonts w:ascii="Arial" w:cs="Arial" w:eastAsia="Arial" w:hAnsi="Arial"/>
                <w:sz w:val="21"/>
                <w:szCs w:val="21"/>
              </w:rPr>
              <w:t xml:space="preserve">Vulnérables à la prochaine génération d’outils</w:t>
            </w:r>
          </w:p>
          <w:p>
            <w:pPr>
              <w:pStyle w:val="ListParagraph"/>
              <w:numPr>
                <w:ilvl w:val="0"/>
                <w:numId w:val="2"/>
              </w:numPr>
              <w:spacing w:before="55" w:after="55"/>
            </w:pPr>
            <w:r>
              <w:rPr>
                <w:rFonts w:ascii="Arial" w:cs="Arial" w:eastAsia="Arial" w:hAnsi="Arial"/>
                <w:sz w:val="21"/>
                <w:szCs w:val="21"/>
              </w:rPr>
              <w:t xml:space="preserve">Trajectoire : compression salariale et écrasement des équipes</w:t>
            </w:r>
          </w:p>
        </w:tc>
        <w:tc>
          <w:tcPr>
            <w:tcW w:type="dxa" w:w="4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Portent le jugement, la conformité, la décision dans l’incertitude</w:t>
            </w:r>
          </w:p>
          <w:p>
            <w:pPr>
              <w:pStyle w:val="ListParagraph"/>
              <w:numPr>
                <w:ilvl w:val="0"/>
                <w:numId w:val="2"/>
              </w:numPr>
              <w:spacing w:before="55" w:after="55"/>
            </w:pPr>
            <w:r>
              <w:rPr>
                <w:rFonts w:ascii="Arial" w:cs="Arial" w:eastAsia="Arial" w:hAnsi="Arial"/>
                <w:sz w:val="21"/>
                <w:szCs w:val="21"/>
              </w:rPr>
              <w:t xml:space="preserve">Difficiles à remplacer parce que la responsabilité légale ne se délègue pas</w:t>
            </w:r>
          </w:p>
          <w:p>
            <w:pPr>
              <w:pStyle w:val="ListParagraph"/>
              <w:numPr>
                <w:ilvl w:val="0"/>
                <w:numId w:val="2"/>
              </w:numPr>
              <w:spacing w:before="55" w:after="55"/>
            </w:pPr>
            <w:r>
              <w:rPr>
                <w:rFonts w:ascii="Arial" w:cs="Arial" w:eastAsia="Arial" w:hAnsi="Arial"/>
                <w:sz w:val="21"/>
                <w:szCs w:val="21"/>
              </w:rPr>
              <w:t xml:space="preserve">Utilisant aussi les outils IA — mais comme levier, pas comme cœur</w:t>
            </w:r>
          </w:p>
          <w:p>
            <w:pPr>
              <w:pStyle w:val="ListParagraph"/>
              <w:numPr>
                <w:ilvl w:val="0"/>
                <w:numId w:val="2"/>
              </w:numPr>
              <w:spacing w:before="55" w:after="55"/>
            </w:pPr>
            <w:r>
              <w:rPr>
                <w:rFonts w:ascii="Arial" w:cs="Arial" w:eastAsia="Arial" w:hAnsi="Arial"/>
                <w:sz w:val="21"/>
                <w:szCs w:val="21"/>
              </w:rPr>
              <w:t xml:space="preserve">Résilients aux disruptions parce que leur valeur est relationnelle et contextuelle</w:t>
            </w:r>
          </w:p>
          <w:p>
            <w:pPr>
              <w:pStyle w:val="ListParagraph"/>
              <w:numPr>
                <w:ilvl w:val="0"/>
                <w:numId w:val="2"/>
              </w:numPr>
              <w:spacing w:before="55" w:after="55"/>
            </w:pPr>
            <w:r>
              <w:rPr>
                <w:rFonts w:ascii="Arial" w:cs="Arial" w:eastAsia="Arial" w:hAnsi="Arial"/>
                <w:sz w:val="21"/>
                <w:szCs w:val="21"/>
              </w:rPr>
              <w:t xml:space="preserve">Trajectoire : rémunération croissante, indépendance possible</w:t>
            </w:r>
          </w:p>
        </w:tc>
      </w:tr>
      <w:tr>
        <w:tc>
          <w:tcPr>
            <w:tcW w:type="dxa" w:w="9200"/>
            <w:gridSpan w:val="2"/>
            <w:tcBorders>
              <w:top w:val="single" w:color="0D2B5E" w:sz="6"/>
              <w:left w:val="single" w:color="0D2B5E" w:sz="6"/>
              <w:bottom w:val="single" w:color="0D2B5E" w:sz="6"/>
              <w:right w:val="single" w:color="0D2B5E" w:sz="6"/>
            </w:tcBorders>
            <w:shd w:fill="E8EEF7" w:val="clear"/>
            <w:tcMar>
              <w:top w:type="dxa" w:w="80"/>
              <w:left w:type="dxa" w:w="130"/>
              <w:bottom w:type="dxa" w:w="80"/>
              <w:right w:type="dxa" w:w="130"/>
            </w:tcMar>
          </w:tcPr>
          <w:p>
            <w:pPr>
              <w:jc w:val="center"/>
            </w:pPr>
            <w:r>
              <w:rPr>
                <w:rFonts w:ascii="Arial" w:cs="Arial" w:eastAsia="Arial" w:hAnsi="Arial"/>
                <w:b/>
                <w:bCs/>
                <w:color w:val="0D2B5E"/>
                <w:sz w:val="20"/>
                <w:szCs w:val="20"/>
              </w:rPr>
              <w:t xml:space="preserve">La frontière entre les deux n’est pas l’ancienneté. Elle n’est pas le niveau de diplôme. Elle est la capacité à fonctionner dans des situations où l’information est incomplète, où les critères sont ambigus, où la décision engage quelque chose.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2.2  Le phénomène de compression des équipes — comment il se manifeste concrètement</w:t>
      </w:r>
    </w:p>
    <w:p>
      <w:pPr>
        <w:spacing w:before="80" w:after="80"/>
      </w:pPr>
      <w:r>
        <w:rPr>
          <w:rFonts w:ascii="Arial" w:cs="Arial" w:eastAsia="Arial" w:hAnsi="Arial"/>
          <w:sz w:val="21"/>
          <w:szCs w:val="21"/>
        </w:rPr>
        <w:t xml:space="preserve">Dans les PME industrielles, la compression ne sera pas annoncée comme une révolution. Elle arrivera progressivement : un départ non remplacé, des freelances ponctuels à la place de CDI, des outils achetés qui font le travail de deux postes. En 5 ans, l’équipe passe de 8 à 3 — les 3 restants ont changé de nature de travail sans s’en rendre compte.</w:t>
      </w:r>
    </w:p>
    <w:p>
      <w:pPr>
        <w:pStyle w:val="ListParagraph"/>
        <w:numPr>
          <w:ilvl w:val="0"/>
          <w:numId w:val="2"/>
        </w:numPr>
        <w:spacing w:before="55" w:after="55"/>
      </w:pPr>
      <w:r>
        <w:rPr>
          <w:rFonts w:ascii="Arial" w:cs="Arial" w:eastAsia="Arial" w:hAnsi="Arial"/>
          <w:sz w:val="21"/>
          <w:szCs w:val="21"/>
        </w:rPr>
        <w:t xml:space="preserve">Signe 1 : les chefs de projet demandent des résultats de simulation sans passer par le bureau d’études</w:t>
      </w:r>
    </w:p>
    <w:p>
      <w:pPr>
        <w:pStyle w:val="ListParagraph"/>
        <w:numPr>
          <w:ilvl w:val="0"/>
          <w:numId w:val="2"/>
        </w:numPr>
        <w:spacing w:before="55" w:after="55"/>
      </w:pPr>
      <w:r>
        <w:rPr>
          <w:rFonts w:ascii="Arial" w:cs="Arial" w:eastAsia="Arial" w:hAnsi="Arial"/>
          <w:sz w:val="21"/>
          <w:szCs w:val="21"/>
        </w:rPr>
        <w:t xml:space="preserve">Signe 2 : les outils IA sont achetés avec un contrat de formation de 2 jours — « tout le monde doit savoir les utiliser »</w:t>
      </w:r>
    </w:p>
    <w:p>
      <w:pPr>
        <w:pStyle w:val="ListParagraph"/>
        <w:numPr>
          <w:ilvl w:val="0"/>
          <w:numId w:val="2"/>
        </w:numPr>
        <w:spacing w:before="55" w:after="55"/>
      </w:pPr>
      <w:r>
        <w:rPr>
          <w:rFonts w:ascii="Arial" w:cs="Arial" w:eastAsia="Arial" w:hAnsi="Arial"/>
          <w:sz w:val="21"/>
          <w:szCs w:val="21"/>
        </w:rPr>
        <w:t xml:space="preserve">Signe 3 : le recrutement cherche « ingénieur conception + simulation + suivi fournisseur » — trois postes en un</w:t>
      </w:r>
    </w:p>
    <w:p>
      <w:pPr>
        <w:pStyle w:val="ListParagraph"/>
        <w:numPr>
          <w:ilvl w:val="0"/>
          <w:numId w:val="2"/>
        </w:numPr>
        <w:spacing w:before="55" w:after="55"/>
      </w:pPr>
      <w:r>
        <w:rPr>
          <w:rFonts w:ascii="Arial" w:cs="Arial" w:eastAsia="Arial" w:hAnsi="Arial"/>
          <w:sz w:val="21"/>
          <w:szCs w:val="21"/>
        </w:rPr>
        <w:t xml:space="preserve">Signe 4 : les externes et consultants spécialisés remplacent les profils internes généralistes</w:t>
      </w:r>
    </w:p>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2E75B6"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3 — LES 5 STRATÉGIES DE PERTINENCE DURABLE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3.  Les idées et actions les plus rémunératrices — par ordre de rentabilité potentielle</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6"/>
                <w:szCs w:val="26"/>
              </w:rPr>
              <w:t xml:space="preserve">1</w:t>
            </w:r>
          </w:p>
          <w:p>
            <w:pPr>
              <w:jc w:val="center"/>
            </w:pPr>
            <w:r>
              <w:rPr>
                <w:rFonts w:ascii="Arial" w:cs="Arial" w:eastAsia="Arial" w:hAnsi="Arial"/>
                <w:color w:val="FFFFFF"/>
                <w:sz w:val="13"/>
                <w:szCs w:val="13"/>
              </w:rPr>
              <w:t xml:space="preserve">Court terme</w:t>
            </w:r>
          </w:p>
        </w:tc>
        <w:tc>
          <w:tcPr>
            <w:tcW w:type="dxa" w:w="9000"/>
            <w:tcBorders>
              <w:top w:val="single" w:color="0D2B5E" w:sz="6"/>
              <w:left w:val="none" w:color="FFFFFF" w:sz="0"/>
              <w:bottom w:val="single" w:color="0D2B5E" w:sz="6"/>
              <w:right w:val="single" w:color="0D2B5E" w:sz="6"/>
            </w:tcBorders>
            <w:shd w:fill="E8EEF7" w:val="clear"/>
            <w:tcMar>
              <w:top w:type="dxa" w:w="90"/>
              <w:left w:type="dxa" w:w="150"/>
              <w:bottom w:type="dxa" w:w="90"/>
              <w:right w:type="dxa" w:w="150"/>
            </w:tcMar>
          </w:tcPr>
          <w:p>
            <w:pPr>
              <w:spacing w:before="0" w:after="30"/>
            </w:pPr>
            <w:r>
              <w:rPr>
                <w:rFonts w:ascii="Arial" w:cs="Arial" w:eastAsia="Arial" w:hAnsi="Arial"/>
                <w:b/>
                <w:bCs/>
                <w:color w:val="1F3864"/>
                <w:sz w:val="23"/>
                <w:szCs w:val="23"/>
              </w:rPr>
              <w:t xml:space="preserve">Devenir l’ingénieur qui formule le problème, pas celui qui le résout</w:t>
            </w:r>
          </w:p>
          <w:p>
            <w:pPr>
              <w:spacing w:before="0" w:after="70"/>
            </w:pPr>
            <w:r>
              <w:rPr>
                <w:rFonts w:ascii="Arial" w:cs="Arial" w:eastAsia="Arial" w:hAnsi="Arial"/>
                <w:color w:val="1A1A1A"/>
                <w:sz w:val="20"/>
                <w:szCs w:val="20"/>
              </w:rPr>
              <w:t xml:space="preserve">C’est la compétence la plus rare et la moins automatisable. L’IA a besoin qu’on lui dise quoi optimiser, avec quelles contraintes, dans quel contexte réglementaire. Elle ne pose pas les questions. Un ingénieur qui sait écrire un cahier des charges fonctionnel précis, identifier les vraies contraintes derrière les contraintes apparentes, et détecter les risques système avant que le logiciel commence à calculer — vaut structurellement plus que celui qui sait utiliser CATIA vite.</w:t>
            </w:r>
          </w:p>
          <w:p>
            <w:pPr>
              <w:spacing w:before="0" w:after="40"/>
            </w:pPr>
            <w:r>
              <w:rPr>
                <w:rFonts w:ascii="Arial" w:cs="Arial" w:eastAsia="Arial" w:hAnsi="Arial"/>
                <w:b/>
                <w:bCs/>
                <w:color w:val="0D2B5E"/>
                <w:sz w:val="19"/>
                <w:szCs w:val="19"/>
              </w:rPr>
              <w:t xml:space="preserve">Actions concretes :</w:t>
            </w:r>
          </w:p>
          <w:p>
            <w:pPr>
              <w:pStyle w:val="ListParagraph"/>
              <w:numPr>
                <w:ilvl w:val="0"/>
                <w:numId w:val="2"/>
              </w:numPr>
              <w:spacing w:before="40" w:after="40"/>
            </w:pPr>
            <w:r>
              <w:rPr>
                <w:rFonts w:ascii="Arial" w:cs="Arial" w:eastAsia="Arial" w:hAnsi="Arial"/>
                <w:color w:val="1A1A1A"/>
                <w:sz w:val="19"/>
                <w:szCs w:val="19"/>
              </w:rPr>
              <w:t xml:space="preserve">Maîtriser l’analyse fonctionnelle : APTE, FAST, SADT — outils de formulation du besoin réel</w:t>
            </w:r>
          </w:p>
          <w:p>
            <w:pPr>
              <w:pStyle w:val="ListParagraph"/>
              <w:numPr>
                <w:ilvl w:val="0"/>
                <w:numId w:val="2"/>
              </w:numPr>
              <w:spacing w:before="40" w:after="40"/>
            </w:pPr>
            <w:r>
              <w:rPr>
                <w:rFonts w:ascii="Arial" w:cs="Arial" w:eastAsia="Arial" w:hAnsi="Arial"/>
                <w:color w:val="1A1A1A"/>
                <w:sz w:val="19"/>
                <w:szCs w:val="19"/>
              </w:rPr>
              <w:t xml:space="preserve">S’entraîner à redéfinir le problème d’un client avant de concevoir quoi que ce soit</w:t>
            </w:r>
          </w:p>
          <w:p>
            <w:pPr>
              <w:pStyle w:val="ListParagraph"/>
              <w:numPr>
                <w:ilvl w:val="0"/>
                <w:numId w:val="2"/>
              </w:numPr>
              <w:spacing w:before="40" w:after="40"/>
            </w:pPr>
            <w:r>
              <w:rPr>
                <w:rFonts w:ascii="Arial" w:cs="Arial" w:eastAsia="Arial" w:hAnsi="Arial"/>
                <w:color w:val="1A1A1A"/>
                <w:sz w:val="19"/>
                <w:szCs w:val="19"/>
              </w:rPr>
              <w:t xml:space="preserve">Lire : Pahl &amp; Beitz (Engineering Design — Systematic Approach) — méthodologie de référence</w:t>
            </w:r>
          </w:p>
          <w:p>
            <w:pPr>
              <w:pStyle w:val="ListParagraph"/>
              <w:numPr>
                <w:ilvl w:val="0"/>
                <w:numId w:val="2"/>
              </w:numPr>
              <w:spacing w:before="40" w:after="40"/>
            </w:pPr>
            <w:r>
              <w:rPr>
                <w:rFonts w:ascii="Arial" w:cs="Arial" w:eastAsia="Arial" w:hAnsi="Arial"/>
                <w:color w:val="1A1A1A"/>
                <w:sz w:val="19"/>
                <w:szCs w:val="19"/>
              </w:rPr>
              <w:t xml:space="preserve">Poser systématiquement la question : « est-ce que je résous le bon problème ? » en réunion de lancement</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jc w:val="center"/>
            </w:pPr>
            <w:r>
              <w:rPr>
                <w:rFonts w:ascii="Arial" w:cs="Arial" w:eastAsia="Arial" w:hAnsi="Arial"/>
                <w:b/>
                <w:bCs/>
                <w:color w:val="FFFFFF"/>
                <w:sz w:val="26"/>
                <w:szCs w:val="26"/>
              </w:rPr>
              <w:t xml:space="preserve">2</w:t>
            </w:r>
          </w:p>
          <w:p>
            <w:pPr>
              <w:jc w:val="center"/>
            </w:pPr>
            <w:r>
              <w:rPr>
                <w:rFonts w:ascii="Arial" w:cs="Arial" w:eastAsia="Arial" w:hAnsi="Arial"/>
                <w:color w:val="FFFFFF"/>
                <w:sz w:val="13"/>
                <w:szCs w:val="13"/>
              </w:rPr>
              <w:t xml:space="preserve">Court terme</w:t>
            </w:r>
          </w:p>
        </w:tc>
        <w:tc>
          <w:tcPr>
            <w:tcW w:type="dxa" w:w="9000"/>
            <w:tcBorders>
              <w:top w:val="single" w:color="2E75B6" w:sz="6"/>
              <w:left w:val="none" w:color="FFFFFF" w:sz="0"/>
              <w:bottom w:val="single" w:color="2E75B6" w:sz="6"/>
              <w:right w:val="single" w:color="2E75B6" w:sz="6"/>
            </w:tcBorders>
            <w:shd w:fill="DEEAF1" w:val="clear"/>
            <w:tcMar>
              <w:top w:type="dxa" w:w="90"/>
              <w:left w:type="dxa" w:w="150"/>
              <w:bottom w:type="dxa" w:w="90"/>
              <w:right w:type="dxa" w:w="150"/>
            </w:tcMar>
          </w:tcPr>
          <w:p>
            <w:pPr>
              <w:spacing w:before="0" w:after="30"/>
            </w:pPr>
            <w:r>
              <w:rPr>
                <w:rFonts w:ascii="Arial" w:cs="Arial" w:eastAsia="Arial" w:hAnsi="Arial"/>
                <w:b/>
                <w:bCs/>
                <w:color w:val="1F3864"/>
                <w:sz w:val="23"/>
                <w:szCs w:val="23"/>
              </w:rPr>
              <w:t xml:space="preserve">Devenir l’interface entre la simulation et la décision</w:t>
            </w:r>
          </w:p>
          <w:p>
            <w:pPr>
              <w:spacing w:before="0" w:after="70"/>
            </w:pPr>
            <w:r>
              <w:rPr>
                <w:rFonts w:ascii="Arial" w:cs="Arial" w:eastAsia="Arial" w:hAnsi="Arial"/>
                <w:color w:val="1A1A1A"/>
                <w:sz w:val="20"/>
                <w:szCs w:val="20"/>
              </w:rPr>
              <w:t xml:space="preserve">La FEA génère des résultats. Quelqu’un doit décider si ces résultats sont valides, si le modèle représente correctement la réalité physique, si les hypothèses sont acceptables dans le contexte réglementaire. Ce quelqu’un ne peut pas être un algorithme parce que la décision engage une responsabilité. L’ingénieur qui comprend les fondements physiques (ce que le logiciel calcule vraiment, ses limites, ses approximations) ET le contexte normatif est un traducteur indispensable entre la puissance de calcul et la validation officielle.</w:t>
            </w:r>
          </w:p>
          <w:p>
            <w:pPr>
              <w:spacing w:before="0" w:after="40"/>
            </w:pPr>
            <w:r>
              <w:rPr>
                <w:rFonts w:ascii="Arial" w:cs="Arial" w:eastAsia="Arial" w:hAnsi="Arial"/>
                <w:b/>
                <w:bCs/>
                <w:color w:val="2E75B6"/>
                <w:sz w:val="19"/>
                <w:szCs w:val="19"/>
              </w:rPr>
              <w:t xml:space="preserve">Actions concretes :</w:t>
            </w:r>
          </w:p>
          <w:p>
            <w:pPr>
              <w:pStyle w:val="ListParagraph"/>
              <w:numPr>
                <w:ilvl w:val="0"/>
                <w:numId w:val="2"/>
              </w:numPr>
              <w:spacing w:before="40" w:after="40"/>
            </w:pPr>
            <w:r>
              <w:rPr>
                <w:rFonts w:ascii="Arial" w:cs="Arial" w:eastAsia="Arial" w:hAnsi="Arial"/>
                <w:color w:val="1A1A1A"/>
                <w:sz w:val="19"/>
                <w:szCs w:val="19"/>
              </w:rPr>
              <w:t xml:space="preserve">Former sur les fondements mathématiques de la FEA — convergence, conditions aux limites, types d’éléments</w:t>
            </w:r>
          </w:p>
          <w:p>
            <w:pPr>
              <w:pStyle w:val="ListParagraph"/>
              <w:numPr>
                <w:ilvl w:val="0"/>
                <w:numId w:val="2"/>
              </w:numPr>
              <w:spacing w:before="40" w:after="40"/>
            </w:pPr>
            <w:r>
              <w:rPr>
                <w:rFonts w:ascii="Arial" w:cs="Arial" w:eastAsia="Arial" w:hAnsi="Arial"/>
                <w:color w:val="1A1A1A"/>
                <w:sz w:val="19"/>
                <w:szCs w:val="19"/>
              </w:rPr>
              <w:t xml:space="preserve">Développer le réflexe de l’estimation analytique avant le calcul numérique — pour valider l’ordre de grandeur</w:t>
            </w:r>
          </w:p>
          <w:p>
            <w:pPr>
              <w:pStyle w:val="ListParagraph"/>
              <w:numPr>
                <w:ilvl w:val="0"/>
                <w:numId w:val="2"/>
              </w:numPr>
              <w:spacing w:before="40" w:after="40"/>
            </w:pPr>
            <w:r>
              <w:rPr>
                <w:rFonts w:ascii="Arial" w:cs="Arial" w:eastAsia="Arial" w:hAnsi="Arial"/>
                <w:color w:val="1A1A1A"/>
                <w:sz w:val="19"/>
                <w:szCs w:val="19"/>
              </w:rPr>
              <w:t xml:space="preserve">Apprendre à identifier les sources d’erreur non détectées par le logiciel (singularités, conditions aux limites erronées)</w:t>
            </w:r>
          </w:p>
          <w:p>
            <w:pPr>
              <w:pStyle w:val="ListParagraph"/>
              <w:numPr>
                <w:ilvl w:val="0"/>
                <w:numId w:val="2"/>
              </w:numPr>
              <w:spacing w:before="40" w:after="40"/>
            </w:pPr>
            <w:r>
              <w:rPr>
                <w:rFonts w:ascii="Arial" w:cs="Arial" w:eastAsia="Arial" w:hAnsi="Arial"/>
                <w:color w:val="1A1A1A"/>
                <w:sz w:val="19"/>
                <w:szCs w:val="19"/>
              </w:rPr>
              <w:t xml:space="preserve">Constituer un répertoire personnel de cas de référence vérifiés pour valider les futurs modèles</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jc w:val="center"/>
            </w:pPr>
            <w:r>
              <w:rPr>
                <w:rFonts w:ascii="Arial" w:cs="Arial" w:eastAsia="Arial" w:hAnsi="Arial"/>
                <w:b/>
                <w:bCs/>
                <w:color w:val="FFFFFF"/>
                <w:sz w:val="26"/>
                <w:szCs w:val="26"/>
              </w:rPr>
              <w:t xml:space="preserve">3</w:t>
            </w:r>
          </w:p>
          <w:p>
            <w:pPr>
              <w:jc w:val="center"/>
            </w:pPr>
            <w:r>
              <w:rPr>
                <w:rFonts w:ascii="Arial" w:cs="Arial" w:eastAsia="Arial" w:hAnsi="Arial"/>
                <w:color w:val="FFFFFF"/>
                <w:sz w:val="13"/>
                <w:szCs w:val="13"/>
              </w:rPr>
              <w:t xml:space="preserve">Moyen terme</w:t>
            </w:r>
          </w:p>
        </w:tc>
        <w:tc>
          <w:tcPr>
            <w:tcW w:type="dxa" w:w="9000"/>
            <w:tcBorders>
              <w:top w:val="single" w:color="375623" w:sz="6"/>
              <w:left w:val="none" w:color="FFFFFF" w:sz="0"/>
              <w:bottom w:val="single" w:color="375623" w:sz="6"/>
              <w:right w:val="single" w:color="375623" w:sz="6"/>
            </w:tcBorders>
            <w:shd w:fill="E2EFDA" w:val="clear"/>
            <w:tcMar>
              <w:top w:type="dxa" w:w="90"/>
              <w:left w:type="dxa" w:w="150"/>
              <w:bottom w:type="dxa" w:w="90"/>
              <w:right w:type="dxa" w:w="150"/>
            </w:tcMar>
          </w:tcPr>
          <w:p>
            <w:pPr>
              <w:spacing w:before="0" w:after="30"/>
            </w:pPr>
            <w:r>
              <w:rPr>
                <w:rFonts w:ascii="Arial" w:cs="Arial" w:eastAsia="Arial" w:hAnsi="Arial"/>
                <w:b/>
                <w:bCs/>
                <w:color w:val="1F3864"/>
                <w:sz w:val="23"/>
                <w:szCs w:val="23"/>
              </w:rPr>
              <w:t xml:space="preserve">Double culture normative comme position de marché durable</w:t>
            </w:r>
          </w:p>
          <w:p>
            <w:pPr>
              <w:spacing w:before="0" w:after="70"/>
            </w:pPr>
            <w:r>
              <w:rPr>
                <w:rFonts w:ascii="Arial" w:cs="Arial" w:eastAsia="Arial" w:hAnsi="Arial"/>
                <w:color w:val="1A1A1A"/>
                <w:sz w:val="20"/>
                <w:szCs w:val="20"/>
              </w:rPr>
              <w:t xml:space="preserve">Dans les secteurs réglementés — aéro, ferro, médical, défense, nucléaire — la conformité normative n’est pas automatisable parce qu’elle engage des responsabilités légales. Les outils IA sont entraînés sur des corpus génériques, pas sur les subtilites de l’interprétation des STI ou de la Part 21. Un ingénieur qui navigue dans deux référentiels normatifs (aéro + ferro, ou aéro + médical) est structurellement moins remplaçable.</w:t>
            </w:r>
          </w:p>
          <w:p>
            <w:pPr>
              <w:spacing w:before="0" w:after="40"/>
            </w:pPr>
            <w:r>
              <w:rPr>
                <w:rFonts w:ascii="Arial" w:cs="Arial" w:eastAsia="Arial" w:hAnsi="Arial"/>
                <w:b/>
                <w:bCs/>
                <w:color w:val="375623"/>
                <w:sz w:val="19"/>
                <w:szCs w:val="19"/>
              </w:rPr>
              <w:t xml:space="preserve">Actions concretes :</w:t>
            </w:r>
          </w:p>
          <w:p>
            <w:pPr>
              <w:pStyle w:val="ListParagraph"/>
              <w:numPr>
                <w:ilvl w:val="0"/>
                <w:numId w:val="2"/>
              </w:numPr>
              <w:spacing w:before="40" w:after="40"/>
            </w:pPr>
            <w:r>
              <w:rPr>
                <w:rFonts w:ascii="Arial" w:cs="Arial" w:eastAsia="Arial" w:hAnsi="Arial"/>
                <w:color w:val="1A1A1A"/>
                <w:sz w:val="19"/>
                <w:szCs w:val="19"/>
              </w:rPr>
              <w:t xml:space="preserve">Choisir délibérément un croisement sectoriel et y devenir la personne de référence</w:t>
            </w:r>
          </w:p>
          <w:p>
            <w:pPr>
              <w:pStyle w:val="ListParagraph"/>
              <w:numPr>
                <w:ilvl w:val="0"/>
                <w:numId w:val="2"/>
              </w:numPr>
              <w:spacing w:before="40" w:after="40"/>
            </w:pPr>
            <w:r>
              <w:rPr>
                <w:rFonts w:ascii="Arial" w:cs="Arial" w:eastAsia="Arial" w:hAnsi="Arial"/>
                <w:color w:val="1A1A1A"/>
                <w:sz w:val="19"/>
                <w:szCs w:val="19"/>
              </w:rPr>
              <w:t xml:space="preserve">Cartographier les points de chevauchement entre les deux référentiels — les zones d’arbitrage sont celles où la valeur est la plus haute</w:t>
            </w:r>
          </w:p>
          <w:p>
            <w:pPr>
              <w:pStyle w:val="ListParagraph"/>
              <w:numPr>
                <w:ilvl w:val="0"/>
                <w:numId w:val="2"/>
              </w:numPr>
              <w:spacing w:before="40" w:after="40"/>
            </w:pPr>
            <w:r>
              <w:rPr>
                <w:rFonts w:ascii="Arial" w:cs="Arial" w:eastAsia="Arial" w:hAnsi="Arial"/>
                <w:color w:val="1A1A1A"/>
                <w:sz w:val="19"/>
                <w:szCs w:val="19"/>
              </w:rPr>
              <w:t xml:space="preserve">Se positionner comme l’ingénieur qui explique les normes aux non-spécialistes — pédagogues des référentiels</w:t>
            </w:r>
          </w:p>
          <w:p>
            <w:pPr>
              <w:pStyle w:val="ListParagraph"/>
              <w:numPr>
                <w:ilvl w:val="0"/>
                <w:numId w:val="2"/>
              </w:numPr>
              <w:spacing w:before="40" w:after="40"/>
            </w:pPr>
            <w:r>
              <w:rPr>
                <w:rFonts w:ascii="Arial" w:cs="Arial" w:eastAsia="Arial" w:hAnsi="Arial"/>
                <w:color w:val="1A1A1A"/>
                <w:sz w:val="19"/>
                <w:szCs w:val="19"/>
              </w:rPr>
              <w:t xml:space="preserve">Participer aux groupes de travail normatifs (AFNOR, GIFAS, UIC) — accès aux évolutions avant publication</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4</w:t>
            </w:r>
          </w:p>
          <w:p>
            <w:pPr>
              <w:jc w:val="center"/>
            </w:pPr>
            <w:r>
              <w:rPr>
                <w:rFonts w:ascii="Arial" w:cs="Arial" w:eastAsia="Arial" w:hAnsi="Arial"/>
                <w:color w:val="FFFFFF"/>
                <w:sz w:val="13"/>
                <w:szCs w:val="13"/>
              </w:rPr>
              <w:t xml:space="preserve">Long terme</w:t>
            </w:r>
          </w:p>
        </w:tc>
        <w:tc>
          <w:tcPr>
            <w:tcW w:type="dxa" w:w="9000"/>
            <w:tcBorders>
              <w:top w:val="single" w:color="1A5276" w:sz="6"/>
              <w:left w:val="none" w:color="FFFFFF" w:sz="0"/>
              <w:bottom w:val="single" w:color="1A5276" w:sz="6"/>
              <w:right w:val="single" w:color="1A5276" w:sz="6"/>
            </w:tcBorders>
            <w:shd w:fill="D6EAF8" w:val="clear"/>
            <w:tcMar>
              <w:top w:type="dxa" w:w="90"/>
              <w:left w:type="dxa" w:w="150"/>
              <w:bottom w:type="dxa" w:w="90"/>
              <w:right w:type="dxa" w:w="150"/>
            </w:tcMar>
          </w:tcPr>
          <w:p>
            <w:pPr>
              <w:spacing w:before="0" w:after="30"/>
            </w:pPr>
            <w:r>
              <w:rPr>
                <w:rFonts w:ascii="Arial" w:cs="Arial" w:eastAsia="Arial" w:hAnsi="Arial"/>
                <w:b/>
                <w:bCs/>
                <w:color w:val="1F3864"/>
                <w:sz w:val="23"/>
                <w:szCs w:val="23"/>
              </w:rPr>
              <w:t xml:space="preserve">Le terrain et le physique comme avantage durable</w:t>
            </w:r>
          </w:p>
          <w:p>
            <w:pPr>
              <w:spacing w:before="0" w:after="70"/>
            </w:pPr>
            <w:r>
              <w:rPr>
                <w:rFonts w:ascii="Arial" w:cs="Arial" w:eastAsia="Arial" w:hAnsi="Arial"/>
                <w:color w:val="1A1A1A"/>
                <w:sz w:val="20"/>
                <w:szCs w:val="20"/>
              </w:rPr>
              <w:t xml:space="preserve">Il y a quelque chose que les ingénieurs de bureau oublient et que l’IA ne comprend pas : les pièces existent dans le monde physique. Elles se fabriquent, se montent, tombent en panne dans des conditions que personne n’a anticipées. L’ingénieur qui a passé du temps en atelier, qui sait ce que « impossible à tenir en série » signifie vraiment, qui a vu une pièce casser et compris pourquoi — a une intuition physique que ni l’IA ni l’ingénieur purement numérique ne développent.</w:t>
            </w:r>
          </w:p>
          <w:p>
            <w:pPr>
              <w:spacing w:before="0" w:after="40"/>
            </w:pPr>
            <w:r>
              <w:rPr>
                <w:rFonts w:ascii="Arial" w:cs="Arial" w:eastAsia="Arial" w:hAnsi="Arial"/>
                <w:b/>
                <w:bCs/>
                <w:color w:val="1A5276"/>
                <w:sz w:val="19"/>
                <w:szCs w:val="19"/>
              </w:rPr>
              <w:t xml:space="preserve">Actions concretes :</w:t>
            </w:r>
          </w:p>
          <w:p>
            <w:pPr>
              <w:pStyle w:val="ListParagraph"/>
              <w:numPr>
                <w:ilvl w:val="0"/>
                <w:numId w:val="2"/>
              </w:numPr>
              <w:spacing w:before="40" w:after="40"/>
            </w:pPr>
            <w:r>
              <w:rPr>
                <w:rFonts w:ascii="Arial" w:cs="Arial" w:eastAsia="Arial" w:hAnsi="Arial"/>
                <w:color w:val="1A1A1A"/>
                <w:sz w:val="19"/>
                <w:szCs w:val="19"/>
              </w:rPr>
              <w:t xml:space="preserve">Passer du temps en atelier et en production régulièrement — pas comme activité principale, comme source d’intuition</w:t>
            </w:r>
          </w:p>
          <w:p>
            <w:pPr>
              <w:pStyle w:val="ListParagraph"/>
              <w:numPr>
                <w:ilvl w:val="0"/>
                <w:numId w:val="2"/>
              </w:numPr>
              <w:spacing w:before="40" w:after="40"/>
            </w:pPr>
            <w:r>
              <w:rPr>
                <w:rFonts w:ascii="Arial" w:cs="Arial" w:eastAsia="Arial" w:hAnsi="Arial"/>
                <w:color w:val="1A1A1A"/>
                <w:sz w:val="19"/>
                <w:szCs w:val="19"/>
              </w:rPr>
              <w:t xml:space="preserve">Analyser systématiquement les pièces de retour client (retours SAV, pièces cassées, non-conformités) comme source d’apprentissage</w:t>
            </w:r>
          </w:p>
          <w:p>
            <w:pPr>
              <w:pStyle w:val="ListParagraph"/>
              <w:numPr>
                <w:ilvl w:val="0"/>
                <w:numId w:val="2"/>
              </w:numPr>
              <w:spacing w:before="40" w:after="40"/>
            </w:pPr>
            <w:r>
              <w:rPr>
                <w:rFonts w:ascii="Arial" w:cs="Arial" w:eastAsia="Arial" w:hAnsi="Arial"/>
                <w:color w:val="1A1A1A"/>
                <w:sz w:val="19"/>
                <w:szCs w:val="19"/>
              </w:rPr>
              <w:t xml:space="preserve">Documenter les cas où le calcul était juste mais la pièce a quand même échoué — ces cas sont la base de l’expertise</w:t>
            </w:r>
          </w:p>
          <w:p>
            <w:pPr>
              <w:pStyle w:val="ListParagraph"/>
              <w:numPr>
                <w:ilvl w:val="0"/>
                <w:numId w:val="2"/>
              </w:numPr>
              <w:spacing w:before="40" w:after="40"/>
            </w:pPr>
            <w:r>
              <w:rPr>
                <w:rFonts w:ascii="Arial" w:cs="Arial" w:eastAsia="Arial" w:hAnsi="Arial"/>
                <w:color w:val="1A1A1A"/>
                <w:sz w:val="19"/>
                <w:szCs w:val="19"/>
              </w:rPr>
              <w:t xml:space="preserve">Maintenir une pratique régulière du dimensionnement à la main — ne jamais déléguer entièrement l’intuition numérique au logiciel</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jc w:val="center"/>
            </w:pPr>
            <w:r>
              <w:rPr>
                <w:rFonts w:ascii="Arial" w:cs="Arial" w:eastAsia="Arial" w:hAnsi="Arial"/>
                <w:b/>
                <w:bCs/>
                <w:color w:val="FFFFFF"/>
                <w:sz w:val="26"/>
                <w:szCs w:val="26"/>
              </w:rPr>
              <w:t xml:space="preserve">5</w:t>
            </w:r>
          </w:p>
          <w:p>
            <w:pPr>
              <w:jc w:val="center"/>
            </w:pPr>
            <w:r>
              <w:rPr>
                <w:rFonts w:ascii="Arial" w:cs="Arial" w:eastAsia="Arial" w:hAnsi="Arial"/>
                <w:color w:val="FFFFFF"/>
                <w:sz w:val="13"/>
                <w:szCs w:val="13"/>
              </w:rPr>
              <w:t xml:space="preserve">Immédiat</w:t>
            </w:r>
          </w:p>
        </w:tc>
        <w:tc>
          <w:tcPr>
            <w:tcW w:type="dxa" w:w="9000"/>
            <w:tcBorders>
              <w:top w:val="single" w:color="C55A11" w:sz="6"/>
              <w:left w:val="none" w:color="FFFFFF" w:sz="0"/>
              <w:bottom w:val="single" w:color="C55A11" w:sz="6"/>
              <w:right w:val="single" w:color="C55A11" w:sz="6"/>
            </w:tcBorders>
            <w:shd w:fill="FCE4D6" w:val="clear"/>
            <w:tcMar>
              <w:top w:type="dxa" w:w="90"/>
              <w:left w:type="dxa" w:w="150"/>
              <w:bottom w:type="dxa" w:w="90"/>
              <w:right w:type="dxa" w:w="150"/>
            </w:tcMar>
          </w:tcPr>
          <w:p>
            <w:pPr>
              <w:spacing w:before="0" w:after="30"/>
            </w:pPr>
            <w:r>
              <w:rPr>
                <w:rFonts w:ascii="Arial" w:cs="Arial" w:eastAsia="Arial" w:hAnsi="Arial"/>
                <w:b/>
                <w:bCs/>
                <w:color w:val="1F3864"/>
                <w:sz w:val="23"/>
                <w:szCs w:val="23"/>
              </w:rPr>
              <w:t xml:space="preserve">Utiliser l’IA comme levier de productivité personnelle — pas comme menace</w:t>
            </w:r>
          </w:p>
          <w:p>
            <w:pPr>
              <w:spacing w:before="0" w:after="70"/>
            </w:pPr>
            <w:r>
              <w:rPr>
                <w:rFonts w:ascii="Arial" w:cs="Arial" w:eastAsia="Arial" w:hAnsi="Arial"/>
                <w:color w:val="1A1A1A"/>
                <w:sz w:val="20"/>
                <w:szCs w:val="20"/>
              </w:rPr>
              <w:t xml:space="preserve">La posture la plus rentable à court terme n’est ni d’ignorer les outils ni d’en faire sa spécialité. C’est d’utiliser les outils IA pour faire en 2 heures ce qui prenait 2 jours, et d’utiliser le temps libéré sur les tâches à haute valeur que la machine ne sait pas faire. Un ingénieur qui produit 5 fois plus vite tout en gardant la même qualité de jugement sur les décisions critiques est en position de force — dans l’entreprise, et pour créer une activité indépendante.</w:t>
            </w:r>
          </w:p>
          <w:p>
            <w:pPr>
              <w:spacing w:before="0" w:after="40"/>
            </w:pPr>
            <w:r>
              <w:rPr>
                <w:rFonts w:ascii="Arial" w:cs="Arial" w:eastAsia="Arial" w:hAnsi="Arial"/>
                <w:b/>
                <w:bCs/>
                <w:color w:val="C55A11"/>
                <w:sz w:val="19"/>
                <w:szCs w:val="19"/>
              </w:rPr>
              <w:t xml:space="preserve">Actions concretes :</w:t>
            </w:r>
          </w:p>
          <w:p>
            <w:pPr>
              <w:pStyle w:val="ListParagraph"/>
              <w:numPr>
                <w:ilvl w:val="0"/>
                <w:numId w:val="2"/>
              </w:numPr>
              <w:spacing w:before="40" w:after="40"/>
            </w:pPr>
            <w:r>
              <w:rPr>
                <w:rFonts w:ascii="Arial" w:cs="Arial" w:eastAsia="Arial" w:hAnsi="Arial"/>
                <w:color w:val="1A1A1A"/>
                <w:sz w:val="19"/>
                <w:szCs w:val="19"/>
              </w:rPr>
              <w:t xml:space="preserve">Maîtriser un outil de génération de géométrie (Fusion 360 Generative Design, Ansys Discovery) au niveau opérationnel</w:t>
            </w:r>
          </w:p>
          <w:p>
            <w:pPr>
              <w:pStyle w:val="ListParagraph"/>
              <w:numPr>
                <w:ilvl w:val="0"/>
                <w:numId w:val="2"/>
              </w:numPr>
              <w:spacing w:before="40" w:after="40"/>
            </w:pPr>
            <w:r>
              <w:rPr>
                <w:rFonts w:ascii="Arial" w:cs="Arial" w:eastAsia="Arial" w:hAnsi="Arial"/>
                <w:color w:val="1A1A1A"/>
                <w:sz w:val="19"/>
                <w:szCs w:val="19"/>
              </w:rPr>
              <w:t xml:space="preserve">Utiliser les LLMs (Claude, ChatGPT) pour la rédaction de spécifications, rapports, notes de calcul — gagner 50 % du temps de documentation</w:t>
            </w:r>
          </w:p>
          <w:p>
            <w:pPr>
              <w:pStyle w:val="ListParagraph"/>
              <w:numPr>
                <w:ilvl w:val="0"/>
                <w:numId w:val="2"/>
              </w:numPr>
              <w:spacing w:before="40" w:after="40"/>
            </w:pPr>
            <w:r>
              <w:rPr>
                <w:rFonts w:ascii="Arial" w:cs="Arial" w:eastAsia="Arial" w:hAnsi="Arial"/>
                <w:color w:val="1A1A1A"/>
                <w:sz w:val="19"/>
                <w:szCs w:val="19"/>
              </w:rPr>
              <w:t xml:space="preserve">Automatiser les tâches répétitives (rapports, nomenclatures, vérifications) avec des scripts simples ou des outils no-code</w:t>
            </w:r>
          </w:p>
          <w:p>
            <w:pPr>
              <w:pStyle w:val="ListParagraph"/>
              <w:numPr>
                <w:ilvl w:val="0"/>
                <w:numId w:val="2"/>
              </w:numPr>
              <w:spacing w:before="40" w:after="40"/>
            </w:pPr>
            <w:r>
              <w:rPr>
                <w:rFonts w:ascii="Arial" w:cs="Arial" w:eastAsia="Arial" w:hAnsi="Arial"/>
                <w:color w:val="1A1A1A"/>
                <w:sz w:val="19"/>
                <w:szCs w:val="19"/>
              </w:rPr>
              <w:t xml:space="preserve">Identifier les 20 % de ses tâches qui créent 80 % de la valeur — y concentrer le temps libéré par l’automatisation</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37562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4 — LES ACTIVITÉS LES PLUS RÉMUNÉRATRICES À HORIZON 5–10 ANS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4.  Positions défendables par ordre de rentabilité potentielle</w:t>
      </w:r>
    </w:p>
    <w:p>
      <w:pPr>
        <w:spacing w:before="80" w:after="80"/>
      </w:pPr>
      <w:r>
        <w:rPr>
          <w:rFonts w:ascii="Arial" w:cs="Arial" w:eastAsia="Arial" w:hAnsi="Arial"/>
          <w:sz w:val="21"/>
          <w:szCs w:val="21"/>
        </w:rPr>
        <w:t xml:space="preserve">Classement par rentabilité potentielle décroissante, en tenant compte du risque et du temps nécessaire pour atteindre la position.</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600"/>
        <w:gridCol w:w="1600"/>
      </w:tblGrid>
      <w:tr>
        <w:trPr>
          <w:tblHeader/>
        </w:trPr>
        <w:tc>
          <w:tcPr>
            <w:tcW w:type="dxa" w:w="6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3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Position</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Revenus estimés</w:t>
            </w:r>
          </w:p>
        </w:tc>
        <w:tc>
          <w:tcPr>
            <w:tcW w:type="dxa" w:w="16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Horizon</w:t>
            </w:r>
          </w:p>
        </w:tc>
        <w:tc>
          <w:tcPr>
            <w:tcW w:type="dxa" w:w="16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Risque</w:t>
            </w:r>
          </w:p>
        </w:tc>
      </w:tr>
      <w:tr>
        <w:tc>
          <w:tcPr>
            <w:tcW w:type="dxa" w:w="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20"/>
                <w:szCs w:val="20"/>
              </w:rPr>
              <w:t xml:space="preserve">1</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9"/>
                <w:szCs w:val="19"/>
              </w:rPr>
              <w:t xml:space="preserve">Consultant normatif indépendant (aéro + ferro)</w:t>
            </w:r>
          </w:p>
        </w:tc>
        <w:tc>
          <w:tcPr>
            <w:tcW w:type="dxa" w:w="22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800 – 1 500 €/jour</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1A1A1A"/>
                <w:sz w:val="18"/>
                <w:szCs w:val="18"/>
              </w:rPr>
              <w:t xml:space="preserve">3–5 ans</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val="false"/>
                <w:bCs w:val="false"/>
                <w:i/>
                <w:iCs/>
                <w:color w:val="595959"/>
                <w:sz w:val="18"/>
                <w:szCs w:val="18"/>
              </w:rPr>
              <w:t xml:space="preserve">Moyen</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20"/>
                <w:szCs w:val="20"/>
              </w:rPr>
              <w:t xml:space="preserve">2</w:t>
            </w:r>
          </w:p>
        </w:tc>
        <w:tc>
          <w:tcPr>
            <w:tcW w:type="dxa" w:w="3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9"/>
                <w:szCs w:val="19"/>
              </w:rPr>
              <w:t xml:space="preserve">Expert validation/qualification nouveaux programmes</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70 – 120 K€/an (salarié)</w:t>
            </w:r>
          </w:p>
        </w:tc>
        <w:tc>
          <w:tcPr>
            <w:tcW w:type="dxa" w:w="1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1A1A1A"/>
                <w:sz w:val="18"/>
                <w:szCs w:val="18"/>
              </w:rPr>
              <w:t xml:space="preserve">2–4 ans</w:t>
            </w:r>
          </w:p>
        </w:tc>
        <w:tc>
          <w:tcPr>
            <w:tcW w:type="dxa" w:w="1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val="false"/>
                <w:bCs w:val="false"/>
                <w:i/>
                <w:iCs/>
                <w:color w:val="595959"/>
                <w:sz w:val="18"/>
                <w:szCs w:val="18"/>
              </w:rPr>
              <w:t xml:space="preserve">Faible</w:t>
            </w:r>
          </w:p>
        </w:tc>
      </w:tr>
      <w:tr>
        <w:tc>
          <w:tcPr>
            <w:tcW w:type="dxa" w:w="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20"/>
                <w:szCs w:val="20"/>
              </w:rPr>
              <w:t xml:space="preserve">3</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9"/>
                <w:szCs w:val="19"/>
              </w:rPr>
              <w:t xml:space="preserve">Entrepreneur produit de niche certifié</w:t>
            </w:r>
          </w:p>
        </w:tc>
        <w:tc>
          <w:tcPr>
            <w:tcW w:type="dxa" w:w="22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Variable — 0 à très élevé</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1A1A1A"/>
                <w:sz w:val="18"/>
                <w:szCs w:val="18"/>
              </w:rPr>
              <w:t xml:space="preserve">5–10 ans</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val="false"/>
                <w:bCs w:val="false"/>
                <w:i/>
                <w:iCs/>
                <w:color w:val="595959"/>
                <w:sz w:val="18"/>
                <w:szCs w:val="18"/>
              </w:rPr>
              <w:t xml:space="preserve">Très élevé</w:t>
            </w:r>
          </w:p>
        </w:tc>
      </w:tr>
      <w:tr>
        <w:tc>
          <w:tcPr>
            <w:tcW w:type="dxa" w:w="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20"/>
                <w:szCs w:val="20"/>
              </w:rPr>
              <w:t xml:space="preserve">4</w:t>
            </w:r>
          </w:p>
        </w:tc>
        <w:tc>
          <w:tcPr>
            <w:tcW w:type="dxa" w:w="3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9"/>
                <w:szCs w:val="19"/>
              </w:rPr>
              <w:t xml:space="preserve">Formateur technique spécialisé (FEA, normes, IA+conception)</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1 200 – 2 000 €/jour</w:t>
            </w:r>
          </w:p>
        </w:tc>
        <w:tc>
          <w:tcPr>
            <w:tcW w:type="dxa" w:w="1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1A1A1A"/>
                <w:sz w:val="18"/>
                <w:szCs w:val="18"/>
              </w:rPr>
              <w:t xml:space="preserve">3–5 ans</w:t>
            </w:r>
          </w:p>
        </w:tc>
        <w:tc>
          <w:tcPr>
            <w:tcW w:type="dxa" w:w="1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val="false"/>
                <w:bCs w:val="false"/>
                <w:i/>
                <w:iCs/>
                <w:color w:val="595959"/>
                <w:sz w:val="18"/>
                <w:szCs w:val="18"/>
              </w:rPr>
              <w:t xml:space="preserve">Faible</w:t>
            </w:r>
          </w:p>
        </w:tc>
      </w:tr>
      <w:tr>
        <w:tc>
          <w:tcPr>
            <w:tcW w:type="dxa" w:w="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20"/>
                <w:szCs w:val="20"/>
              </w:rPr>
              <w:t xml:space="preserve">5</w:t>
            </w:r>
          </w:p>
        </w:tc>
        <w:tc>
          <w:tcPr>
            <w:tcW w:type="dxa" w:w="3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9"/>
                <w:szCs w:val="19"/>
              </w:rPr>
              <w:t xml:space="preserve">Directeur technique PME industrielle</w:t>
            </w:r>
          </w:p>
        </w:tc>
        <w:tc>
          <w:tcPr>
            <w:tcW w:type="dxa" w:w="22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8"/>
                <w:szCs w:val="18"/>
              </w:rPr>
              <w:t xml:space="preserve">75 – 110 K€/an</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1A1A1A"/>
                <w:sz w:val="18"/>
                <w:szCs w:val="18"/>
              </w:rPr>
              <w:t xml:space="preserve">5–10 ans</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val="false"/>
                <w:bCs w:val="false"/>
                <w:i/>
                <w:iCs/>
                <w:color w:val="595959"/>
                <w:sz w:val="18"/>
                <w:szCs w:val="18"/>
              </w:rPr>
              <w:t xml:space="preserve">Faible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1F4E79"/>
          <w:sz w:val="26"/>
          <w:szCs w:val="26"/>
        </w:rPr>
        <w:t xml:space="preserve">Pourquoi le consultant normatif est en tête</w:t>
      </w:r>
    </w:p>
    <w:p>
      <w:pPr>
        <w:spacing w:before="80" w:after="80"/>
      </w:pPr>
      <w:r>
        <w:rPr>
          <w:rFonts w:ascii="Arial" w:cs="Arial" w:eastAsia="Arial" w:hAnsi="Arial"/>
          <w:sz w:val="21"/>
          <w:szCs w:val="21"/>
        </w:rPr>
        <w:t xml:space="preserve">Les PME et ETI de l’aéronautique et du ferroviaire ne peuvent pas se payer un expert normatif à temps plein. Mais elles en ont besoin régulièrement — lors des audits de certification, des appels d’offres qui exigent une démonstration de conformité, ou du lancement de nouveaux programmes. Un indépendant qui maîtrise deux référentiels normatifs est structurellement rare et peu remplaçable par l’IA parce que la conformité engage la responsabilité pénale du signataire, qui doit être une personne physique.</w:t>
      </w:r>
    </w:p>
    <w:p>
      <w:pPr>
        <w:spacing w:before="80" w:after="60"/>
      </w:pPr>
      <w:r>
        <w:rPr>
          <w:rFonts w:ascii="Arial" w:cs="Arial" w:eastAsia="Arial" w:hAnsi="Arial"/>
          <w:sz w:val="21"/>
          <w:szCs w:val="21"/>
        </w:rPr>
        <w:t xml:space="preserve"/>
      </w:r>
    </w:p>
    <w:p>
      <w:pPr>
        <w:pStyle w:val="Heading2"/>
      </w:pPr>
      <w:r>
        <w:rPr>
          <w:rFonts w:ascii="Arial" w:cs="Arial" w:eastAsia="Arial" w:hAnsi="Arial"/>
          <w:b/>
          <w:bCs/>
          <w:color w:val="1F4E79"/>
          <w:sz w:val="26"/>
          <w:szCs w:val="26"/>
        </w:rPr>
        <w:t xml:space="preserve">Le piège à éviter : se spécialiser sur les outils plutôt que sur le jugement</w:t>
      </w:r>
    </w:p>
    <w:p>
      <w:pPr>
        <w:spacing w:before="80" w:after="80"/>
      </w:pPr>
      <w:r>
        <w:rPr>
          <w:rFonts w:ascii="Arial" w:cs="Arial" w:eastAsia="Arial" w:hAnsi="Arial"/>
          <w:sz w:val="21"/>
          <w:szCs w:val="21"/>
        </w:rPr>
        <w:t xml:space="preserve">Se positionner comme « expert CATIA », « expert ANSYS », ou même « expert IA pour la conception » est une stratégie à courte durée de vie. Les outils changent tous les 3 ans. La prochaine génération d’outils rendra les experts de la précédente génération obsolètes. Ce qui ne change pas : la physique, la mécanique, les principes de la conformité, et la capacité à porter une décision sous incertitude. Se spécialiser sur ce qui est stable, utiliser ce qui est transitoire.</w:t>
      </w:r>
    </w:p>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pPr>
        <w:spacing w:before="6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Conclusion — Ce que je pense vraiment, sans langue de bois</w:t>
      </w:r>
    </w:p>
    <w:p>
      <w:pPr>
        <w:spacing w:before="80" w:after="80"/>
      </w:pPr>
      <w:r>
        <w:rPr>
          <w:rFonts w:ascii="Arial" w:cs="Arial" w:eastAsia="Arial" w:hAnsi="Arial"/>
          <w:sz w:val="21"/>
          <w:szCs w:val="21"/>
        </w:rPr>
        <w:t xml:space="preserve">À 4 ans d’expérience, la question n’est pas « comment survivre à l’IA ». C’est « dans quelle direction construire les 6 prochaines années pour se retrouver du bon côté de la fracture ». La double culture normative, la compréhension des fondements physiques au-delà des outils, la capacité à porter la responsabilité d’une décision — voilà ce qui différencie les deux catégories.</w:t>
      </w:r>
    </w:p>
    <w:p>
      <w:pPr>
        <w:spacing w:before="80" w:after="80"/>
      </w:pPr>
      <w:r>
        <w:rPr>
          <w:rFonts w:ascii="Arial" w:cs="Arial" w:eastAsia="Arial" w:hAnsi="Arial"/>
          <w:sz w:val="21"/>
          <w:szCs w:val="21"/>
        </w:rPr>
        <w:t xml:space="preserve">L’IA n’est pas l’ennemi. C’est un levier extraordinaire pour ceux qui savent ce qu’ils font vraiment — et une menace réelle pour ceux dont la valeur se résumàit à l’exécution technique. La première catégorie verra sa valeur augmenter à mesure que l’exécution se comprime. La deuxième subira la compression directement.</w:t>
      </w:r>
    </w:p>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100"/>
              <w:left w:type="dxa" w:w="160"/>
              <w:bottom w:type="dxa" w:w="100"/>
              <w:right w:type="dxa" w:w="160"/>
            </w:tcMar>
          </w:tcPr>
          <w:p>
            <w:pPr>
              <w:spacing w:before="0" w:after="40"/>
              <w:jc w:val="center"/>
            </w:pPr>
            <w:r>
              <w:rPr>
                <w:rFonts w:ascii="Arial" w:cs="Arial" w:eastAsia="Arial" w:hAnsi="Arial"/>
                <w:b/>
                <w:bCs/>
                <w:color w:val="FFFFFF"/>
                <w:sz w:val="20"/>
                <w:szCs w:val="20"/>
              </w:rPr>
              <w:t xml:space="preserve">La question qui compte</w:t>
            </w:r>
          </w:p>
          <w:p>
            <w:pPr>
              <w:jc w:val="center"/>
            </w:pPr>
            <w:r>
              <w:rPr>
                <w:rFonts w:ascii="Arial" w:cs="Arial" w:eastAsia="Arial" w:hAnsi="Arial"/>
                <w:b/>
                <w:bCs/>
                <w:i/>
                <w:iCs/>
                <w:color w:val="FFFFFF"/>
                <w:sz w:val="22"/>
                <w:szCs w:val="22"/>
              </w:rPr>
              <w:t xml:space="preserve">Dans 10 ans, êtes-vous la personne qui signe le dossier de définition et qui en porte la responsabilité — ou êtes-vous la personne qui a produit ce qu’un outil aurait pu produire ?</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B5E" w:sz="6" w:space="1"/>
      </w:pBdr>
      <w:jc w:val="center"/>
    </w:pPr>
    <w:r>
      <w:rPr>
        <w:rFonts w:ascii="Arial" w:cs="Arial" w:eastAsia="Arial" w:hAnsi="Arial"/>
        <w:color w:val="888888"/>
        <w:sz w:val="15"/>
        <w:szCs w:val="15"/>
      </w:rPr>
      <w:t xml:space="preserve">Document personnel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E" w:sz="8" w:space="1"/>
      </w:pBdr>
    </w:pPr>
    <w:r>
      <w:rPr>
        <w:rFonts w:ascii="Arial" w:cs="Arial" w:eastAsia="Arial" w:hAnsi="Arial"/>
        <w:b/>
        <w:bCs/>
        <w:color w:val="0D2B5E"/>
        <w:sz w:val="16"/>
        <w:szCs w:val="16"/>
      </w:rPr>
      <w:t xml:space="preserve">✈  ÉVOLUTION DU MÉTIER D’INGÉNIEUR CONCEPTION MÉCANIQUE À L’ÈRE DE L’IA  </w:t>
    </w:r>
    <w:r>
      <w:rPr>
        <w:rFonts w:ascii="Arial" w:cs="Arial" w:eastAsia="Arial" w:hAnsi="Arial"/>
        <w:color w:val="888888"/>
        <w:sz w:val="15"/>
        <w:szCs w:val="15"/>
      </w:rPr>
      <w:t xml:space="preserve">| Analyse stratégique — Vision praticien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F3864"/>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2026-03-26T06:12:24.676Z</dcterms:created>
  <dcterms:modified xsi:type="dcterms:W3CDTF">2026-03-26T06:12:24.677Z</dcterms:modified>
</cp:coreProperties>
</file>

<file path=docProps/custom.xml><?xml version="1.0" encoding="utf-8"?>
<Properties xmlns="http://schemas.openxmlformats.org/officeDocument/2006/custom-properties" xmlns:vt="http://schemas.openxmlformats.org/officeDocument/2006/docPropsVTypes"/>
</file>