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60"/>
      </w:pPr>
      <w:r>
        <w:rPr>
          <w:rFonts w:ascii="Arial" w:cs="Arial" w:eastAsia="Arial" w:hAnsi="Arial"/>
          <w:sz w:val="21"/>
          <w:szCs w:val="21"/>
        </w:rPr>
        <w:t xml:space="preserve"/>
      </w:r>
    </w:p>
    <w:p>
      <w:pPr>
        <w:spacing w:before="0" w:after="60"/>
        <w:jc w:val="center"/>
      </w:pPr>
      <w:r>
        <w:rPr>
          <w:rFonts w:ascii="Arial" w:cs="Arial" w:eastAsia="Arial" w:hAnsi="Arial"/>
          <w:b/>
          <w:bCs/>
          <w:color w:val="0D2B5E"/>
          <w:sz w:val="50"/>
          <w:szCs w:val="50"/>
        </w:rPr>
        <w:t xml:space="preserve">FORMATIONS À NÉGOCIER</w:t>
      </w:r>
    </w:p>
    <w:p>
      <w:pPr>
        <w:spacing w:before="0" w:after="60"/>
        <w:jc w:val="center"/>
      </w:pPr>
      <w:r>
        <w:rPr>
          <w:rFonts w:ascii="Arial" w:cs="Arial" w:eastAsia="Arial" w:hAnsi="Arial"/>
          <w:b/>
          <w:bCs/>
          <w:color w:val="2E75B6"/>
          <w:sz w:val="28"/>
          <w:szCs w:val="28"/>
        </w:rPr>
        <w:t xml:space="preserve">Organismes délivrant la formation et l’accréditation — Version vérifiée</w:t>
      </w:r>
    </w:p>
    <w:p>
      <w:pPr>
        <w:spacing w:before="0" w:after="180"/>
        <w:jc w:val="center"/>
      </w:pPr>
      <w:r>
        <w:rPr>
          <w:rFonts w:ascii="Arial" w:cs="Arial" w:eastAsia="Arial" w:hAnsi="Arial"/>
          <w:i/>
          <w:iCs/>
          <w:color w:val="595959"/>
          <w:sz w:val="20"/>
          <w:szCs w:val="20"/>
        </w:rPr>
        <w:t xml:space="preserve">Profil : siège ferroviaire innovant chez fournisseur aéronautique — 4 ans — Double culture normative ferro+aéro</w:t>
      </w:r>
    </w:p>
    <w:p>
      <w:pPr>
        <w:pBdr>
          <w:bottom w:val="single" w:color="0D2B5E" w:sz="10" w:space="1"/>
        </w:pBdr>
        <w:spacing w:before="130" w:after="13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E" w:sz="6"/>
              <w:left w:val="single" w:color="0D2B5E" w:sz="6"/>
              <w:bottom w:val="single" w:color="0D2B5E" w:sz="6"/>
              <w:right w:val="single" w:color="0D2B5E" w:sz="6"/>
            </w:tcBorders>
            <w:shd w:fill="0D2B5E"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  AUDIT DE VÉRITÉ — CE QUI A ÉTÉ CORRIGÉ PAR RAPPORT À LA VERSION PRÉCÉDENTE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777777" w:sz="6"/>
              <w:left w:val="single" w:color="777777" w:sz="6"/>
              <w:bottom w:val="single" w:color="777777" w:sz="6"/>
              <w:right w:val="single" w:color="777777" w:sz="6"/>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6 formations vérifiées</w:t>
            </w:r>
          </w:p>
        </w:tc>
        <w:tc>
          <w:tcPr>
            <w:tcW w:type="dxa" w:w="4600"/>
            <w:tcBorders>
              <w:top w:val="single" w:color="777777" w:sz="6"/>
              <w:left w:val="single" w:color="777777" w:sz="6"/>
              <w:bottom w:val="single" w:color="777777" w:sz="6"/>
              <w:right w:val="single" w:color="777777" w:sz="6"/>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2 corrections importantes</w:t>
            </w:r>
          </w:p>
        </w:tc>
      </w:tr>
      <w:tr>
        <w:tc>
          <w:tcPr>
            <w:tcW w:type="dxa" w:w="4600"/>
            <w:tcBorders>
              <w:top w:val="single" w:color="BBBBBB" w:sz="6"/>
              <w:left w:val="single" w:color="BBBBBB" w:sz="6"/>
              <w:bottom w:val="single" w:color="BBBBBB" w:sz="6"/>
              <w:right w:val="single" w:color="BBBBBB" w:sz="6"/>
            </w:tcBorders>
            <w:shd w:fill="E8F5E9" w:val="clear"/>
            <w:tcMar>
              <w:top w:type="dxa" w:w="80"/>
              <w:left w:type="dxa" w:w="115"/>
              <w:bottom w:type="dxa" w:w="80"/>
              <w:right w:type="dxa" w:w="115"/>
            </w:tcMar>
            <w:vAlign w:val="top"/>
          </w:tcPr>
          <w:p>
            <w:pPr>
              <w:pStyle w:val="ListParagraph"/>
              <w:numPr>
                <w:ilvl w:val="0"/>
                <w:numId w:val="2"/>
              </w:numPr>
              <w:spacing w:before="55" w:after="55"/>
            </w:pPr>
            <w:r>
              <w:rPr>
                <w:rFonts w:ascii="Arial" w:cs="Arial" w:eastAsia="Arial" w:hAnsi="Arial"/>
                <w:sz w:val="21"/>
                <w:szCs w:val="21"/>
              </w:rPr>
              <w:t xml:space="preserve">EN 9100 Auditeur Interne — AFNOR, LRQA, Euro-Symbiose : formations existantes</w:t>
            </w:r>
          </w:p>
          <w:p>
            <w:pPr>
              <w:pStyle w:val="ListParagraph"/>
              <w:numPr>
                <w:ilvl w:val="0"/>
                <w:numId w:val="2"/>
              </w:numPr>
              <w:spacing w:before="55" w:after="55"/>
            </w:pPr>
            <w:r>
              <w:rPr>
                <w:rFonts w:ascii="Arial" w:cs="Arial" w:eastAsia="Arial" w:hAnsi="Arial"/>
                <w:sz w:val="21"/>
                <w:szCs w:val="21"/>
              </w:rPr>
              <w:t xml:space="preserve">Certif. CAO — CSWP/CSWE SolidWorks et CATIA : officielles Dassault Systèmes</w:t>
            </w:r>
          </w:p>
          <w:p>
            <w:pPr>
              <w:pStyle w:val="ListParagraph"/>
              <w:numPr>
                <w:ilvl w:val="0"/>
                <w:numId w:val="2"/>
              </w:numPr>
              <w:spacing w:before="55" w:after="55"/>
            </w:pPr>
            <w:r>
              <w:rPr>
                <w:rFonts w:ascii="Arial" w:cs="Arial" w:eastAsia="Arial" w:hAnsi="Arial"/>
                <w:sz w:val="21"/>
                <w:szCs w:val="21"/>
              </w:rPr>
              <w:t xml:space="preserve">DFMA — Vertice Engineering + CETIM : formations existantes Qualiopi</w:t>
            </w:r>
          </w:p>
          <w:p>
            <w:pPr>
              <w:pStyle w:val="ListParagraph"/>
              <w:numPr>
                <w:ilvl w:val="0"/>
                <w:numId w:val="2"/>
              </w:numPr>
              <w:spacing w:before="55" w:after="55"/>
            </w:pPr>
            <w:r>
              <w:rPr>
                <w:rFonts w:ascii="Arial" w:cs="Arial" w:eastAsia="Arial" w:hAnsi="Arial"/>
                <w:sz w:val="21"/>
                <w:szCs w:val="21"/>
              </w:rPr>
              <w:t xml:space="preserve">FEA ANSYS avancée — Simutech, ADDL, ETC Academy : formations officielles ANSYS ATP</w:t>
            </w:r>
          </w:p>
          <w:p>
            <w:pPr>
              <w:pStyle w:val="ListParagraph"/>
              <w:numPr>
                <w:ilvl w:val="0"/>
                <w:numId w:val="2"/>
              </w:numPr>
              <w:spacing w:before="55" w:after="55"/>
            </w:pPr>
            <w:r>
              <w:rPr>
                <w:rFonts w:ascii="Arial" w:cs="Arial" w:eastAsia="Arial" w:hAnsi="Arial"/>
                <w:sz w:val="21"/>
                <w:szCs w:val="21"/>
              </w:rPr>
              <w:t xml:space="preserve">FA DfAM — CETIM + Materialise + CCP certif. France Compétences</w:t>
            </w:r>
          </w:p>
          <w:p>
            <w:pPr>
              <w:pStyle w:val="ListParagraph"/>
              <w:numPr>
                <w:ilvl w:val="0"/>
                <w:numId w:val="2"/>
              </w:numPr>
              <w:spacing w:before="55" w:after="55"/>
            </w:pPr>
            <w:r>
              <w:rPr>
                <w:rFonts w:ascii="Arial" w:cs="Arial" w:eastAsia="Arial" w:hAnsi="Arial"/>
                <w:sz w:val="21"/>
                <w:szCs w:val="21"/>
              </w:rPr>
              <w:t xml:space="preserve">Calcul structures légères — CETIM + ISAE-Supaero : formations existantes</w:t>
            </w:r>
          </w:p>
        </w:tc>
        <w:tc>
          <w:tcPr>
            <w:tcW w:type="dxa" w:w="4600"/>
            <w:tcBorders>
              <w:top w:val="single" w:color="BBBBBB" w:sz="6"/>
              <w:left w:val="single" w:color="BBBBBB" w:sz="6"/>
              <w:bottom w:val="single" w:color="BBBBBB" w:sz="6"/>
              <w:right w:val="single" w:color="BBBBBB" w:sz="6"/>
            </w:tcBorders>
            <w:shd w:fill="FFF3E0" w:val="clear"/>
            <w:tcMar>
              <w:top w:type="dxa" w:w="80"/>
              <w:left w:type="dxa" w:w="115"/>
              <w:bottom w:type="dxa" w:w="80"/>
              <w:right w:type="dxa" w:w="115"/>
            </w:tcMar>
            <w:vAlign w:val="top"/>
          </w:tcPr>
          <w:p>
            <w:pPr>
              <w:pStyle w:val="ListParagraph"/>
              <w:numPr>
                <w:ilvl w:val="0"/>
                <w:numId w:val="2"/>
              </w:numPr>
              <w:spacing w:before="55" w:after="55"/>
            </w:pPr>
            <w:r>
              <w:rPr>
                <w:rFonts w:ascii="Arial" w:cs="Arial" w:eastAsia="Arial" w:hAnsi="Arial"/>
                <w:sz w:val="21"/>
                <w:szCs w:val="21"/>
              </w:rPr>
              <w:t xml:space="preserve">PMP — NON éligible CPF depuis février 2022 (retraité par France Compétences). Financement possible via OPCO 2i (métallurgie).</w:t>
            </w:r>
          </w:p>
          <w:p>
            <w:pPr>
              <w:pStyle w:val="ListParagraph"/>
              <w:numPr>
                <w:ilvl w:val="0"/>
                <w:numId w:val="2"/>
              </w:numPr>
              <w:spacing w:before="55" w:after="55"/>
            </w:pPr>
            <w:r>
              <w:rPr>
                <w:rFonts w:ascii="Arial" w:cs="Arial" w:eastAsia="Arial" w:hAnsi="Arial"/>
                <w:sz w:val="21"/>
                <w:szCs w:val="21"/>
              </w:rPr>
              <w:t xml:space="preserve">EN 45545-2 ‘Expert’ — n’existe pas en formation standard. Remplace par sensibilisation AFNOR + accès laboratoire CREPIM/CERIB accédité COFRAC.</w:t>
            </w:r>
          </w:p>
          <w:p>
            <w:pPr>
              <w:pStyle w:val="ListParagraph"/>
              <w:numPr>
                <w:ilvl w:val="0"/>
                <w:numId w:val="2"/>
              </w:numPr>
              <w:spacing w:before="55" w:after="55"/>
            </w:pPr>
            <w:r>
              <w:rPr>
                <w:rFonts w:ascii="Arial" w:cs="Arial" w:eastAsia="Arial" w:hAnsi="Arial"/>
                <w:sz w:val="21"/>
                <w:szCs w:val="21"/>
              </w:rPr>
              <w:t xml:space="preserve">Structures sièges EN 12663/CS 25 ‘unifié’ — deux référentiels distincts : deux modules séparés à planifier.</w:t>
            </w:r>
          </w:p>
        </w:tc>
      </w:tr>
    </w:tbl>
    <w:p>
      <w:pPr>
        <w:spacing w:before="10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E" w:sz="6"/>
              <w:left w:val="single" w:color="0D2B5E" w:sz="6"/>
              <w:bottom w:val="single" w:color="0D2B5E" w:sz="6"/>
              <w:right w:val="single" w:color="0D2B5E" w:sz="6"/>
            </w:tcBorders>
            <w:shd w:fill="E8EEF7" w:val="clear"/>
            <w:tcMar>
              <w:top w:type="dxa" w:w="90"/>
              <w:left w:type="dxa" w:w="150"/>
              <w:bottom w:type="dxa" w:w="90"/>
              <w:right w:type="dxa" w:w="150"/>
            </w:tcMar>
          </w:tcPr>
          <w:p>
            <w:pPr>
              <w:spacing w:before="0" w:after="50"/>
            </w:pPr>
            <w:r>
              <w:rPr>
                <w:rFonts w:ascii="Arial" w:cs="Arial" w:eastAsia="Arial" w:hAnsi="Arial"/>
                <w:b/>
                <w:bCs/>
                <w:color w:val="0D2B5E"/>
                <w:sz w:val="20"/>
                <w:szCs w:val="20"/>
              </w:rPr>
              <w:t xml:space="preserve">🎯  Principe directeur — Comment cadrer chaque demande</w:t>
            </w:r>
          </w:p>
          <w:p>
            <w:pPr>
              <w:spacing w:before="0" w:after="0"/>
            </w:pPr>
            <w:r>
              <w:rPr>
                <w:rFonts w:ascii="Arial" w:cs="Arial" w:eastAsia="Arial" w:hAnsi="Arial"/>
                <w:color w:val="1A1A1A"/>
                <w:sz w:val="20"/>
                <w:szCs w:val="20"/>
              </w:rPr>
              <w:t xml:space="preserve">Chaque formation demandée doit avoir un bénéfice mesurable pour l’entreprise dans les 12 mois. La formulation est toujours : ROI pour l’entreprise en premier, valeur pour vous en second. Une formation dont vous ne pouvez pas expliquer le ROI pour l’entreprise n’est pas négociable.</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Phrases types — Comment ouvrir la discussion formations</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0D2B5E" w:val="clear"/>
            <w:tcMar>
              <w:top w:type="dxa" w:w="0"/>
              <w:left w:type="dxa" w:w="0"/>
              <w:bottom w:type="dxa" w:w="0"/>
              <w:right w:type="dxa" w:w="0"/>
            </w:tcMar>
          </w:tcPr>
          <w:p>
            <w:r>
              <w:rPr>
                <w:rFonts w:ascii="Arial" w:cs="Arial" w:eastAsia="Arial" w:hAnsi="Arial"/>
                <w:sz w:val="21"/>
                <w:szCs w:val="21"/>
              </w:rPr>
              <w:t xml:space="preserve"/>
            </w:r>
          </w:p>
        </w:tc>
        <w:tc>
          <w:tcPr>
            <w:tcW w:type="dxa" w:w="9000"/>
            <w:tcBorders>
              <w:top w:val="single" w:color="0D2B5E" w:sz="4"/>
              <w:left w:val="none" w:color="FFFFFF" w:sz="0"/>
              <w:bottom w:val="single" w:color="0D2B5E" w:sz="4"/>
              <w:right w:val="single" w:color="0D2B5E" w:sz="4"/>
            </w:tcBorders>
            <w:shd w:fill="E8EEF7" w:val="clear"/>
            <w:tcMar>
              <w:top w:type="dxa" w:w="90"/>
              <w:left w:type="dxa" w:w="150"/>
              <w:bottom w:type="dxa" w:w="90"/>
              <w:right w:type="dxa" w:w="150"/>
            </w:tcMar>
          </w:tcPr>
          <w:p>
            <w:pPr>
              <w:spacing w:before="0" w:after="40"/>
            </w:pPr>
            <w:r>
              <w:rPr>
                <w:rFonts w:ascii="Arial" w:cs="Arial" w:eastAsia="Arial" w:hAnsi="Arial"/>
                <w:b/>
                <w:bCs/>
                <w:color w:val="595959"/>
                <w:sz w:val="17"/>
                <w:szCs w:val="17"/>
              </w:rPr>
              <w:t xml:space="preserve">Pour ouvrir la discussion formations dans la négociation :</w:t>
            </w:r>
          </w:p>
          <w:p>
            <w:pPr>
              <w:spacing w:before="0" w:after="0"/>
            </w:pPr>
            <w:r>
              <w:rPr>
                <w:rFonts w:ascii="Arial" w:cs="Arial" w:eastAsia="Arial" w:hAnsi="Arial"/>
                <w:b/>
                <w:bCs/>
                <w:color w:val="0D2B5E"/>
                <w:sz w:val="22"/>
                <w:szCs w:val="22"/>
              </w:rPr>
              <w:t xml:space="preserve">“</w:t>
            </w:r>
            <w:r>
              <w:rPr>
                <w:rFonts w:ascii="Arial" w:cs="Arial" w:eastAsia="Arial" w:hAnsi="Arial"/>
                <w:i/>
                <w:iCs/>
                <w:color w:val="1F3864"/>
                <w:sz w:val="20"/>
                <w:szCs w:val="20"/>
              </w:rPr>
              <w:t xml:space="preserve">J’aimerais qu’on intègre dans le contrat un budget formations annuel dédié. Ma demande n’est pas générique — j’ai trois formations précises en tête, directement liées aux projets de l’entreprise, avec des organismes identifiés et un retour mesurable dans les 6 à 12 mois. Est-ce que vous avez une enveloppe formations pour ce type de profil ?</w:t>
            </w:r>
            <w:r>
              <w:rPr>
                <w:rFonts w:ascii="Arial" w:cs="Arial" w:eastAsia="Arial" w:hAnsi="Arial"/>
                <w:b/>
                <w:bCs/>
                <w:color w:val="0D2B5E"/>
                <w:sz w:val="22"/>
                <w:szCs w:val="22"/>
              </w:rPr>
              <w:t xml:space="preserve">”</w:t>
            </w:r>
          </w:p>
        </w:tc>
      </w:tr>
    </w:tbl>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rFonts w:ascii="Arial" w:cs="Arial" w:eastAsia="Arial" w:hAnsi="Arial"/>
                <w:sz w:val="21"/>
                <w:szCs w:val="21"/>
              </w:rPr>
              <w:t xml:space="preserve"/>
            </w:r>
          </w:p>
        </w:tc>
        <w:tc>
          <w:tcPr>
            <w:tcW w:type="dxa" w:w="9000"/>
            <w:tcBorders>
              <w:top w:val="single" w:color="2E75B6" w:sz="4"/>
              <w:left w:val="none" w:color="FFFFFF" w:sz="0"/>
              <w:bottom w:val="single" w:color="2E75B6" w:sz="4"/>
              <w:right w:val="single" w:color="2E75B6" w:sz="4"/>
            </w:tcBorders>
            <w:shd w:fill="DEEAF1" w:val="clear"/>
            <w:tcMar>
              <w:top w:type="dxa" w:w="90"/>
              <w:left w:type="dxa" w:w="150"/>
              <w:bottom w:type="dxa" w:w="90"/>
              <w:right w:type="dxa" w:w="150"/>
            </w:tcMar>
          </w:tcPr>
          <w:p>
            <w:pPr>
              <w:spacing w:before="0" w:after="40"/>
            </w:pPr>
            <w:r>
              <w:rPr>
                <w:rFonts w:ascii="Arial" w:cs="Arial" w:eastAsia="Arial" w:hAnsi="Arial"/>
                <w:b/>
                <w:bCs/>
                <w:color w:val="595959"/>
                <w:sz w:val="17"/>
                <w:szCs w:val="17"/>
              </w:rPr>
              <w:t xml:space="preserve">Si la RH dit que les formations se discutent après :</w:t>
            </w:r>
          </w:p>
          <w:p>
            <w:pPr>
              <w:spacing w:before="0" w:after="0"/>
            </w:pPr>
            <w:r>
              <w:rPr>
                <w:rFonts w:ascii="Arial" w:cs="Arial" w:eastAsia="Arial" w:hAnsi="Arial"/>
                <w:b/>
                <w:bCs/>
                <w:color w:val="2E75B6"/>
                <w:sz w:val="22"/>
                <w:szCs w:val="22"/>
              </w:rPr>
              <w:t xml:space="preserve">“</w:t>
            </w:r>
            <w:r>
              <w:rPr>
                <w:rFonts w:ascii="Arial" w:cs="Arial" w:eastAsia="Arial" w:hAnsi="Arial"/>
                <w:i/>
                <w:iCs/>
                <w:color w:val="1F3864"/>
                <w:sz w:val="20"/>
                <w:szCs w:val="20"/>
              </w:rPr>
              <w:t xml:space="preserve">Je comprends que certaines choses se décident après l’arrivée. Mais une formation non inscrite au contrat reste une intention informelle. Je demande simplement un montant annuel minimum — 2 500 euros — inscrit comme engagement écrit avec les trois formations prioritaires nommément.</w:t>
            </w:r>
            <w:r>
              <w:rPr>
                <w:rFonts w:ascii="Arial" w:cs="Arial" w:eastAsia="Arial" w:hAnsi="Arial"/>
                <w:b/>
                <w:bCs/>
                <w:color w:val="2E75B6"/>
                <w:sz w:val="22"/>
                <w:szCs w:val="22"/>
              </w:rPr>
              <w:t xml:space="preserve">”</w:t>
            </w:r>
          </w:p>
        </w:tc>
      </w:tr>
    </w:tbl>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rPr>
                <w:rFonts w:ascii="Arial" w:cs="Arial" w:eastAsia="Arial" w:hAnsi="Arial"/>
                <w:sz w:val="21"/>
                <w:szCs w:val="21"/>
              </w:rPr>
              <w:t xml:space="preserve"/>
            </w:r>
          </w:p>
        </w:tc>
        <w:tc>
          <w:tcPr>
            <w:tcW w:type="dxa" w:w="9000"/>
            <w:tcBorders>
              <w:top w:val="single" w:color="C55A11" w:sz="4"/>
              <w:left w:val="none" w:color="FFFFFF" w:sz="0"/>
              <w:bottom w:val="single" w:color="C55A11" w:sz="4"/>
              <w:right w:val="single" w:color="C55A11" w:sz="4"/>
            </w:tcBorders>
            <w:shd w:fill="FCE4D6" w:val="clear"/>
            <w:tcMar>
              <w:top w:type="dxa" w:w="90"/>
              <w:left w:type="dxa" w:w="150"/>
              <w:bottom w:type="dxa" w:w="90"/>
              <w:right w:type="dxa" w:w="150"/>
            </w:tcMar>
          </w:tcPr>
          <w:p>
            <w:pPr>
              <w:spacing w:before="0" w:after="40"/>
            </w:pPr>
            <w:r>
              <w:rPr>
                <w:rFonts w:ascii="Arial" w:cs="Arial" w:eastAsia="Arial" w:hAnsi="Arial"/>
                <w:b/>
                <w:bCs/>
                <w:color w:val="595959"/>
                <w:sz w:val="17"/>
                <w:szCs w:val="17"/>
              </w:rPr>
              <w:t xml:space="preserve">Pour formaliser dans le contrat :</w:t>
            </w:r>
          </w:p>
          <w:p>
            <w:pPr>
              <w:spacing w:before="0" w:after="0"/>
            </w:pPr>
            <w:r>
              <w:rPr>
                <w:rFonts w:ascii="Arial" w:cs="Arial" w:eastAsia="Arial" w:hAnsi="Arial"/>
                <w:b/>
                <w:bCs/>
                <w:color w:val="C55A11"/>
                <w:sz w:val="22"/>
                <w:szCs w:val="22"/>
              </w:rPr>
              <w:t xml:space="preserve">“</w:t>
            </w:r>
            <w:r>
              <w:rPr>
                <w:rFonts w:ascii="Arial" w:cs="Arial" w:eastAsia="Arial" w:hAnsi="Arial"/>
                <w:i/>
                <w:iCs/>
                <w:color w:val="1F3864"/>
                <w:sz w:val="20"/>
                <w:szCs w:val="20"/>
              </w:rPr>
              <w:t xml:space="preserve">Je souhaite que l’enveloppe formations figure au contrat avec un montant annuel minimum de 2 500 euros, dédiée aux formations techniques directement liées à mon poste. C’est un engagement écrit — exactement comme la clause de revoyure salariale.</w:t>
            </w:r>
            <w:r>
              <w:rPr>
                <w:rFonts w:ascii="Arial" w:cs="Arial" w:eastAsia="Arial" w:hAnsi="Arial"/>
                <w:b/>
                <w:bCs/>
                <w:color w:val="C55A11"/>
                <w:sz w:val="22"/>
                <w:szCs w:val="22"/>
              </w:rPr>
              <w:t xml:space="preserve">”</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33333" w:sz="6"/>
              <w:left w:val="single" w:color="833333" w:sz="6"/>
              <w:bottom w:val="single" w:color="833333" w:sz="6"/>
              <w:right w:val="single" w:color="833333" w:sz="6"/>
            </w:tcBorders>
            <w:shd w:fill="FCE4E4" w:val="clear"/>
            <w:tcMar>
              <w:top w:type="dxa" w:w="90"/>
              <w:left w:type="dxa" w:w="150"/>
              <w:bottom w:type="dxa" w:w="90"/>
              <w:right w:type="dxa" w:w="150"/>
            </w:tcMar>
          </w:tcPr>
          <w:p>
            <w:pPr>
              <w:spacing w:before="0" w:after="50"/>
            </w:pPr>
            <w:r>
              <w:rPr>
                <w:rFonts w:ascii="Arial" w:cs="Arial" w:eastAsia="Arial" w:hAnsi="Arial"/>
                <w:b/>
                <w:bCs/>
                <w:color w:val="833333"/>
                <w:sz w:val="20"/>
                <w:szCs w:val="20"/>
              </w:rPr>
              <w:t xml:space="preserve">⚠️  Ce qu’il ne faut pas demander</w:t>
            </w:r>
          </w:p>
          <w:p>
            <w:pPr>
              <w:spacing w:before="0" w:after="0"/>
            </w:pPr>
            <w:r>
              <w:rPr>
                <w:rFonts w:ascii="Arial" w:cs="Arial" w:eastAsia="Arial" w:hAnsi="Arial"/>
                <w:color w:val="1A1A1A"/>
                <w:sz w:val="20"/>
                <w:szCs w:val="20"/>
              </w:rPr>
              <w:t xml:space="preserve">Ne demandez pas de formations génériques sans lien direct avec les projets : « management », « leadership », « communication » au sens large. Chaque formation demandée doit avoir un bénéfice mesurable pour l’entreprise dans les 12 mois.</w:t>
            </w:r>
          </w:p>
        </w:tc>
      </w:tr>
    </w:tbl>
    <w:p>
      <w:pPr>
        <w:spacing w:before="8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Fiches détaillées — Organismes, accréditations et ROI vérifiés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E" w:sz="6"/>
              <w:left w:val="single" w:color="0D2B5E" w:sz="6"/>
              <w:bottom w:val="single" w:color="0D2B5E" w:sz="6"/>
              <w:right w:val="single" w:color="0D2B5E" w:sz="6"/>
            </w:tcBorders>
            <w:shd w:fill="0D2B5E" w:val="clear"/>
            <w:tcMar>
              <w:top w:type="dxa" w:w="80"/>
              <w:left w:type="dxa" w:w="150"/>
              <w:bottom w:type="dxa" w:w="80"/>
              <w:right w:type="dxa" w:w="150"/>
            </w:tcMar>
          </w:tcPr>
          <w:p>
            <w:pPr>
              <w:jc w:val="center"/>
            </w:pPr>
            <w:r>
              <w:rPr>
                <w:rFonts w:ascii="Arial" w:cs="Arial" w:eastAsia="Arial" w:hAnsi="Arial"/>
                <w:b/>
                <w:bCs/>
                <w:color w:val="FFFFFF"/>
                <w:sz w:val="22"/>
                <w:szCs w:val="22"/>
              </w:rPr>
              <w:t xml:space="preserve">✈  PRIORITÉ 1 — À INSCRIRE AU CONTRAT DÈS LA NÉGOCIATION</w:t>
            </w:r>
          </w:p>
        </w:tc>
      </w:tr>
    </w:tbl>
    <w:p>
      <w:pPr>
        <w:spacing w:before="7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none" w:color="FFFFFF" w:sz="0"/>
              <w:left w:val="none" w:color="FFFFFF" w:sz="0"/>
              <w:bottom w:val="none" w:color="FFFFFF" w:sz="0"/>
              <w:right w:val="none" w:color="FFFFFF" w:sz="0"/>
            </w:tcBorders>
            <w:shd w:fill="0D2B5E" w:val="clear"/>
            <w:tcMar>
              <w:top w:type="dxa" w:w="0"/>
              <w:left w:type="dxa" w:w="0"/>
              <w:bottom w:type="dxa" w:w="0"/>
              <w:right w:type="dxa" w:w="0"/>
            </w:tcMar>
          </w:tcPr>
          <w:p>
            <w:pPr>
              <w:jc w:val="center"/>
            </w:pPr>
            <w:r>
              <w:rPr>
                <w:rFonts w:ascii="Arial" w:cs="Arial" w:eastAsia="Arial" w:hAnsi="Arial"/>
                <w:b/>
                <w:bCs/>
                <w:color w:val="FFFFFF"/>
                <w:sz w:val="22"/>
                <w:szCs w:val="22"/>
              </w:rPr>
              <w:t xml:space="preserve">P1</w:t>
            </w:r>
          </w:p>
          <w:p>
            <w:pPr>
              <w:jc w:val="center"/>
            </w:pPr>
            <w:r>
              <w:rPr>
                <w:rFonts w:ascii="Arial" w:cs="Arial" w:eastAsia="Arial" w:hAnsi="Arial"/>
                <w:b/>
                <w:bCs/>
                <w:color w:val="FFFFFF"/>
                <w:sz w:val="14"/>
                <w:szCs w:val="14"/>
              </w:rPr>
              <w:t xml:space="preserve">✔ VÉRIFIÉ</w:t>
            </w:r>
          </w:p>
        </w:tc>
        <w:tc>
          <w:tcPr>
            <w:tcW w:type="dxa" w:w="9020"/>
            <w:tcBorders>
              <w:top w:val="single" w:color="0D2B5E" w:sz="6"/>
              <w:left w:val="none" w:color="FFFFFF" w:sz="0"/>
              <w:bottom w:val="single" w:color="0D2B5E" w:sz="6"/>
              <w:right w:val="single" w:color="0D2B5E" w:sz="6"/>
            </w:tcBorders>
            <w:shd w:fill="E8EEF7" w:val="clear"/>
            <w:tcMar>
              <w:top w:type="dxa" w:w="90"/>
              <w:left w:type="dxa" w:w="150"/>
              <w:bottom w:type="dxa" w:w="90"/>
              <w:right w:type="dxa" w:w="150"/>
            </w:tcMar>
          </w:tcPr>
          <w:p>
            <w:pPr>
              <w:spacing w:before="0" w:after="20"/>
            </w:pPr>
            <w:r>
              <w:rPr>
                <w:rFonts w:ascii="Arial" w:cs="Arial" w:eastAsia="Arial" w:hAnsi="Arial"/>
                <w:b/>
                <w:bCs/>
                <w:color w:val="1F3864"/>
                <w:sz w:val="23"/>
                <w:szCs w:val="23"/>
              </w:rPr>
              <w:t xml:space="preserve">EN 9100 — Auditeur Interne (Formation + Attestation)</w:t>
            </w:r>
          </w:p>
          <w:p>
            <w:pPr>
              <w:spacing w:before="0" w:after="50"/>
            </w:pPr>
            <w:r>
              <w:rPr>
                <w:rFonts w:ascii="Arial" w:cs="Arial" w:eastAsia="Arial" w:hAnsi="Arial"/>
                <w:color w:val="595959"/>
                <w:sz w:val="18"/>
                <w:szCs w:val="18"/>
              </w:rPr>
              <w:t xml:space="preserve">2à3 jours   —   </w:t>
            </w:r>
            <w:r>
              <w:rPr>
                <w:rFonts w:ascii="Arial" w:cs="Arial" w:eastAsia="Arial" w:hAnsi="Arial"/>
                <w:b/>
                <w:bCs/>
                <w:color w:val="0D2B5E"/>
                <w:sz w:val="18"/>
                <w:szCs w:val="18"/>
              </w:rPr>
              <w:t xml:space="preserve">800 – 1 500 €</w:t>
            </w:r>
            <w:r>
              <w:rPr>
                <w:rFonts w:ascii="Arial" w:cs="Arial" w:eastAsia="Arial" w:hAnsi="Arial"/>
                <w:color w:val="595959"/>
                <w:sz w:val="18"/>
                <w:szCs w:val="18"/>
              </w:rPr>
              <w:t xml:space="preserve">   —   </w:t>
            </w:r>
            <w:r>
              <w:rPr>
                <w:rFonts w:ascii="Arial" w:cs="Arial" w:eastAsia="Arial" w:hAnsi="Arial"/>
                <w:b/>
                <w:bCs/>
                <w:color w:val="0D2B5E"/>
                <w:sz w:val="18"/>
                <w:szCs w:val="18"/>
              </w:rPr>
              <w:t xml:space="preserve">PRIORITÉ 1 — à inscrire au contrat</w:t>
            </w:r>
            <w:r>
              <w:rPr>
                <w:rFonts w:ascii="Arial" w:cs="Arial" w:eastAsia="Arial" w:hAnsi="Arial"/>
                <w:color w:val="595959"/>
                <w:sz w:val="18"/>
                <w:szCs w:val="18"/>
              </w:rPr>
              <w:t xml:space="preserve">   —   </w:t>
            </w:r>
            <w:r>
              <w:rPr>
                <w:rFonts w:ascii="Arial" w:cs="Arial" w:eastAsia="Arial" w:hAnsi="Arial"/>
                <w:b/>
                <w:bCs/>
                <w:color w:val="1B5E20"/>
                <w:sz w:val="18"/>
                <w:szCs w:val="18"/>
              </w:rPr>
              <w:t xml:space="preserve">✔ VÉRIFIÉ</w:t>
            </w:r>
          </w:p>
          <w:p>
            <w:pPr>
              <w:spacing w:before="0" w:after="40"/>
            </w:pPr>
            <w:r>
              <w:rPr>
                <w:rFonts w:ascii="Arial" w:cs="Arial" w:eastAsia="Arial" w:hAnsi="Arial"/>
                <w:b/>
                <w:bCs/>
                <w:color w:val="1F3864"/>
                <w:sz w:val="19"/>
                <w:szCs w:val="19"/>
              </w:rPr>
              <w:t xml:space="preserve">🏫  Organismes délivrant la formation / l’accréditation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500"/>
            </w:tblGrid>
            <w:tr>
              <w:trPr>
                <w:tblHeader/>
              </w:trPr>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Organisme</w:t>
                  </w:r>
                </w:p>
              </w:tc>
              <w:tc>
                <w:tcPr>
                  <w:tcW w:type="dxa" w:w="28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Rôle</w:t>
                  </w:r>
                </w:p>
              </w:tc>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Site</w:t>
                  </w:r>
                </w:p>
              </w:tc>
              <w:tc>
                <w:tcPr>
                  <w:tcW w:type="dxa" w:w="15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Accréditation</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AFNOR Compétences</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Formation officielle + attestation de compétences (code C1351)</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competences.afnor.org</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Qualiopi</w:t>
                  </w:r>
                </w:p>
              </w:tc>
            </w:tr>
            <w:tr>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LRQA (ex-Lloyd’s)</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Formation Auditeur Interne EN 9100 en inter/intra</w:t>
                  </w:r>
                </w:p>
              </w:tc>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lrqa.com/fr-fr</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IAQG accrédité</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Euro-Symbiose</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Formation Auditeur SMQ EN 9100 (méthode CAPDo®)</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euro-symbiose.com</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Qualiopi</w:t>
                  </w:r>
                </w:p>
              </w:tc>
            </w:tr>
            <w:tr>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QSE Perf</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Formation auditeur EN 9100 certifiante</w:t>
                  </w:r>
                </w:p>
              </w:tc>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qse-perf.com</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Qualiopi</w:t>
                  </w:r>
                </w:p>
              </w:tc>
            </w:tr>
          </w:tbl>
          <w:p>
            <w:pPr>
              <w:spacing w:before="60" w:after="50"/>
            </w:pPr>
            <w:r>
              <w:rPr>
                <w:rFonts w:ascii="Arial" w:cs="Arial" w:eastAsia="Arial" w:hAnsi="Arial"/>
                <w:sz w:val="21"/>
                <w:szCs w:val="21"/>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tblGrid>
            <w:tr>
              <w:tc>
                <w:tcPr>
                  <w:tcW w:type="dxa" w:w="29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Pour l’entreprise</w:t>
                  </w:r>
                </w:p>
              </w:tc>
              <w:tc>
                <w:tcPr>
                  <w:tcW w:type="dxa" w:w="29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Pour vous</w:t>
                  </w:r>
                </w:p>
              </w:tc>
              <w:tc>
                <w:tcPr>
                  <w:tcW w:type="dxa" w:w="29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ROI mesurable</w:t>
                  </w:r>
                </w:p>
              </w:tc>
            </w:tr>
            <w:tr>
              <w:tc>
                <w:tcPr>
                  <w:tcW w:type="dxa" w:w="2900"/>
                  <w:tcBorders>
                    <w:top w:val="single" w:color="BBBBBB" w:sz="6"/>
                    <w:left w:val="single" w:color="BBBBBB" w:sz="6"/>
                    <w:bottom w:val="single" w:color="BBBBBB" w:sz="6"/>
                    <w:right w:val="single" w:color="BBBBBB" w:sz="6"/>
                  </w:tcBorders>
                  <w:shd w:fill="E8EEF7"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Conduite d’audits internes EN 9100 en autonomie. Renforce les revues de conception. Prépare les audits clients Airbus, Safran, Zodiac sans mobiliser le responsable qualité.</w:t>
                  </w:r>
                </w:p>
              </w:tc>
              <w:tc>
                <w:tcPr>
                  <w:tcW w:type="dxa" w:w="2900"/>
                  <w:tcBorders>
                    <w:top w:val="single" w:color="BBBBBB" w:sz="6"/>
                    <w:left w:val="single" w:color="BBBBBB" w:sz="6"/>
                    <w:bottom w:val="single" w:color="BBBBBB" w:sz="6"/>
                    <w:right w:val="single" w:color="BBBBBB" w:sz="6"/>
                  </w:tcBorders>
                  <w:shd w:fill="E8EEF7"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Différenciation immédiate. Rare chez un ingénieur conception. Levier pour la classification G13. Crédibilité opérationnelle dans les revues qualité.</w:t>
                  </w:r>
                </w:p>
              </w:tc>
              <w:tc>
                <w:tcPr>
                  <w:tcW w:type="dxa" w:w="2900"/>
                  <w:tcBorders>
                    <w:top w:val="single" w:color="BBBBBB" w:sz="6"/>
                    <w:left w:val="single" w:color="BBBBBB" w:sz="6"/>
                    <w:bottom w:val="single" w:color="BBBBBB" w:sz="6"/>
                    <w:right w:val="single" w:color="BBBBBB" w:sz="6"/>
                  </w:tcBorders>
                  <w:shd w:fill="E8EEF7" w:val="clear"/>
                  <w:tcMar>
                    <w:top w:type="dxa" w:w="80"/>
                    <w:left w:type="dxa" w:w="115"/>
                    <w:bottom w:type="dxa" w:w="80"/>
                    <w:right w:type="dxa" w:w="115"/>
                  </w:tcMar>
                  <w:vAlign w:val="top"/>
                </w:tcPr>
                <w:p>
                  <w:r>
                    <w:rPr>
                      <w:rFonts w:ascii="Arial" w:cs="Arial" w:eastAsia="Arial" w:hAnsi="Arial"/>
                      <w:b/>
                      <w:bCs/>
                      <w:color w:val="0D2B5E"/>
                      <w:sz w:val="18"/>
                      <w:szCs w:val="18"/>
                    </w:rPr>
                    <w:t xml:space="preserve">Réduction coûts audits externes. ROI visible dans les 6 premiers mois.</w:t>
                  </w:r>
                </w:p>
              </w:tc>
            </w:tr>
          </w:tbl>
          <w:p>
            <w:pPr>
              <w:spacing w:before="60" w:after="50"/>
            </w:pPr>
            <w:r>
              <w:rPr>
                <w:rFonts w:ascii="Arial" w:cs="Arial" w:eastAsia="Arial" w:hAnsi="Arial"/>
                <w:sz w:val="21"/>
                <w:szCs w:val="21"/>
              </w:rPr>
              <w:t xml:space="preserve"/>
            </w:r>
          </w:p>
          <w:p>
            <w:pPr>
              <w:spacing w:before="0" w:after="40"/>
            </w:pPr>
            <w:r>
              <w:rPr>
                <w:rFonts w:ascii="Arial" w:cs="Arial" w:eastAsia="Arial" w:hAnsi="Arial"/>
                <w:b/>
                <w:bCs/>
                <w:color w:val="595959"/>
                <w:sz w:val="18"/>
                <w:szCs w:val="18"/>
              </w:rPr>
              <w:t xml:space="preserve">💬  Phrase type pour l’amener en négociation :</w:t>
            </w:r>
          </w:p>
          <w:p>
            <w:pPr>
              <w:spacing w:before="0" w:after="0"/>
            </w:pPr>
            <w:r>
              <w:rPr>
                <w:rFonts w:ascii="Arial" w:cs="Arial" w:eastAsia="Arial" w:hAnsi="Arial"/>
                <w:b/>
                <w:bCs/>
                <w:color w:val="0D2B5E"/>
                <w:sz w:val="21"/>
                <w:szCs w:val="21"/>
              </w:rPr>
              <w:t xml:space="preserve">“</w:t>
            </w:r>
            <w:r>
              <w:rPr>
                <w:rFonts w:ascii="Arial" w:cs="Arial" w:eastAsia="Arial" w:hAnsi="Arial"/>
                <w:i/>
                <w:iCs/>
                <w:color w:val="1F3864"/>
                <w:sz w:val="19"/>
                <w:szCs w:val="19"/>
              </w:rPr>
              <w:t xml:space="preserve">La formation Auditeur Interne EN 9100 chez AFNOR représente 2 jours et environ 1 200 euros. En retour, vous avez un ingénieur qui peut conduire des audits internes, renforcer vos revues de conception et vous préparer aux audits clients sans mobiliser votre responsable qualité à temps plein. Le retour sur investissement est direct et mesurable dans les six premiers mois.</w:t>
            </w:r>
            <w:r>
              <w:rPr>
                <w:rFonts w:ascii="Arial" w:cs="Arial" w:eastAsia="Arial" w:hAnsi="Arial"/>
                <w:b/>
                <w:bCs/>
                <w:color w:val="0D2B5E"/>
                <w:sz w:val="21"/>
                <w:szCs w:val="21"/>
              </w:rPr>
              <w:t xml:space="preserve">”</w:t>
            </w:r>
          </w:p>
        </w:tc>
      </w:tr>
    </w:tbl>
    <w:p>
      <w:pPr>
        <w:spacing w:before="70" w:after="55"/>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none" w:color="FFFFFF" w:sz="0"/>
              <w:left w:val="none" w:color="FFFFFF" w:sz="0"/>
              <w:bottom w:val="none" w:color="FFFFFF" w:sz="0"/>
              <w:right w:val="none" w:color="FFFFFF" w:sz="0"/>
            </w:tcBorders>
            <w:shd w:fill="0D2B5E" w:val="clear"/>
            <w:tcMar>
              <w:top w:type="dxa" w:w="0"/>
              <w:left w:type="dxa" w:w="0"/>
              <w:bottom w:type="dxa" w:w="0"/>
              <w:right w:type="dxa" w:w="0"/>
            </w:tcMar>
          </w:tcPr>
          <w:p>
            <w:pPr>
              <w:jc w:val="center"/>
            </w:pPr>
            <w:r>
              <w:rPr>
                <w:rFonts w:ascii="Arial" w:cs="Arial" w:eastAsia="Arial" w:hAnsi="Arial"/>
                <w:b/>
                <w:bCs/>
                <w:color w:val="FFFFFF"/>
                <w:sz w:val="22"/>
                <w:szCs w:val="22"/>
              </w:rPr>
              <w:t xml:space="preserve">P2</w:t>
            </w:r>
          </w:p>
          <w:p>
            <w:pPr>
              <w:jc w:val="center"/>
            </w:pPr>
            <w:r>
              <w:rPr>
                <w:rFonts w:ascii="Arial" w:cs="Arial" w:eastAsia="Arial" w:hAnsi="Arial"/>
                <w:b/>
                <w:bCs/>
                <w:color w:val="FFFFFF"/>
                <w:sz w:val="14"/>
                <w:szCs w:val="14"/>
              </w:rPr>
              <w:t xml:space="preserve">✔ VÉRIFIÉ</w:t>
            </w:r>
          </w:p>
        </w:tc>
        <w:tc>
          <w:tcPr>
            <w:tcW w:type="dxa" w:w="9020"/>
            <w:tcBorders>
              <w:top w:val="single" w:color="0D2B5E" w:sz="6"/>
              <w:left w:val="none" w:color="FFFFFF" w:sz="0"/>
              <w:bottom w:val="single" w:color="0D2B5E" w:sz="6"/>
              <w:right w:val="single" w:color="0D2B5E" w:sz="6"/>
            </w:tcBorders>
            <w:shd w:fill="E8EEF7" w:val="clear"/>
            <w:tcMar>
              <w:top w:type="dxa" w:w="90"/>
              <w:left w:type="dxa" w:w="150"/>
              <w:bottom w:type="dxa" w:w="90"/>
              <w:right w:type="dxa" w:w="150"/>
            </w:tcMar>
          </w:tcPr>
          <w:p>
            <w:pPr>
              <w:spacing w:before="0" w:after="20"/>
            </w:pPr>
            <w:r>
              <w:rPr>
                <w:rFonts w:ascii="Arial" w:cs="Arial" w:eastAsia="Arial" w:hAnsi="Arial"/>
                <w:b/>
                <w:bCs/>
                <w:color w:val="1F3864"/>
                <w:sz w:val="23"/>
                <w:szCs w:val="23"/>
              </w:rPr>
              <w:t xml:space="preserve">Certification CAO Officielle — CSWP (SolidWorks) ou CATIA V5 Associate/Expert</w:t>
            </w:r>
          </w:p>
          <w:p>
            <w:pPr>
              <w:spacing w:before="0" w:after="50"/>
            </w:pPr>
            <w:r>
              <w:rPr>
                <w:rFonts w:ascii="Arial" w:cs="Arial" w:eastAsia="Arial" w:hAnsi="Arial"/>
                <w:color w:val="595959"/>
                <w:sz w:val="18"/>
                <w:szCs w:val="18"/>
              </w:rPr>
              <w:t xml:space="preserve">Formation 2à4 jours + examen en ligne   —   </w:t>
            </w:r>
            <w:r>
              <w:rPr>
                <w:rFonts w:ascii="Arial" w:cs="Arial" w:eastAsia="Arial" w:hAnsi="Arial"/>
                <w:b/>
                <w:bCs/>
                <w:color w:val="0D2B5E"/>
                <w:sz w:val="18"/>
                <w:szCs w:val="18"/>
              </w:rPr>
              <w:t xml:space="preserve">CSWP : ~100 € examen (inclus abo.) — CATIA : 200 – 400 €</w:t>
            </w:r>
            <w:r>
              <w:rPr>
                <w:rFonts w:ascii="Arial" w:cs="Arial" w:eastAsia="Arial" w:hAnsi="Arial"/>
                <w:color w:val="595959"/>
                <w:sz w:val="18"/>
                <w:szCs w:val="18"/>
              </w:rPr>
              <w:t xml:space="preserve">   —   </w:t>
            </w:r>
            <w:r>
              <w:rPr>
                <w:rFonts w:ascii="Arial" w:cs="Arial" w:eastAsia="Arial" w:hAnsi="Arial"/>
                <w:b/>
                <w:bCs/>
                <w:color w:val="0D2B5E"/>
                <w:sz w:val="18"/>
                <w:szCs w:val="18"/>
              </w:rPr>
              <w:t xml:space="preserve">PRIORITÉ 1 — selon l’outil PLM de l’entreprise</w:t>
            </w:r>
            <w:r>
              <w:rPr>
                <w:rFonts w:ascii="Arial" w:cs="Arial" w:eastAsia="Arial" w:hAnsi="Arial"/>
                <w:color w:val="595959"/>
                <w:sz w:val="18"/>
                <w:szCs w:val="18"/>
              </w:rPr>
              <w:t xml:space="preserve">   —   </w:t>
            </w:r>
            <w:r>
              <w:rPr>
                <w:rFonts w:ascii="Arial" w:cs="Arial" w:eastAsia="Arial" w:hAnsi="Arial"/>
                <w:b/>
                <w:bCs/>
                <w:color w:val="1B5E20"/>
                <w:sz w:val="18"/>
                <w:szCs w:val="18"/>
              </w:rPr>
              <w:t xml:space="preserve">✔ VÉRIFIÉ</w:t>
            </w:r>
          </w:p>
          <w:p>
            <w:pPr>
              <w:spacing w:before="0" w:after="40"/>
            </w:pPr>
            <w:r>
              <w:rPr>
                <w:rFonts w:ascii="Arial" w:cs="Arial" w:eastAsia="Arial" w:hAnsi="Arial"/>
                <w:b/>
                <w:bCs/>
                <w:color w:val="1F3864"/>
                <w:sz w:val="19"/>
                <w:szCs w:val="19"/>
              </w:rPr>
              <w:t xml:space="preserve">🏫  Organismes délivrant la formation / l’accréditation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500"/>
            </w:tblGrid>
            <w:tr>
              <w:trPr>
                <w:tblHeader/>
              </w:trPr>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Organisme</w:t>
                  </w:r>
                </w:p>
              </w:tc>
              <w:tc>
                <w:tcPr>
                  <w:tcW w:type="dxa" w:w="28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Rôle</w:t>
                  </w:r>
                </w:p>
              </w:tc>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Site</w:t>
                  </w:r>
                </w:p>
              </w:tc>
              <w:tc>
                <w:tcPr>
                  <w:tcW w:type="dxa" w:w="15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Accréditation</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Dassault Systèmes — 3DS EduSpace</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Certification officielle CSWP/CSWE SolidWorks (en ligne)</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3dexperience.virtualtester.com</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Délivré par l’éditeur</w:t>
                  </w:r>
                </w:p>
              </w:tc>
            </w:tr>
            <w:tr>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Dassault Systèmes — Certified Centers</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Certification CATIA V5 Associate / Professional</w:t>
                  </w:r>
                </w:p>
              </w:tc>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3ds.com/edu/skills/certification</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Délivré par l’éditeur</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OhMyCad (Paris 75009)</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Préparation et passage certification CSWA/CSWP</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ohmycad.com</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Centre de test agréé</w:t>
                  </w:r>
                </w:p>
              </w:tc>
            </w:tr>
            <w:tr>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ETC Academy France</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Formation CATIA V5 et préparation certification</w:t>
                  </w:r>
                </w:p>
              </w:tc>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etc-academy-france.com</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Partenaire agréé</w:t>
                  </w:r>
                </w:p>
              </w:tc>
            </w:tr>
          </w:tbl>
          <w:p>
            <w:pPr>
              <w:spacing w:before="60" w:after="50"/>
            </w:pPr>
            <w:r>
              <w:rPr>
                <w:rFonts w:ascii="Arial" w:cs="Arial" w:eastAsia="Arial" w:hAnsi="Arial"/>
                <w:sz w:val="21"/>
                <w:szCs w:val="21"/>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tblGrid>
            <w:tr>
              <w:tc>
                <w:tcPr>
                  <w:tcW w:type="dxa" w:w="29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Pour l’entreprise</w:t>
                  </w:r>
                </w:p>
              </w:tc>
              <w:tc>
                <w:tcPr>
                  <w:tcW w:type="dxa" w:w="29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Pour vous</w:t>
                  </w:r>
                </w:p>
              </w:tc>
              <w:tc>
                <w:tcPr>
                  <w:tcW w:type="dxa" w:w="29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ROI mesurable</w:t>
                  </w:r>
                </w:p>
              </w:tc>
            </w:tr>
            <w:tr>
              <w:tc>
                <w:tcPr>
                  <w:tcW w:type="dxa" w:w="2900"/>
                  <w:tcBorders>
                    <w:top w:val="single" w:color="BBBBBB" w:sz="6"/>
                    <w:left w:val="single" w:color="BBBBBB" w:sz="6"/>
                    <w:bottom w:val="single" w:color="BBBBBB" w:sz="6"/>
                    <w:right w:val="single" w:color="BBBBBB" w:sz="6"/>
                  </w:tcBorders>
                  <w:shd w:fill="E8EEF7"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Ingénieur référent interne sur l’outil PLM. Réduit la dépendance aux consultants externes. Formateur interne potentiel.</w:t>
                  </w:r>
                </w:p>
              </w:tc>
              <w:tc>
                <w:tcPr>
                  <w:tcW w:type="dxa" w:w="2900"/>
                  <w:tcBorders>
                    <w:top w:val="single" w:color="BBBBBB" w:sz="6"/>
                    <w:left w:val="single" w:color="BBBBBB" w:sz="6"/>
                    <w:bottom w:val="single" w:color="BBBBBB" w:sz="6"/>
                    <w:right w:val="single" w:color="BBBBBB" w:sz="6"/>
                  </w:tcBorders>
                  <w:shd w:fill="E8EEF7"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Badge numérique vérifiable partagé sur LinkedIn. Certification officielle éditeur inscrite sur le CV. Argument solide pour la revoyure salariale.</w:t>
                  </w:r>
                </w:p>
              </w:tc>
              <w:tc>
                <w:tcPr>
                  <w:tcW w:type="dxa" w:w="2900"/>
                  <w:tcBorders>
                    <w:top w:val="single" w:color="BBBBBB" w:sz="6"/>
                    <w:left w:val="single" w:color="BBBBBB" w:sz="6"/>
                    <w:bottom w:val="single" w:color="BBBBBB" w:sz="6"/>
                    <w:right w:val="single" w:color="BBBBBB" w:sz="6"/>
                  </w:tcBorders>
                  <w:shd w:fill="E8EEF7" w:val="clear"/>
                  <w:tcMar>
                    <w:top w:type="dxa" w:w="80"/>
                    <w:left w:type="dxa" w:w="115"/>
                    <w:bottom w:type="dxa" w:w="80"/>
                    <w:right w:type="dxa" w:w="115"/>
                  </w:tcMar>
                  <w:vAlign w:val="top"/>
                </w:tcPr>
                <w:p>
                  <w:r>
                    <w:rPr>
                      <w:rFonts w:ascii="Arial" w:cs="Arial" w:eastAsia="Arial" w:hAnsi="Arial"/>
                      <w:b/>
                      <w:bCs/>
                      <w:color w:val="0D2B5E"/>
                      <w:sz w:val="18"/>
                      <w:szCs w:val="18"/>
                    </w:rPr>
                    <w:t xml:space="preserve">Réduction des jours de conseil externe. Investissement à usage durable.</w:t>
                  </w:r>
                </w:p>
              </w:tc>
            </w:tr>
          </w:tbl>
          <w:p>
            <w:pPr>
              <w:spacing w:before="60" w:after="50"/>
            </w:pPr>
            <w:r>
              <w:rPr>
                <w:rFonts w:ascii="Arial" w:cs="Arial" w:eastAsia="Arial" w:hAnsi="Arial"/>
                <w:sz w:val="21"/>
                <w:szCs w:val="21"/>
              </w:rPr>
              <w:t xml:space="preserve"/>
            </w:r>
          </w:p>
          <w:p>
            <w:pPr>
              <w:spacing w:before="0" w:after="40"/>
            </w:pPr>
            <w:r>
              <w:rPr>
                <w:rFonts w:ascii="Arial" w:cs="Arial" w:eastAsia="Arial" w:hAnsi="Arial"/>
                <w:b/>
                <w:bCs/>
                <w:color w:val="595959"/>
                <w:sz w:val="18"/>
                <w:szCs w:val="18"/>
              </w:rPr>
              <w:t xml:space="preserve">💬  Phrase type pour l’amener en négociation :</w:t>
            </w:r>
          </w:p>
          <w:p>
            <w:pPr>
              <w:spacing w:before="0" w:after="0"/>
            </w:pPr>
            <w:r>
              <w:rPr>
                <w:rFonts w:ascii="Arial" w:cs="Arial" w:eastAsia="Arial" w:hAnsi="Arial"/>
                <w:b/>
                <w:bCs/>
                <w:color w:val="0D2B5E"/>
                <w:sz w:val="21"/>
                <w:szCs w:val="21"/>
              </w:rPr>
              <w:t xml:space="preserve">“</w:t>
            </w:r>
            <w:r>
              <w:rPr>
                <w:rFonts w:ascii="Arial" w:cs="Arial" w:eastAsia="Arial" w:hAnsi="Arial"/>
                <w:i/>
                <w:iCs/>
                <w:color w:val="1F3864"/>
                <w:sz w:val="19"/>
                <w:szCs w:val="19"/>
              </w:rPr>
              <w:t xml:space="preserve">Une certification officielle Dassault Systèmes sur votre outil CAO principal me positionne comme référent interne. Cela réduit votre dépendance aux consultants externes sur les fonctions avancées. L’examen coûte moins de 400 euros et est inclus dans certains abonnements — c’est un des meilleurs retours sur investissement formation que vous pouvez faire.</w:t>
            </w:r>
            <w:r>
              <w:rPr>
                <w:rFonts w:ascii="Arial" w:cs="Arial" w:eastAsia="Arial" w:hAnsi="Arial"/>
                <w:b/>
                <w:bCs/>
                <w:color w:val="0D2B5E"/>
                <w:sz w:val="21"/>
                <w:szCs w:val="21"/>
              </w:rPr>
              <w:t xml:space="preserve">”</w:t>
            </w:r>
          </w:p>
        </w:tc>
      </w:tr>
    </w:tbl>
    <w:p>
      <w:pPr>
        <w:spacing w:before="70" w:after="55"/>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none" w:color="FFFFFF" w:sz="0"/>
              <w:left w:val="none" w:color="FFFFFF" w:sz="0"/>
              <w:bottom w:val="none" w:color="FFFFFF" w:sz="0"/>
              <w:right w:val="none" w:color="FFFFFF" w:sz="0"/>
            </w:tcBorders>
            <w:shd w:fill="0D2B5E" w:val="clear"/>
            <w:tcMar>
              <w:top w:type="dxa" w:w="0"/>
              <w:left w:type="dxa" w:w="0"/>
              <w:bottom w:type="dxa" w:w="0"/>
              <w:right w:type="dxa" w:w="0"/>
            </w:tcMar>
          </w:tcPr>
          <w:p>
            <w:pPr>
              <w:jc w:val="center"/>
            </w:pPr>
            <w:r>
              <w:rPr>
                <w:rFonts w:ascii="Arial" w:cs="Arial" w:eastAsia="Arial" w:hAnsi="Arial"/>
                <w:b/>
                <w:bCs/>
                <w:color w:val="FFFFFF"/>
                <w:sz w:val="22"/>
                <w:szCs w:val="22"/>
              </w:rPr>
              <w:t xml:space="preserve">P3</w:t>
            </w:r>
          </w:p>
          <w:p>
            <w:pPr>
              <w:jc w:val="center"/>
            </w:pPr>
            <w:r>
              <w:rPr>
                <w:rFonts w:ascii="Arial" w:cs="Arial" w:eastAsia="Arial" w:hAnsi="Arial"/>
                <w:b/>
                <w:bCs/>
                <w:color w:val="FFFFFF"/>
                <w:sz w:val="14"/>
                <w:szCs w:val="14"/>
              </w:rPr>
              <w:t xml:space="preserve">✔ VÉRIFIÉ (intégré)</w:t>
            </w:r>
          </w:p>
        </w:tc>
        <w:tc>
          <w:tcPr>
            <w:tcW w:type="dxa" w:w="9020"/>
            <w:tcBorders>
              <w:top w:val="single" w:color="0D2B5E" w:sz="6"/>
              <w:left w:val="none" w:color="FFFFFF" w:sz="0"/>
              <w:bottom w:val="single" w:color="0D2B5E" w:sz="6"/>
              <w:right w:val="single" w:color="0D2B5E" w:sz="6"/>
            </w:tcBorders>
            <w:shd w:fill="E8EEF7" w:val="clear"/>
            <w:tcMar>
              <w:top w:type="dxa" w:w="90"/>
              <w:left w:type="dxa" w:w="150"/>
              <w:bottom w:type="dxa" w:w="90"/>
              <w:right w:type="dxa" w:w="150"/>
            </w:tcMar>
          </w:tcPr>
          <w:p>
            <w:pPr>
              <w:spacing w:before="0" w:after="20"/>
            </w:pPr>
            <w:r>
              <w:rPr>
                <w:rFonts w:ascii="Arial" w:cs="Arial" w:eastAsia="Arial" w:hAnsi="Arial"/>
                <w:b/>
                <w:bCs/>
                <w:color w:val="1F3864"/>
                <w:sz w:val="23"/>
                <w:szCs w:val="23"/>
              </w:rPr>
              <w:t xml:space="preserve">Calcul Structures Légères — Séminaire CETIM + Formation ISAE/GIFAS (FEA &amp; Normes Sectorielle)</w:t>
            </w:r>
          </w:p>
          <w:p>
            <w:pPr>
              <w:spacing w:before="0" w:after="50"/>
            </w:pPr>
            <w:r>
              <w:rPr>
                <w:rFonts w:ascii="Arial" w:cs="Arial" w:eastAsia="Arial" w:hAnsi="Arial"/>
                <w:color w:val="595959"/>
                <w:sz w:val="18"/>
                <w:szCs w:val="18"/>
              </w:rPr>
              <w:t xml:space="preserve">2à3 jours par module   —   </w:t>
            </w:r>
            <w:r>
              <w:rPr>
                <w:rFonts w:ascii="Arial" w:cs="Arial" w:eastAsia="Arial" w:hAnsi="Arial"/>
                <w:b/>
                <w:bCs/>
                <w:color w:val="0D2B5E"/>
                <w:sz w:val="18"/>
                <w:szCs w:val="18"/>
              </w:rPr>
              <w:t xml:space="preserve">1 200 – 2 500 € par module</w:t>
            </w:r>
            <w:r>
              <w:rPr>
                <w:rFonts w:ascii="Arial" w:cs="Arial" w:eastAsia="Arial" w:hAnsi="Arial"/>
                <w:color w:val="595959"/>
                <w:sz w:val="18"/>
                <w:szCs w:val="18"/>
              </w:rPr>
              <w:t xml:space="preserve">   —   </w:t>
            </w:r>
            <w:r>
              <w:rPr>
                <w:rFonts w:ascii="Arial" w:cs="Arial" w:eastAsia="Arial" w:hAnsi="Arial"/>
                <w:b/>
                <w:bCs/>
                <w:color w:val="0D2B5E"/>
                <w:sz w:val="18"/>
                <w:szCs w:val="18"/>
              </w:rPr>
              <w:t xml:space="preserve">PRIORITÉ 1 — spécifique double profil ferro+aéro</w:t>
            </w:r>
            <w:r>
              <w:rPr>
                <w:rFonts w:ascii="Arial" w:cs="Arial" w:eastAsia="Arial" w:hAnsi="Arial"/>
                <w:color w:val="595959"/>
                <w:sz w:val="18"/>
                <w:szCs w:val="18"/>
              </w:rPr>
              <w:t xml:space="preserve">   —   </w:t>
            </w:r>
            <w:r>
              <w:rPr>
                <w:rFonts w:ascii="Arial" w:cs="Arial" w:eastAsia="Arial" w:hAnsi="Arial"/>
                <w:b/>
                <w:bCs/>
                <w:color w:val="1B5E20"/>
                <w:sz w:val="18"/>
                <w:szCs w:val="18"/>
              </w:rPr>
              <w:t xml:space="preserve">✔ VÉRIFIÉ (intégré)</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c>
                <w:tcPr>
                  <w:tcW w:type="dxa" w:w="8700"/>
                  <w:tcBorders>
                    <w:top w:val="single" w:color="E65100" w:sz="6"/>
                    <w:left w:val="single" w:color="E65100" w:sz="6"/>
                    <w:bottom w:val="single" w:color="E65100" w:sz="6"/>
                    <w:right w:val="single" w:color="E65100" w:sz="6"/>
                  </w:tcBorders>
                  <w:shd w:fill="FFF3E0" w:val="clear"/>
                  <w:tcMar>
                    <w:top w:type="dxa" w:w="70"/>
                    <w:left w:type="dxa" w:w="120"/>
                    <w:bottom w:type="dxa" w:w="70"/>
                    <w:right w:type="dxa" w:w="120"/>
                  </w:tcMar>
                </w:tcPr>
                <w:p>
                  <w:r>
                    <w:rPr>
                      <w:rFonts w:ascii="Arial" w:cs="Arial" w:eastAsia="Arial" w:hAnsi="Arial"/>
                      <w:b/>
                      <w:bCs/>
                      <w:color w:val="E65100"/>
                      <w:sz w:val="18"/>
                      <w:szCs w:val="18"/>
                    </w:rPr>
                    <w:t xml:space="preserve">⚠️  Correction apportée : </w:t>
                  </w:r>
                  <w:r>
                    <w:rPr>
                      <w:rFonts w:ascii="Arial" w:cs="Arial" w:eastAsia="Arial" w:hAnsi="Arial"/>
                      <w:color w:val="1A1A1A"/>
                      <w:sz w:val="18"/>
                      <w:szCs w:val="18"/>
                    </w:rPr>
                    <w:t xml:space="preserve">Il n’existe pas de formation unifiée « EN 12663 + Crashworthiness CS 25 ». Ce sont deux référentiels distincts. La bonne approche est un parcours en deux modules : (1) calcul structures ferroviaires via CETIM, (2) méthodes de dimensionnement aéronautiques via ISAE-Supaero ou un bureau spécialisé.</w:t>
                  </w:r>
                </w:p>
              </w:tc>
            </w:tr>
          </w:tbl>
          <w:p>
            <w:pPr>
              <w:spacing w:before="50" w:after="50"/>
            </w:pPr>
            <w:r>
              <w:rPr>
                <w:rFonts w:ascii="Arial" w:cs="Arial" w:eastAsia="Arial" w:hAnsi="Arial"/>
                <w:sz w:val="21"/>
                <w:szCs w:val="21"/>
              </w:rPr>
              <w:t xml:space="preserve"/>
            </w:r>
          </w:p>
          <w:p>
            <w:pPr>
              <w:spacing w:before="0" w:after="40"/>
            </w:pPr>
            <w:r>
              <w:rPr>
                <w:rFonts w:ascii="Arial" w:cs="Arial" w:eastAsia="Arial" w:hAnsi="Arial"/>
                <w:b/>
                <w:bCs/>
                <w:color w:val="1F3864"/>
                <w:sz w:val="19"/>
                <w:szCs w:val="19"/>
              </w:rPr>
              <w:t xml:space="preserve">🏫  Organismes délivrant la formation / l’accréditation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500"/>
            </w:tblGrid>
            <w:tr>
              <w:trPr>
                <w:tblHeader/>
              </w:trPr>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Organisme</w:t>
                  </w:r>
                </w:p>
              </w:tc>
              <w:tc>
                <w:tcPr>
                  <w:tcW w:type="dxa" w:w="28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Rôle</w:t>
                  </w:r>
                </w:p>
              </w:tc>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Site</w:t>
                  </w:r>
                </w:p>
              </w:tc>
              <w:tc>
                <w:tcPr>
                  <w:tcW w:type="dxa" w:w="15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Accréditation</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CETIM (Senlis + Paris)</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Formations structures ferroviaires, procédés et dimensionnement</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cetim.fr/formation</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Qualiopi</w:t>
                  </w:r>
                </w:p>
              </w:tc>
            </w:tr>
            <w:tr>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ISAE-Supaero (Toulouse)</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Formation continue : mécanique des structures aéronautiques</w:t>
                  </w:r>
                </w:p>
              </w:tc>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isae-supaero.fr/formations-continues</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Habilité CTI</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ESTACA (Paris—Saclay)</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Formation continue structures légères aero et mobilité</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estaca.fr</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Habilité CTI</w:t>
                  </w:r>
                </w:p>
              </w:tc>
            </w:tr>
          </w:tbl>
          <w:p>
            <w:pPr>
              <w:spacing w:before="60" w:after="50"/>
            </w:pPr>
            <w:r>
              <w:rPr>
                <w:rFonts w:ascii="Arial" w:cs="Arial" w:eastAsia="Arial" w:hAnsi="Arial"/>
                <w:sz w:val="21"/>
                <w:szCs w:val="21"/>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tblGrid>
            <w:tr>
              <w:tc>
                <w:tcPr>
                  <w:tcW w:type="dxa" w:w="29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Pour l’entreprise</w:t>
                  </w:r>
                </w:p>
              </w:tc>
              <w:tc>
                <w:tcPr>
                  <w:tcW w:type="dxa" w:w="29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Pour vous</w:t>
                  </w:r>
                </w:p>
              </w:tc>
              <w:tc>
                <w:tcPr>
                  <w:tcW w:type="dxa" w:w="29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ROI mesurable</w:t>
                  </w:r>
                </w:p>
              </w:tc>
            </w:tr>
            <w:tr>
              <w:tc>
                <w:tcPr>
                  <w:tcW w:type="dxa" w:w="2900"/>
                  <w:tcBorders>
                    <w:top w:val="single" w:color="BBBBBB" w:sz="6"/>
                    <w:left w:val="single" w:color="BBBBBB" w:sz="6"/>
                    <w:bottom w:val="single" w:color="BBBBBB" w:sz="6"/>
                    <w:right w:val="single" w:color="BBBBBB" w:sz="6"/>
                  </w:tcBorders>
                  <w:shd w:fill="E8EEF7"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Validation autonome des sous-ensembles sans sous-traitance de calcul. Expertise interne reconnue sur deux référentiels normatifs.</w:t>
                  </w:r>
                </w:p>
              </w:tc>
              <w:tc>
                <w:tcPr>
                  <w:tcW w:type="dxa" w:w="2900"/>
                  <w:tcBorders>
                    <w:top w:val="single" w:color="BBBBBB" w:sz="6"/>
                    <w:left w:val="single" w:color="BBBBBB" w:sz="6"/>
                    <w:bottom w:val="single" w:color="BBBBBB" w:sz="6"/>
                    <w:right w:val="single" w:color="BBBBBB" w:sz="6"/>
                  </w:tcBorders>
                  <w:shd w:fill="E8EEF7"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Passage de « je connais les normes » à « je valide selon elles ». Double différenciation ferro+aéro confirmée.</w:t>
                  </w:r>
                </w:p>
              </w:tc>
              <w:tc>
                <w:tcPr>
                  <w:tcW w:type="dxa" w:w="2900"/>
                  <w:tcBorders>
                    <w:top w:val="single" w:color="BBBBBB" w:sz="6"/>
                    <w:left w:val="single" w:color="BBBBBB" w:sz="6"/>
                    <w:bottom w:val="single" w:color="BBBBBB" w:sz="6"/>
                    <w:right w:val="single" w:color="BBBBBB" w:sz="6"/>
                  </w:tcBorders>
                  <w:shd w:fill="E8EEF7" w:val="clear"/>
                  <w:tcMar>
                    <w:top w:type="dxa" w:w="80"/>
                    <w:left w:type="dxa" w:w="115"/>
                    <w:bottom w:type="dxa" w:w="80"/>
                    <w:right w:type="dxa" w:w="115"/>
                  </w:tcMar>
                  <w:vAlign w:val="top"/>
                </w:tcPr>
                <w:p>
                  <w:r>
                    <w:rPr>
                      <w:rFonts w:ascii="Arial" w:cs="Arial" w:eastAsia="Arial" w:hAnsi="Arial"/>
                      <w:b/>
                      <w:bCs/>
                      <w:color w:val="0D2B5E"/>
                      <w:sz w:val="18"/>
                      <w:szCs w:val="18"/>
                    </w:rPr>
                    <w:t xml:space="preserve">Réduction du recours aux bureaux de calcul externes. Autonomie sur les jalons de validation.</w:t>
                  </w:r>
                </w:p>
              </w:tc>
            </w:tr>
          </w:tbl>
          <w:p>
            <w:pPr>
              <w:spacing w:before="60" w:after="50"/>
            </w:pPr>
            <w:r>
              <w:rPr>
                <w:rFonts w:ascii="Arial" w:cs="Arial" w:eastAsia="Arial" w:hAnsi="Arial"/>
                <w:sz w:val="21"/>
                <w:szCs w:val="21"/>
              </w:rPr>
              <w:t xml:space="preserve"/>
            </w:r>
          </w:p>
          <w:p>
            <w:pPr>
              <w:spacing w:before="0" w:after="40"/>
            </w:pPr>
            <w:r>
              <w:rPr>
                <w:rFonts w:ascii="Arial" w:cs="Arial" w:eastAsia="Arial" w:hAnsi="Arial"/>
                <w:b/>
                <w:bCs/>
                <w:color w:val="595959"/>
                <w:sz w:val="18"/>
                <w:szCs w:val="18"/>
              </w:rPr>
              <w:t xml:space="preserve">💬  Phrase type pour l’amener en négociation :</w:t>
            </w:r>
          </w:p>
          <w:p>
            <w:pPr>
              <w:spacing w:before="0" w:after="0"/>
            </w:pPr>
            <w:r>
              <w:rPr>
                <w:rFonts w:ascii="Arial" w:cs="Arial" w:eastAsia="Arial" w:hAnsi="Arial"/>
                <w:b/>
                <w:bCs/>
                <w:color w:val="0D2B5E"/>
                <w:sz w:val="21"/>
                <w:szCs w:val="21"/>
              </w:rPr>
              <w:t xml:space="preserve">“</w:t>
            </w:r>
            <w:r>
              <w:rPr>
                <w:rFonts w:ascii="Arial" w:cs="Arial" w:eastAsia="Arial" w:hAnsi="Arial"/>
                <w:i/>
                <w:iCs/>
                <w:color w:val="1F3864"/>
                <w:sz w:val="19"/>
                <w:szCs w:val="19"/>
              </w:rPr>
              <w:t xml:space="preserve">Un parcours calcul structures en deux modules — via le CETIM pour le ferroviaire et un séminaire ISAE pour l’aéro — me rend autonome sur la validation dimensionnelle de nos sièges. Aujourd’hui, ces calculs nécessitent soit un sous-traitant, soit une escalade. Le gain de temps sur les jalons est directement quantifiable.</w:t>
            </w:r>
            <w:r>
              <w:rPr>
                <w:rFonts w:ascii="Arial" w:cs="Arial" w:eastAsia="Arial" w:hAnsi="Arial"/>
                <w:b/>
                <w:bCs/>
                <w:color w:val="0D2B5E"/>
                <w:sz w:val="21"/>
                <w:szCs w:val="21"/>
              </w:rPr>
              <w:t xml:space="preserve">”</w:t>
            </w:r>
          </w:p>
        </w:tc>
      </w:tr>
    </w:tbl>
    <w:p>
      <w:pPr>
        <w:spacing w:before="70" w:after="55"/>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6"/>
              <w:left w:val="single" w:color="375623" w:sz="6"/>
              <w:bottom w:val="single" w:color="375623" w:sz="6"/>
              <w:right w:val="single" w:color="375623" w:sz="6"/>
            </w:tcBorders>
            <w:shd w:fill="375623" w:val="clear"/>
            <w:tcMar>
              <w:top w:type="dxa" w:w="80"/>
              <w:left w:type="dxa" w:w="150"/>
              <w:bottom w:type="dxa" w:w="80"/>
              <w:right w:type="dxa" w:w="150"/>
            </w:tcMar>
          </w:tcPr>
          <w:p>
            <w:pPr>
              <w:jc w:val="center"/>
            </w:pPr>
            <w:r>
              <w:rPr>
                <w:rFonts w:ascii="Arial" w:cs="Arial" w:eastAsia="Arial" w:hAnsi="Arial"/>
                <w:b/>
                <w:bCs/>
                <w:color w:val="FFFFFF"/>
                <w:sz w:val="22"/>
                <w:szCs w:val="22"/>
              </w:rPr>
              <w:t xml:space="preserve">🟢  PRIORITÉ 2 — HORIZON 6 À 18 MOIS — À planifier à la revoyure salariale</w:t>
            </w:r>
          </w:p>
        </w:tc>
      </w:tr>
    </w:tbl>
    <w:p>
      <w:pPr>
        <w:spacing w:before="7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pPr>
              <w:jc w:val="center"/>
            </w:pPr>
            <w:r>
              <w:rPr>
                <w:rFonts w:ascii="Arial" w:cs="Arial" w:eastAsia="Arial" w:hAnsi="Arial"/>
                <w:b/>
                <w:bCs/>
                <w:color w:val="FFFFFF"/>
                <w:sz w:val="22"/>
                <w:szCs w:val="22"/>
              </w:rPr>
              <w:t xml:space="preserve">P4</w:t>
            </w:r>
          </w:p>
          <w:p>
            <w:pPr>
              <w:jc w:val="center"/>
            </w:pPr>
            <w:r>
              <w:rPr>
                <w:rFonts w:ascii="Arial" w:cs="Arial" w:eastAsia="Arial" w:hAnsi="Arial"/>
                <w:b/>
                <w:bCs/>
                <w:color w:val="FFFFFF"/>
                <w:sz w:val="14"/>
                <w:szCs w:val="14"/>
              </w:rPr>
              <w:t xml:space="preserve">⚠️ CORRECTION — Non CPF en 2025</w:t>
            </w:r>
          </w:p>
        </w:tc>
        <w:tc>
          <w:tcPr>
            <w:tcW w:type="dxa" w:w="9020"/>
            <w:tcBorders>
              <w:top w:val="single" w:color="375623" w:sz="6"/>
              <w:left w:val="none" w:color="FFFFFF" w:sz="0"/>
              <w:bottom w:val="single" w:color="375623" w:sz="6"/>
              <w:right w:val="single" w:color="375623" w:sz="6"/>
            </w:tcBorders>
            <w:shd w:fill="E2EFDA" w:val="clear"/>
            <w:tcMar>
              <w:top w:type="dxa" w:w="90"/>
              <w:left w:type="dxa" w:w="150"/>
              <w:bottom w:type="dxa" w:w="90"/>
              <w:right w:type="dxa" w:w="150"/>
            </w:tcMar>
          </w:tcPr>
          <w:p>
            <w:pPr>
              <w:spacing w:before="0" w:after="20"/>
            </w:pPr>
            <w:r>
              <w:rPr>
                <w:rFonts w:ascii="Arial" w:cs="Arial" w:eastAsia="Arial" w:hAnsi="Arial"/>
                <w:b/>
                <w:bCs/>
                <w:color w:val="1F3864"/>
                <w:sz w:val="23"/>
                <w:szCs w:val="23"/>
              </w:rPr>
              <w:t xml:space="preserve">Gestion de Projet — Certification PMP (PMI) ou IPMA Niveau C</w:t>
            </w:r>
          </w:p>
          <w:p>
            <w:pPr>
              <w:spacing w:before="0" w:after="50"/>
            </w:pPr>
            <w:r>
              <w:rPr>
                <w:rFonts w:ascii="Arial" w:cs="Arial" w:eastAsia="Arial" w:hAnsi="Arial"/>
                <w:color w:val="595959"/>
                <w:sz w:val="18"/>
                <w:szCs w:val="18"/>
              </w:rPr>
              <w:t xml:space="preserve">5 jours de formation + examen   —   </w:t>
            </w:r>
            <w:r>
              <w:rPr>
                <w:rFonts w:ascii="Arial" w:cs="Arial" w:eastAsia="Arial" w:hAnsi="Arial"/>
                <w:b/>
                <w:bCs/>
                <w:color w:val="375623"/>
                <w:sz w:val="18"/>
                <w:szCs w:val="18"/>
              </w:rPr>
              <w:t xml:space="preserve">2 000 – 3 500 € (examen inclus — non financement CPF)</w:t>
            </w:r>
            <w:r>
              <w:rPr>
                <w:rFonts w:ascii="Arial" w:cs="Arial" w:eastAsia="Arial" w:hAnsi="Arial"/>
                <w:color w:val="595959"/>
                <w:sz w:val="18"/>
                <w:szCs w:val="18"/>
              </w:rPr>
              <w:t xml:space="preserve">   —   </w:t>
            </w:r>
            <w:r>
              <w:rPr>
                <w:rFonts w:ascii="Arial" w:cs="Arial" w:eastAsia="Arial" w:hAnsi="Arial"/>
                <w:b/>
                <w:bCs/>
                <w:color w:val="375623"/>
                <w:sz w:val="18"/>
                <w:szCs w:val="18"/>
              </w:rPr>
              <w:t xml:space="preserve">PRIORITÉ 2 — horizon 12–18 mois</w:t>
            </w:r>
            <w:r>
              <w:rPr>
                <w:rFonts w:ascii="Arial" w:cs="Arial" w:eastAsia="Arial" w:hAnsi="Arial"/>
                <w:color w:val="595959"/>
                <w:sz w:val="18"/>
                <w:szCs w:val="18"/>
              </w:rPr>
              <w:t xml:space="preserve">   —   </w:t>
            </w:r>
            <w:r>
              <w:rPr>
                <w:rFonts w:ascii="Arial" w:cs="Arial" w:eastAsia="Arial" w:hAnsi="Arial"/>
                <w:b/>
                <w:bCs/>
                <w:color w:val="E65100"/>
                <w:sz w:val="18"/>
                <w:szCs w:val="18"/>
              </w:rPr>
              <w:t xml:space="preserve">⚠️ CORRECTION — Non CPF en 2025</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c>
                <w:tcPr>
                  <w:tcW w:type="dxa" w:w="8700"/>
                  <w:tcBorders>
                    <w:top w:val="single" w:color="E65100" w:sz="6"/>
                    <w:left w:val="single" w:color="E65100" w:sz="6"/>
                    <w:bottom w:val="single" w:color="E65100" w:sz="6"/>
                    <w:right w:val="single" w:color="E65100" w:sz="6"/>
                  </w:tcBorders>
                  <w:shd w:fill="FFF3E0" w:val="clear"/>
                  <w:tcMar>
                    <w:top w:type="dxa" w:w="70"/>
                    <w:left w:type="dxa" w:w="120"/>
                    <w:bottom w:type="dxa" w:w="70"/>
                    <w:right w:type="dxa" w:w="120"/>
                  </w:tcMar>
                </w:tcPr>
                <w:p>
                  <w:r>
                    <w:rPr>
                      <w:rFonts w:ascii="Arial" w:cs="Arial" w:eastAsia="Arial" w:hAnsi="Arial"/>
                      <w:b/>
                      <w:bCs/>
                      <w:color w:val="E65100"/>
                      <w:sz w:val="18"/>
                      <w:szCs w:val="18"/>
                    </w:rPr>
                    <w:t xml:space="preserve">⚠️  Correction apportée : </w:t>
                  </w:r>
                  <w:r>
                    <w:rPr>
                      <w:rFonts w:ascii="Arial" w:cs="Arial" w:eastAsia="Arial" w:hAnsi="Arial"/>
                      <w:color w:val="1A1A1A"/>
                      <w:sz w:val="18"/>
                      <w:szCs w:val="18"/>
                    </w:rPr>
                    <w:t xml:space="preserve">La certification PMP a été retirée du CPF en février 2022 (refus France Compétences). Elle reste financement possible via le plan de développement des compétences (OPCO de la métallurgie : UIMM/OPCO 2i). Ne pas utiliser l’argument « CPF éligible » en négociation — c’est faux pour 2025.</w:t>
                  </w:r>
                </w:p>
              </w:tc>
            </w:tr>
          </w:tbl>
          <w:p>
            <w:pPr>
              <w:spacing w:before="50" w:after="50"/>
            </w:pPr>
            <w:r>
              <w:rPr>
                <w:rFonts w:ascii="Arial" w:cs="Arial" w:eastAsia="Arial" w:hAnsi="Arial"/>
                <w:sz w:val="21"/>
                <w:szCs w:val="21"/>
              </w:rPr>
              <w:t xml:space="preserve"/>
            </w:r>
          </w:p>
          <w:p>
            <w:pPr>
              <w:spacing w:before="0" w:after="40"/>
            </w:pPr>
            <w:r>
              <w:rPr>
                <w:rFonts w:ascii="Arial" w:cs="Arial" w:eastAsia="Arial" w:hAnsi="Arial"/>
                <w:b/>
                <w:bCs/>
                <w:color w:val="1F3864"/>
                <w:sz w:val="19"/>
                <w:szCs w:val="19"/>
              </w:rPr>
              <w:t xml:space="preserve">🏫  Organismes délivrant la formation / l’accréditation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500"/>
            </w:tblGrid>
            <w:tr>
              <w:trPr>
                <w:tblHeader/>
              </w:trPr>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Organisme</w:t>
                  </w:r>
                </w:p>
              </w:tc>
              <w:tc>
                <w:tcPr>
                  <w:tcW w:type="dxa" w:w="28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Rôle</w:t>
                  </w:r>
                </w:p>
              </w:tc>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Site</w:t>
                  </w:r>
                </w:p>
              </w:tc>
              <w:tc>
                <w:tcPr>
                  <w:tcW w:type="dxa" w:w="15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Accréditation</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375623"/>
                      <w:sz w:val="18"/>
                      <w:szCs w:val="18"/>
                    </w:rPr>
                    <w:t xml:space="preserve">CERTyou (Paris)</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Préparation PMP, examen inclus, formateurs PMI ATP officiels</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certyou.com</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PMI Premium ATP #5114</w:t>
                  </w:r>
                </w:p>
              </w:tc>
            </w:tr>
            <w:tr>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375623"/>
                      <w:sz w:val="18"/>
                      <w:szCs w:val="18"/>
                    </w:rPr>
                    <w:t xml:space="preserve">Cegos France</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Formation PMP avec voucher examen inclus</w:t>
                  </w:r>
                </w:p>
              </w:tc>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cegos.fr</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PMI ATP acrédité</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375623"/>
                      <w:sz w:val="18"/>
                      <w:szCs w:val="18"/>
                    </w:rPr>
                    <w:t xml:space="preserve">MaCertif</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Préparation PMP en ligne, 91 % de réussite S1 2025</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macertif.com</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PMI ATP officiel</w:t>
                  </w:r>
                </w:p>
              </w:tc>
            </w:tr>
            <w:tr>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375623"/>
                      <w:sz w:val="18"/>
                      <w:szCs w:val="18"/>
                    </w:rPr>
                    <w:t xml:space="preserve">PMI France (Chapter)</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Certification PMP — examen en français via Pearson Vue</w:t>
                  </w:r>
                </w:p>
              </w:tc>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pmi-france.org</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Certification PMI officielle</w:t>
                  </w:r>
                </w:p>
              </w:tc>
            </w:tr>
          </w:tbl>
          <w:p>
            <w:pPr>
              <w:spacing w:before="60" w:after="50"/>
            </w:pPr>
            <w:r>
              <w:rPr>
                <w:rFonts w:ascii="Arial" w:cs="Arial" w:eastAsia="Arial" w:hAnsi="Arial"/>
                <w:sz w:val="21"/>
                <w:szCs w:val="21"/>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tblGrid>
            <w:tr>
              <w:tc>
                <w:tcPr>
                  <w:tcW w:type="dxa" w:w="29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Pour l’entreprise</w:t>
                  </w:r>
                </w:p>
              </w:tc>
              <w:tc>
                <w:tcPr>
                  <w:tcW w:type="dxa" w:w="29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Pour vous</w:t>
                  </w:r>
                </w:p>
              </w:tc>
              <w:tc>
                <w:tcPr>
                  <w:tcW w:type="dxa" w:w="29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ROI mesurable</w:t>
                  </w:r>
                </w:p>
              </w:tc>
            </w:tr>
            <w:tr>
              <w:tc>
                <w:tcPr>
                  <w:tcW w:type="dxa" w:w="29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Ingénieur pilotant des projets en autonomie. Évite le recrutement d’un chef de projet externe. Coordination clients-fournisseurs-équipes internalisée.</w:t>
                  </w:r>
                </w:p>
              </w:tc>
              <w:tc>
                <w:tcPr>
                  <w:tcW w:type="dxa" w:w="29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Certification reconnue dans 190 pays. Levier direct vers G13-G14. Indispensable pour la trajectoire direction technique.</w:t>
                  </w:r>
                </w:p>
              </w:tc>
              <w:tc>
                <w:tcPr>
                  <w:tcW w:type="dxa" w:w="29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r>
                    <w:rPr>
                      <w:rFonts w:ascii="Arial" w:cs="Arial" w:eastAsia="Arial" w:hAnsi="Arial"/>
                      <w:b/>
                      <w:bCs/>
                      <w:color w:val="375623"/>
                      <w:sz w:val="18"/>
                      <w:szCs w:val="18"/>
                    </w:rPr>
                    <w:t xml:space="preserve">Pilotage autonome de programmes. Mesurable sur le prochain projet significatif.</w:t>
                  </w:r>
                </w:p>
              </w:tc>
            </w:tr>
          </w:tbl>
          <w:p>
            <w:pPr>
              <w:spacing w:before="60" w:after="50"/>
            </w:pPr>
            <w:r>
              <w:rPr>
                <w:rFonts w:ascii="Arial" w:cs="Arial" w:eastAsia="Arial" w:hAnsi="Arial"/>
                <w:sz w:val="21"/>
                <w:szCs w:val="21"/>
              </w:rPr>
              <w:t xml:space="preserve"/>
            </w:r>
          </w:p>
          <w:p>
            <w:pPr>
              <w:spacing w:before="0" w:after="40"/>
            </w:pPr>
            <w:r>
              <w:rPr>
                <w:rFonts w:ascii="Arial" w:cs="Arial" w:eastAsia="Arial" w:hAnsi="Arial"/>
                <w:b/>
                <w:bCs/>
                <w:color w:val="595959"/>
                <w:sz w:val="18"/>
                <w:szCs w:val="18"/>
              </w:rPr>
              <w:t xml:space="preserve">💬  Phrase type pour l’amener en négociation :</w:t>
            </w:r>
          </w:p>
          <w:p>
            <w:pPr>
              <w:spacing w:before="0" w:after="0"/>
            </w:pPr>
            <w:r>
              <w:rPr>
                <w:rFonts w:ascii="Arial" w:cs="Arial" w:eastAsia="Arial" w:hAnsi="Arial"/>
                <w:b/>
                <w:bCs/>
                <w:color w:val="375623"/>
                <w:sz w:val="21"/>
                <w:szCs w:val="21"/>
              </w:rPr>
              <w:t xml:space="preserve">“</w:t>
            </w:r>
            <w:r>
              <w:rPr>
                <w:rFonts w:ascii="Arial" w:cs="Arial" w:eastAsia="Arial" w:hAnsi="Arial"/>
                <w:i/>
                <w:iCs/>
                <w:color w:val="1F3864"/>
                <w:sz w:val="19"/>
                <w:szCs w:val="19"/>
              </w:rPr>
              <w:t xml:space="preserve">La certification PMP est reconnue dans 190 pays et est financement possible via le plan de formation de l’entreprise (OPCO 2i, métallurgie). En retour, vous avez un ingénieur capable de piloter des programmes en autonomie, sans avoir à recruter ou missionner un chef de projet externe sur vos nouveaux développements siège.</w:t>
            </w:r>
            <w:r>
              <w:rPr>
                <w:rFonts w:ascii="Arial" w:cs="Arial" w:eastAsia="Arial" w:hAnsi="Arial"/>
                <w:b/>
                <w:bCs/>
                <w:color w:val="375623"/>
                <w:sz w:val="21"/>
                <w:szCs w:val="21"/>
              </w:rPr>
              <w:t xml:space="preserve">”</w:t>
            </w:r>
          </w:p>
        </w:tc>
      </w:tr>
    </w:tbl>
    <w:p>
      <w:pPr>
        <w:spacing w:before="70" w:after="55"/>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pPr>
              <w:jc w:val="center"/>
            </w:pPr>
            <w:r>
              <w:rPr>
                <w:rFonts w:ascii="Arial" w:cs="Arial" w:eastAsia="Arial" w:hAnsi="Arial"/>
                <w:b/>
                <w:bCs/>
                <w:color w:val="FFFFFF"/>
                <w:sz w:val="22"/>
                <w:szCs w:val="22"/>
              </w:rPr>
              <w:t xml:space="preserve">P5</w:t>
            </w:r>
          </w:p>
          <w:p>
            <w:pPr>
              <w:jc w:val="center"/>
            </w:pPr>
            <w:r>
              <w:rPr>
                <w:rFonts w:ascii="Arial" w:cs="Arial" w:eastAsia="Arial" w:hAnsi="Arial"/>
                <w:b/>
                <w:bCs/>
                <w:color w:val="FFFFFF"/>
                <w:sz w:val="14"/>
                <w:szCs w:val="14"/>
              </w:rPr>
              <w:t xml:space="preserve">✔ VÉRIFIÉ</w:t>
            </w:r>
          </w:p>
        </w:tc>
        <w:tc>
          <w:tcPr>
            <w:tcW w:type="dxa" w:w="9020"/>
            <w:tcBorders>
              <w:top w:val="single" w:color="375623" w:sz="6"/>
              <w:left w:val="none" w:color="FFFFFF" w:sz="0"/>
              <w:bottom w:val="single" w:color="375623" w:sz="6"/>
              <w:right w:val="single" w:color="375623" w:sz="6"/>
            </w:tcBorders>
            <w:shd w:fill="E2EFDA" w:val="clear"/>
            <w:tcMar>
              <w:top w:type="dxa" w:w="90"/>
              <w:left w:type="dxa" w:w="150"/>
              <w:bottom w:type="dxa" w:w="90"/>
              <w:right w:type="dxa" w:w="150"/>
            </w:tcMar>
          </w:tcPr>
          <w:p>
            <w:pPr>
              <w:spacing w:before="0" w:after="20"/>
            </w:pPr>
            <w:r>
              <w:rPr>
                <w:rFonts w:ascii="Arial" w:cs="Arial" w:eastAsia="Arial" w:hAnsi="Arial"/>
                <w:b/>
                <w:bCs/>
                <w:color w:val="1F3864"/>
                <w:sz w:val="23"/>
                <w:szCs w:val="23"/>
              </w:rPr>
              <w:t xml:space="preserve">DFMA — Design for Manufacturing and Assembly</w:t>
            </w:r>
          </w:p>
          <w:p>
            <w:pPr>
              <w:spacing w:before="0" w:after="50"/>
            </w:pPr>
            <w:r>
              <w:rPr>
                <w:rFonts w:ascii="Arial" w:cs="Arial" w:eastAsia="Arial" w:hAnsi="Arial"/>
                <w:color w:val="595959"/>
                <w:sz w:val="18"/>
                <w:szCs w:val="18"/>
              </w:rPr>
              <w:t xml:space="preserve">2 jours (+ 6 mois support post-formation)   —   </w:t>
            </w:r>
            <w:r>
              <w:rPr>
                <w:rFonts w:ascii="Arial" w:cs="Arial" w:eastAsia="Arial" w:hAnsi="Arial"/>
                <w:b/>
                <w:bCs/>
                <w:color w:val="375623"/>
                <w:sz w:val="18"/>
                <w:szCs w:val="18"/>
              </w:rPr>
              <w:t xml:space="preserve">1 000 – 1 800 €</w:t>
            </w:r>
            <w:r>
              <w:rPr>
                <w:rFonts w:ascii="Arial" w:cs="Arial" w:eastAsia="Arial" w:hAnsi="Arial"/>
                <w:color w:val="595959"/>
                <w:sz w:val="18"/>
                <w:szCs w:val="18"/>
              </w:rPr>
              <w:t xml:space="preserve">   —   </w:t>
            </w:r>
            <w:r>
              <w:rPr>
                <w:rFonts w:ascii="Arial" w:cs="Arial" w:eastAsia="Arial" w:hAnsi="Arial"/>
                <w:b/>
                <w:bCs/>
                <w:color w:val="375623"/>
                <w:sz w:val="18"/>
                <w:szCs w:val="18"/>
              </w:rPr>
              <w:t xml:space="preserve">PRIORITÉ 2 — horizon 6–12 mois</w:t>
            </w:r>
            <w:r>
              <w:rPr>
                <w:rFonts w:ascii="Arial" w:cs="Arial" w:eastAsia="Arial" w:hAnsi="Arial"/>
                <w:color w:val="595959"/>
                <w:sz w:val="18"/>
                <w:szCs w:val="18"/>
              </w:rPr>
              <w:t xml:space="preserve">   —   </w:t>
            </w:r>
            <w:r>
              <w:rPr>
                <w:rFonts w:ascii="Arial" w:cs="Arial" w:eastAsia="Arial" w:hAnsi="Arial"/>
                <w:b/>
                <w:bCs/>
                <w:color w:val="1B5E20"/>
                <w:sz w:val="18"/>
                <w:szCs w:val="18"/>
              </w:rPr>
              <w:t xml:space="preserve">✔ VÉRIFIÉ</w:t>
            </w:r>
          </w:p>
          <w:p>
            <w:pPr>
              <w:spacing w:before="0" w:after="40"/>
            </w:pPr>
            <w:r>
              <w:rPr>
                <w:rFonts w:ascii="Arial" w:cs="Arial" w:eastAsia="Arial" w:hAnsi="Arial"/>
                <w:b/>
                <w:bCs/>
                <w:color w:val="1F3864"/>
                <w:sz w:val="19"/>
                <w:szCs w:val="19"/>
              </w:rPr>
              <w:t xml:space="preserve">🏫  Organismes délivrant la formation / l’accréditation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500"/>
            </w:tblGrid>
            <w:tr>
              <w:trPr>
                <w:tblHeader/>
              </w:trPr>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Organisme</w:t>
                  </w:r>
                </w:p>
              </w:tc>
              <w:tc>
                <w:tcPr>
                  <w:tcW w:type="dxa" w:w="28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Rôle</w:t>
                  </w:r>
                </w:p>
              </w:tc>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Site</w:t>
                  </w:r>
                </w:p>
              </w:tc>
              <w:tc>
                <w:tcPr>
                  <w:tcW w:type="dxa" w:w="15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Accréditation</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375623"/>
                      <w:sz w:val="18"/>
                      <w:szCs w:val="18"/>
                    </w:rPr>
                    <w:t xml:space="preserve">Vertice Engineering</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Formation DFMA avec 6 mois support post-formation, intra/inter</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vertice-engineering.com/fr/training</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Qualiopi</w:t>
                  </w:r>
                </w:p>
              </w:tc>
            </w:tr>
            <w:tr>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375623"/>
                      <w:sz w:val="18"/>
                      <w:szCs w:val="18"/>
                    </w:rPr>
                    <w:t xml:space="preserve">CETIM (Senlis)</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Modules méthodes de production et industrialisation incluant DFMA</w:t>
                  </w:r>
                </w:p>
              </w:tc>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cetim.fr/formation</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Qualiopi</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375623"/>
                      <w:sz w:val="18"/>
                      <w:szCs w:val="18"/>
                    </w:rPr>
                    <w:t xml:space="preserve">Boothroyd Dewhurst Inc.</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Éditeur logiciel DFMA® + certifications professionnelles DFA/DFM</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dfma.com</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Référence internationale</w:t>
                  </w:r>
                </w:p>
              </w:tc>
            </w:tr>
          </w:tbl>
          <w:p>
            <w:pPr>
              <w:spacing w:before="60" w:after="50"/>
            </w:pPr>
            <w:r>
              <w:rPr>
                <w:rFonts w:ascii="Arial" w:cs="Arial" w:eastAsia="Arial" w:hAnsi="Arial"/>
                <w:sz w:val="21"/>
                <w:szCs w:val="21"/>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tblGrid>
            <w:tr>
              <w:tc>
                <w:tcPr>
                  <w:tcW w:type="dxa" w:w="29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Pour l’entreprise</w:t>
                  </w:r>
                </w:p>
              </w:tc>
              <w:tc>
                <w:tcPr>
                  <w:tcW w:type="dxa" w:w="29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Pour vous</w:t>
                  </w:r>
                </w:p>
              </w:tc>
              <w:tc>
                <w:tcPr>
                  <w:tcW w:type="dxa" w:w="29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ROI mesurable</w:t>
                  </w:r>
                </w:p>
              </w:tc>
            </w:tr>
            <w:tr>
              <w:tc>
                <w:tcPr>
                  <w:tcW w:type="dxa" w:w="29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Réduction des non-conformités de production. Diminution des Engineering Change Orders (ECO). ROI financier mesurable sur les coûts de série.</w:t>
                  </w:r>
                </w:p>
              </w:tc>
              <w:tc>
                <w:tcPr>
                  <w:tcW w:type="dxa" w:w="29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Compétence rare qui relie conception et production. Directement applicable sur le siège innovant. Élimine la principale critique faite aux ingénieurs BE.</w:t>
                  </w:r>
                </w:p>
              </w:tc>
              <w:tc>
                <w:tcPr>
                  <w:tcW w:type="dxa" w:w="29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r>
                    <w:rPr>
                      <w:rFonts w:ascii="Arial" w:cs="Arial" w:eastAsia="Arial" w:hAnsi="Arial"/>
                      <w:b/>
                      <w:bCs/>
                      <w:color w:val="375623"/>
                      <w:sz w:val="18"/>
                      <w:szCs w:val="18"/>
                    </w:rPr>
                    <w:t xml:space="preserve">Réduction ECO et défauts évités en série. Industrie : réduction moyenne 54 % du nombre de pièces.</w:t>
                  </w:r>
                </w:p>
              </w:tc>
            </w:tr>
          </w:tbl>
          <w:p>
            <w:pPr>
              <w:spacing w:before="60" w:after="50"/>
            </w:pPr>
            <w:r>
              <w:rPr>
                <w:rFonts w:ascii="Arial" w:cs="Arial" w:eastAsia="Arial" w:hAnsi="Arial"/>
                <w:sz w:val="21"/>
                <w:szCs w:val="21"/>
              </w:rPr>
              <w:t xml:space="preserve"/>
            </w:r>
          </w:p>
          <w:p>
            <w:pPr>
              <w:spacing w:before="0" w:after="40"/>
            </w:pPr>
            <w:r>
              <w:rPr>
                <w:rFonts w:ascii="Arial" w:cs="Arial" w:eastAsia="Arial" w:hAnsi="Arial"/>
                <w:b/>
                <w:bCs/>
                <w:color w:val="595959"/>
                <w:sz w:val="18"/>
                <w:szCs w:val="18"/>
              </w:rPr>
              <w:t xml:space="preserve">💬  Phrase type pour l’amener en négociation :</w:t>
            </w:r>
          </w:p>
          <w:p>
            <w:pPr>
              <w:spacing w:before="0" w:after="0"/>
            </w:pPr>
            <w:r>
              <w:rPr>
                <w:rFonts w:ascii="Arial" w:cs="Arial" w:eastAsia="Arial" w:hAnsi="Arial"/>
                <w:b/>
                <w:bCs/>
                <w:color w:val="375623"/>
                <w:sz w:val="21"/>
                <w:szCs w:val="21"/>
              </w:rPr>
              <w:t xml:space="preserve">“</w:t>
            </w:r>
            <w:r>
              <w:rPr>
                <w:rFonts w:ascii="Arial" w:cs="Arial" w:eastAsia="Arial" w:hAnsi="Arial"/>
                <w:i/>
                <w:iCs/>
                <w:color w:val="1F3864"/>
                <w:sz w:val="19"/>
                <w:szCs w:val="19"/>
              </w:rPr>
              <w:t xml:space="preserve">Le DFMA est une formation à ROI mesurable directement sur les coûts de fabrication. Les études montrent que les non-conformités évitées par une meilleure conception pour la fab valent 5 à 10 fois le coût de la formation dès le premier programme. Chez Vertice Engineering, le support post-formation de 6 mois garantit l’application réelle sur vos pièces.</w:t>
            </w:r>
            <w:r>
              <w:rPr>
                <w:rFonts w:ascii="Arial" w:cs="Arial" w:eastAsia="Arial" w:hAnsi="Arial"/>
                <w:b/>
                <w:bCs/>
                <w:color w:val="375623"/>
                <w:sz w:val="21"/>
                <w:szCs w:val="21"/>
              </w:rPr>
              <w:t xml:space="preserve">”</w:t>
            </w:r>
          </w:p>
        </w:tc>
      </w:tr>
    </w:tbl>
    <w:p>
      <w:pPr>
        <w:spacing w:before="70" w:after="55"/>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pPr>
              <w:jc w:val="center"/>
            </w:pPr>
            <w:r>
              <w:rPr>
                <w:rFonts w:ascii="Arial" w:cs="Arial" w:eastAsia="Arial" w:hAnsi="Arial"/>
                <w:b/>
                <w:bCs/>
                <w:color w:val="FFFFFF"/>
                <w:sz w:val="22"/>
                <w:szCs w:val="22"/>
              </w:rPr>
              <w:t xml:space="preserve">P6</w:t>
            </w:r>
          </w:p>
          <w:p>
            <w:pPr>
              <w:jc w:val="center"/>
            </w:pPr>
            <w:r>
              <w:rPr>
                <w:rFonts w:ascii="Arial" w:cs="Arial" w:eastAsia="Arial" w:hAnsi="Arial"/>
                <w:b/>
                <w:bCs/>
                <w:color w:val="FFFFFF"/>
                <w:sz w:val="14"/>
                <w:szCs w:val="14"/>
              </w:rPr>
              <w:t xml:space="preserve">✔ VÉRIFIÉ</w:t>
            </w:r>
          </w:p>
        </w:tc>
        <w:tc>
          <w:tcPr>
            <w:tcW w:type="dxa" w:w="9020"/>
            <w:tcBorders>
              <w:top w:val="single" w:color="375623" w:sz="6"/>
              <w:left w:val="none" w:color="FFFFFF" w:sz="0"/>
              <w:bottom w:val="single" w:color="375623" w:sz="6"/>
              <w:right w:val="single" w:color="375623" w:sz="6"/>
            </w:tcBorders>
            <w:shd w:fill="E2EFDA" w:val="clear"/>
            <w:tcMar>
              <w:top w:type="dxa" w:w="90"/>
              <w:left w:type="dxa" w:w="150"/>
              <w:bottom w:type="dxa" w:w="90"/>
              <w:right w:type="dxa" w:w="150"/>
            </w:tcMar>
          </w:tcPr>
          <w:p>
            <w:pPr>
              <w:spacing w:before="0" w:after="20"/>
            </w:pPr>
            <w:r>
              <w:rPr>
                <w:rFonts w:ascii="Arial" w:cs="Arial" w:eastAsia="Arial" w:hAnsi="Arial"/>
                <w:b/>
                <w:bCs/>
                <w:color w:val="1F3864"/>
                <w:sz w:val="23"/>
                <w:szCs w:val="23"/>
              </w:rPr>
              <w:t xml:space="preserve">FEA Avancée ANSYS — Dynamique, Fatigue, Multi-physique</w:t>
            </w:r>
          </w:p>
          <w:p>
            <w:pPr>
              <w:spacing w:before="0" w:after="50"/>
            </w:pPr>
            <w:r>
              <w:rPr>
                <w:rFonts w:ascii="Arial" w:cs="Arial" w:eastAsia="Arial" w:hAnsi="Arial"/>
                <w:color w:val="595959"/>
                <w:sz w:val="18"/>
                <w:szCs w:val="18"/>
              </w:rPr>
              <w:t xml:space="preserve">2à4 jours selon module   —   </w:t>
            </w:r>
            <w:r>
              <w:rPr>
                <w:rFonts w:ascii="Arial" w:cs="Arial" w:eastAsia="Arial" w:hAnsi="Arial"/>
                <w:b/>
                <w:bCs/>
                <w:color w:val="375623"/>
                <w:sz w:val="18"/>
                <w:szCs w:val="18"/>
              </w:rPr>
              <w:t xml:space="preserve">1 500 – 3 500 € par module</w:t>
            </w:r>
            <w:r>
              <w:rPr>
                <w:rFonts w:ascii="Arial" w:cs="Arial" w:eastAsia="Arial" w:hAnsi="Arial"/>
                <w:color w:val="595959"/>
                <w:sz w:val="18"/>
                <w:szCs w:val="18"/>
              </w:rPr>
              <w:t xml:space="preserve">   —   </w:t>
            </w:r>
            <w:r>
              <w:rPr>
                <w:rFonts w:ascii="Arial" w:cs="Arial" w:eastAsia="Arial" w:hAnsi="Arial"/>
                <w:b/>
                <w:bCs/>
                <w:color w:val="375623"/>
                <w:sz w:val="18"/>
                <w:szCs w:val="18"/>
              </w:rPr>
              <w:t xml:space="preserve">PRIORITÉ 2 — horizon 12 mois</w:t>
            </w:r>
            <w:r>
              <w:rPr>
                <w:rFonts w:ascii="Arial" w:cs="Arial" w:eastAsia="Arial" w:hAnsi="Arial"/>
                <w:color w:val="595959"/>
                <w:sz w:val="18"/>
                <w:szCs w:val="18"/>
              </w:rPr>
              <w:t xml:space="preserve">   —   </w:t>
            </w:r>
            <w:r>
              <w:rPr>
                <w:rFonts w:ascii="Arial" w:cs="Arial" w:eastAsia="Arial" w:hAnsi="Arial"/>
                <w:b/>
                <w:bCs/>
                <w:color w:val="1B5E20"/>
                <w:sz w:val="18"/>
                <w:szCs w:val="18"/>
              </w:rPr>
              <w:t xml:space="preserve">✔ VÉRIFIÉ</w:t>
            </w:r>
          </w:p>
          <w:p>
            <w:pPr>
              <w:spacing w:before="0" w:after="40"/>
            </w:pPr>
            <w:r>
              <w:rPr>
                <w:rFonts w:ascii="Arial" w:cs="Arial" w:eastAsia="Arial" w:hAnsi="Arial"/>
                <w:b/>
                <w:bCs/>
                <w:color w:val="1F3864"/>
                <w:sz w:val="19"/>
                <w:szCs w:val="19"/>
              </w:rPr>
              <w:t xml:space="preserve">🏫  Organismes délivrant la formation / l’accréditation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500"/>
            </w:tblGrid>
            <w:tr>
              <w:trPr>
                <w:tblHeader/>
              </w:trPr>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Organisme</w:t>
                  </w:r>
                </w:p>
              </w:tc>
              <w:tc>
                <w:tcPr>
                  <w:tcW w:type="dxa" w:w="28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Rôle</w:t>
                  </w:r>
                </w:p>
              </w:tc>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Site</w:t>
                  </w:r>
                </w:p>
              </w:tc>
              <w:tc>
                <w:tcPr>
                  <w:tcW w:type="dxa" w:w="15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Accréditation</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375623"/>
                      <w:sz w:val="18"/>
                      <w:szCs w:val="18"/>
                    </w:rPr>
                    <w:t xml:space="preserve">Simutech Group</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Cours ANSYS officiels acrédités (statique, dynamique, fatigue, thermique)</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simutechgroup.com/fr</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ANSYS Authorized Training Partner</w:t>
                  </w:r>
                </w:p>
              </w:tc>
            </w:tr>
            <w:tr>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375623"/>
                      <w:sz w:val="18"/>
                      <w:szCs w:val="18"/>
                    </w:rPr>
                    <w:t xml:space="preserve">ADDL (Cachan, IDF)</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Spécialiste ANSYS depuis 1993, formations et assistance technique France</w:t>
                  </w:r>
                </w:p>
              </w:tc>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addl.fr</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ANSYS Channel Partner</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375623"/>
                      <w:sz w:val="18"/>
                      <w:szCs w:val="18"/>
                    </w:rPr>
                    <w:t xml:space="preserve">ETC Academy France</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Formation ANSYS Mechanical toutes versions</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etc-academy-france.com</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Partenaire ANSYS</w:t>
                  </w:r>
                </w:p>
              </w:tc>
            </w:tr>
            <w:tr>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375623"/>
                      <w:sz w:val="18"/>
                      <w:szCs w:val="18"/>
                    </w:rPr>
                    <w:t xml:space="preserve">Ansys Innovation Space</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Certifications officielles ANSYS (Associate, Professional)</w:t>
                  </w:r>
                </w:p>
              </w:tc>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innovationspace.ansys.com/certifications</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Délivré par l’éditeur</w:t>
                  </w:r>
                </w:p>
              </w:tc>
            </w:tr>
          </w:tbl>
          <w:p>
            <w:pPr>
              <w:spacing w:before="60" w:after="50"/>
            </w:pPr>
            <w:r>
              <w:rPr>
                <w:rFonts w:ascii="Arial" w:cs="Arial" w:eastAsia="Arial" w:hAnsi="Arial"/>
                <w:sz w:val="21"/>
                <w:szCs w:val="21"/>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tblGrid>
            <w:tr>
              <w:tc>
                <w:tcPr>
                  <w:tcW w:type="dxa" w:w="29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Pour l’entreprise</w:t>
                  </w:r>
                </w:p>
              </w:tc>
              <w:tc>
                <w:tcPr>
                  <w:tcW w:type="dxa" w:w="29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Pour vous</w:t>
                  </w:r>
                </w:p>
              </w:tc>
              <w:tc>
                <w:tcPr>
                  <w:tcW w:type="dxa" w:w="29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ROI mesurable</w:t>
                  </w:r>
                </w:p>
              </w:tc>
            </w:tr>
            <w:tr>
              <w:tc>
                <w:tcPr>
                  <w:tcW w:type="dxa" w:w="29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Capacité interne à traiter les cas de calcul complexes. Réduction des sous-traitances de simulation et des délais de validation.</w:t>
                  </w:r>
                </w:p>
              </w:tc>
              <w:tc>
                <w:tcPr>
                  <w:tcW w:type="dxa" w:w="29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Passage de « utilisateur FEA » à « expert FEA ». La personne à qui on soumet les cas critiques — positionnement G13-G14.</w:t>
                  </w:r>
                </w:p>
              </w:tc>
              <w:tc>
                <w:tcPr>
                  <w:tcW w:type="dxa" w:w="29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r>
                    <w:rPr>
                      <w:rFonts w:ascii="Arial" w:cs="Arial" w:eastAsia="Arial" w:hAnsi="Arial"/>
                      <w:b/>
                      <w:bCs/>
                      <w:color w:val="375623"/>
                      <w:sz w:val="18"/>
                      <w:szCs w:val="18"/>
                    </w:rPr>
                    <w:t xml:space="preserve">Réduction des missions de calcul externalisées. Autonomie sur les cas de qualification.</w:t>
                  </w:r>
                </w:p>
              </w:tc>
            </w:tr>
          </w:tbl>
          <w:p>
            <w:pPr>
              <w:spacing w:before="60" w:after="50"/>
            </w:pPr>
            <w:r>
              <w:rPr>
                <w:rFonts w:ascii="Arial" w:cs="Arial" w:eastAsia="Arial" w:hAnsi="Arial"/>
                <w:sz w:val="21"/>
                <w:szCs w:val="21"/>
              </w:rPr>
              <w:t xml:space="preserve"/>
            </w:r>
          </w:p>
          <w:p>
            <w:pPr>
              <w:spacing w:before="0" w:after="40"/>
            </w:pPr>
            <w:r>
              <w:rPr>
                <w:rFonts w:ascii="Arial" w:cs="Arial" w:eastAsia="Arial" w:hAnsi="Arial"/>
                <w:b/>
                <w:bCs/>
                <w:color w:val="595959"/>
                <w:sz w:val="18"/>
                <w:szCs w:val="18"/>
              </w:rPr>
              <w:t xml:space="preserve">💬  Phrase type pour l’amener en négociation :</w:t>
            </w:r>
          </w:p>
          <w:p>
            <w:pPr>
              <w:spacing w:before="0" w:after="0"/>
            </w:pPr>
            <w:r>
              <w:rPr>
                <w:rFonts w:ascii="Arial" w:cs="Arial" w:eastAsia="Arial" w:hAnsi="Arial"/>
                <w:b/>
                <w:bCs/>
                <w:color w:val="375623"/>
                <w:sz w:val="21"/>
                <w:szCs w:val="21"/>
              </w:rPr>
              <w:t xml:space="preserve">“</w:t>
            </w:r>
            <w:r>
              <w:rPr>
                <w:rFonts w:ascii="Arial" w:cs="Arial" w:eastAsia="Arial" w:hAnsi="Arial"/>
                <w:i/>
                <w:iCs/>
                <w:color w:val="1F3864"/>
                <w:sz w:val="19"/>
                <w:szCs w:val="19"/>
              </w:rPr>
              <w:t xml:space="preserve">Une formation FEA avancée via Simutech (partenaire ANSYS officiel) me permettrait d’assurer en autonomie les analyses dynamiques et de fatigue sur nos sièges. Aujourd’hui, ces calculs nécessitent soit un prestataire, soit des délais rallongeant les jalons. Je deviens la référence interne sur ces cas critiques.</w:t>
            </w:r>
            <w:r>
              <w:rPr>
                <w:rFonts w:ascii="Arial" w:cs="Arial" w:eastAsia="Arial" w:hAnsi="Arial"/>
                <w:b/>
                <w:bCs/>
                <w:color w:val="375623"/>
                <w:sz w:val="21"/>
                <w:szCs w:val="21"/>
              </w:rPr>
              <w:t xml:space="preserve">”</w:t>
            </w:r>
          </w:p>
        </w:tc>
      </w:tr>
    </w:tbl>
    <w:p>
      <w:pPr>
        <w:spacing w:before="70" w:after="55"/>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5A11" w:sz="6"/>
              <w:left w:val="single" w:color="C55A11" w:sz="6"/>
              <w:bottom w:val="single" w:color="C55A11" w:sz="6"/>
              <w:right w:val="single" w:color="C55A11" w:sz="6"/>
            </w:tcBorders>
            <w:shd w:fill="C55A11" w:val="clear"/>
            <w:tcMar>
              <w:top w:type="dxa" w:w="80"/>
              <w:left w:type="dxa" w:w="150"/>
              <w:bottom w:type="dxa" w:w="80"/>
              <w:right w:type="dxa" w:w="150"/>
            </w:tcMar>
          </w:tcPr>
          <w:p>
            <w:pPr>
              <w:jc w:val="center"/>
            </w:pPr>
            <w:r>
              <w:rPr>
                <w:rFonts w:ascii="Arial" w:cs="Arial" w:eastAsia="Arial" w:hAnsi="Arial"/>
                <w:b/>
                <w:bCs/>
                <w:color w:val="FFFFFF"/>
                <w:sz w:val="22"/>
                <w:szCs w:val="22"/>
              </w:rPr>
              <w:t xml:space="preserve">🟠  PRIORITÉ 3 — HORIZON 18 À 24 MOIS — Différenciation long terme</w:t>
            </w:r>
          </w:p>
        </w:tc>
      </w:tr>
    </w:tbl>
    <w:p>
      <w:pPr>
        <w:spacing w:before="7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jc w:val="center"/>
            </w:pPr>
            <w:r>
              <w:rPr>
                <w:rFonts w:ascii="Arial" w:cs="Arial" w:eastAsia="Arial" w:hAnsi="Arial"/>
                <w:b/>
                <w:bCs/>
                <w:color w:val="FFFFFF"/>
                <w:sz w:val="22"/>
                <w:szCs w:val="22"/>
              </w:rPr>
              <w:t xml:space="preserve">P7</w:t>
            </w:r>
          </w:p>
          <w:p>
            <w:pPr>
              <w:jc w:val="center"/>
            </w:pPr>
            <w:r>
              <w:rPr>
                <w:rFonts w:ascii="Arial" w:cs="Arial" w:eastAsia="Arial" w:hAnsi="Arial"/>
                <w:b/>
                <w:bCs/>
                <w:color w:val="FFFFFF"/>
                <w:sz w:val="14"/>
                <w:szCs w:val="14"/>
              </w:rPr>
              <w:t xml:space="preserve">✔ VÉRIFIÉ</w:t>
            </w:r>
          </w:p>
        </w:tc>
        <w:tc>
          <w:tcPr>
            <w:tcW w:type="dxa" w:w="9020"/>
            <w:tcBorders>
              <w:top w:val="single" w:color="C55A11" w:sz="6"/>
              <w:left w:val="none" w:color="FFFFFF" w:sz="0"/>
              <w:bottom w:val="single" w:color="C55A11" w:sz="6"/>
              <w:right w:val="single" w:color="C55A11" w:sz="6"/>
            </w:tcBorders>
            <w:shd w:fill="FCE4D6" w:val="clear"/>
            <w:tcMar>
              <w:top w:type="dxa" w:w="90"/>
              <w:left w:type="dxa" w:w="150"/>
              <w:bottom w:type="dxa" w:w="90"/>
              <w:right w:type="dxa" w:w="150"/>
            </w:tcMar>
          </w:tcPr>
          <w:p>
            <w:pPr>
              <w:spacing w:before="0" w:after="20"/>
            </w:pPr>
            <w:r>
              <w:rPr>
                <w:rFonts w:ascii="Arial" w:cs="Arial" w:eastAsia="Arial" w:hAnsi="Arial"/>
                <w:b/>
                <w:bCs/>
                <w:color w:val="1F3864"/>
                <w:sz w:val="23"/>
                <w:szCs w:val="23"/>
              </w:rPr>
              <w:t xml:space="preserve">Fabrication Additive — DfAM &amp; Conception pour l’Impression 3D Métal</w:t>
            </w:r>
          </w:p>
          <w:p>
            <w:pPr>
              <w:spacing w:before="0" w:after="50"/>
            </w:pPr>
            <w:r>
              <w:rPr>
                <w:rFonts w:ascii="Arial" w:cs="Arial" w:eastAsia="Arial" w:hAnsi="Arial"/>
                <w:color w:val="595959"/>
                <w:sz w:val="18"/>
                <w:szCs w:val="18"/>
              </w:rPr>
              <w:t xml:space="preserve">2à3 jours   —   </w:t>
            </w:r>
            <w:r>
              <w:rPr>
                <w:rFonts w:ascii="Arial" w:cs="Arial" w:eastAsia="Arial" w:hAnsi="Arial"/>
                <w:b/>
                <w:bCs/>
                <w:color w:val="C55A11"/>
                <w:sz w:val="18"/>
                <w:szCs w:val="18"/>
              </w:rPr>
              <w:t xml:space="preserve">1 200 – 2 500 €</w:t>
            </w:r>
            <w:r>
              <w:rPr>
                <w:rFonts w:ascii="Arial" w:cs="Arial" w:eastAsia="Arial" w:hAnsi="Arial"/>
                <w:color w:val="595959"/>
                <w:sz w:val="18"/>
                <w:szCs w:val="18"/>
              </w:rPr>
              <w:t xml:space="preserve">   —   </w:t>
            </w:r>
            <w:r>
              <w:rPr>
                <w:rFonts w:ascii="Arial" w:cs="Arial" w:eastAsia="Arial" w:hAnsi="Arial"/>
                <w:b/>
                <w:bCs/>
                <w:color w:val="C55A11"/>
                <w:sz w:val="18"/>
                <w:szCs w:val="18"/>
              </w:rPr>
              <w:t xml:space="preserve">PRIORITÉ 3 — horizon 18–24 mois</w:t>
            </w:r>
            <w:r>
              <w:rPr>
                <w:rFonts w:ascii="Arial" w:cs="Arial" w:eastAsia="Arial" w:hAnsi="Arial"/>
                <w:color w:val="595959"/>
                <w:sz w:val="18"/>
                <w:szCs w:val="18"/>
              </w:rPr>
              <w:t xml:space="preserve">   —   </w:t>
            </w:r>
            <w:r>
              <w:rPr>
                <w:rFonts w:ascii="Arial" w:cs="Arial" w:eastAsia="Arial" w:hAnsi="Arial"/>
                <w:b/>
                <w:bCs/>
                <w:color w:val="1B5E20"/>
                <w:sz w:val="18"/>
                <w:szCs w:val="18"/>
              </w:rPr>
              <w:t xml:space="preserve">✔ VÉRIFIÉ</w:t>
            </w:r>
          </w:p>
          <w:p>
            <w:pPr>
              <w:spacing w:before="0" w:after="40"/>
            </w:pPr>
            <w:r>
              <w:rPr>
                <w:rFonts w:ascii="Arial" w:cs="Arial" w:eastAsia="Arial" w:hAnsi="Arial"/>
                <w:b/>
                <w:bCs/>
                <w:color w:val="1F3864"/>
                <w:sz w:val="19"/>
                <w:szCs w:val="19"/>
              </w:rPr>
              <w:t xml:space="preserve">🏫  Organismes délivrant la formation / l’accréditation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500"/>
            </w:tblGrid>
            <w:tr>
              <w:trPr>
                <w:tblHeader/>
              </w:trPr>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Organisme</w:t>
                  </w:r>
                </w:p>
              </w:tc>
              <w:tc>
                <w:tcPr>
                  <w:tcW w:type="dxa" w:w="28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Rôle</w:t>
                  </w:r>
                </w:p>
              </w:tc>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Site</w:t>
                  </w:r>
                </w:p>
              </w:tc>
              <w:tc>
                <w:tcPr>
                  <w:tcW w:type="dxa" w:w="15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Accréditation</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C55A11"/>
                      <w:sz w:val="18"/>
                      <w:szCs w:val="18"/>
                    </w:rPr>
                    <w:t xml:space="preserve">CETIM (Senlis + Paris)</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Formation FA métal : LBM, EBM, WAAM, démarche de conception DfAM</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cetim.fr/formation/fabrication-additive</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Qualiopi — Institut de référence France</w:t>
                  </w:r>
                </w:p>
              </w:tc>
            </w:tr>
            <w:tr>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C55A11"/>
                      <w:sz w:val="18"/>
                      <w:szCs w:val="18"/>
                    </w:rPr>
                    <w:t xml:space="preserve">Materialise</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Formation DfAM polymeres et métal pour l’aéronautique, en ligne et présentiel</w:t>
                  </w:r>
                </w:p>
              </w:tc>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materialise.com/en/academy</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Spécialiste FA</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C55A11"/>
                      <w:sz w:val="18"/>
                      <w:szCs w:val="18"/>
                    </w:rPr>
                    <w:t xml:space="preserve">Certif. CCP — Conception FA</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Certification professionnelle inscrite au répertoire national (fév. 2025)</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intercariforef.org</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France Compétences</w:t>
                  </w:r>
                </w:p>
              </w:tc>
            </w:tr>
          </w:tbl>
          <w:p>
            <w:pPr>
              <w:spacing w:before="60" w:after="50"/>
            </w:pPr>
            <w:r>
              <w:rPr>
                <w:rFonts w:ascii="Arial" w:cs="Arial" w:eastAsia="Arial" w:hAnsi="Arial"/>
                <w:sz w:val="21"/>
                <w:szCs w:val="21"/>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tblGrid>
            <w:tr>
              <w:tc>
                <w:tcPr>
                  <w:tcW w:type="dxa" w:w="2900"/>
                  <w:tcBorders>
                    <w:top w:val="single" w:color="777777" w:sz="6"/>
                    <w:left w:val="single" w:color="777777" w:sz="6"/>
                    <w:bottom w:val="single" w:color="777777" w:sz="6"/>
                    <w:right w:val="single" w:color="777777" w:sz="6"/>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Pour l’entreprise</w:t>
                  </w:r>
                </w:p>
              </w:tc>
              <w:tc>
                <w:tcPr>
                  <w:tcW w:type="dxa" w:w="2900"/>
                  <w:tcBorders>
                    <w:top w:val="single" w:color="777777" w:sz="6"/>
                    <w:left w:val="single" w:color="777777" w:sz="6"/>
                    <w:bottom w:val="single" w:color="777777" w:sz="6"/>
                    <w:right w:val="single" w:color="777777" w:sz="6"/>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Pour vous</w:t>
                  </w:r>
                </w:p>
              </w:tc>
              <w:tc>
                <w:tcPr>
                  <w:tcW w:type="dxa" w:w="2900"/>
                  <w:tcBorders>
                    <w:top w:val="single" w:color="777777" w:sz="6"/>
                    <w:left w:val="single" w:color="777777" w:sz="6"/>
                    <w:bottom w:val="single" w:color="777777" w:sz="6"/>
                    <w:right w:val="single" w:color="777777" w:sz="6"/>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ROI mesurable</w:t>
                  </w:r>
                </w:p>
              </w:tc>
            </w:tr>
            <w:tr>
              <w:tc>
                <w:tcPr>
                  <w:tcW w:type="dxa" w:w="2900"/>
                  <w:tcBorders>
                    <w:top w:val="single" w:color="BBBBBB" w:sz="6"/>
                    <w:left w:val="single" w:color="BBBBBB" w:sz="6"/>
                    <w:bottom w:val="single" w:color="BBBBBB" w:sz="6"/>
                    <w:right w:val="single" w:color="BBBBBB" w:sz="6"/>
                  </w:tcBorders>
                  <w:shd w:fill="FCE4D6"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Antériorité sur une technologie structurante pour les sièges légers aero et ferro. Positionnement sur les AO nécessitant des compétences FA.</w:t>
                  </w:r>
                </w:p>
              </w:tc>
              <w:tc>
                <w:tcPr>
                  <w:tcW w:type="dxa" w:w="2900"/>
                  <w:tcBorders>
                    <w:top w:val="single" w:color="BBBBBB" w:sz="6"/>
                    <w:left w:val="single" w:color="BBBBBB" w:sz="6"/>
                    <w:bottom w:val="single" w:color="BBBBBB" w:sz="6"/>
                    <w:right w:val="single" w:color="BBBBBB" w:sz="6"/>
                  </w:tcBorders>
                  <w:shd w:fill="FCE4D6"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Profil rare : ingénieur conception + double normatif ferro-aéro + FA. Combinaison quasi inexistante à 4–5 ans. Levier pour la montée vers H15.</w:t>
                  </w:r>
                </w:p>
              </w:tc>
              <w:tc>
                <w:tcPr>
                  <w:tcW w:type="dxa" w:w="2900"/>
                  <w:tcBorders>
                    <w:top w:val="single" w:color="BBBBBB" w:sz="6"/>
                    <w:left w:val="single" w:color="BBBBBB" w:sz="6"/>
                    <w:bottom w:val="single" w:color="BBBBBB" w:sz="6"/>
                    <w:right w:val="single" w:color="BBBBBB" w:sz="6"/>
                  </w:tcBorders>
                  <w:shd w:fill="FCE4D6" w:val="clear"/>
                  <w:tcMar>
                    <w:top w:type="dxa" w:w="80"/>
                    <w:left w:type="dxa" w:w="115"/>
                    <w:bottom w:type="dxa" w:w="80"/>
                    <w:right w:type="dxa" w:w="115"/>
                  </w:tcMar>
                  <w:vAlign w:val="top"/>
                </w:tcPr>
                <w:p>
                  <w:r>
                    <w:rPr>
                      <w:rFonts w:ascii="Arial" w:cs="Arial" w:eastAsia="Arial" w:hAnsi="Arial"/>
                      <w:b/>
                      <w:bCs/>
                      <w:color w:val="C55A11"/>
                      <w:sz w:val="18"/>
                      <w:szCs w:val="18"/>
                    </w:rPr>
                    <w:t xml:space="preserve">Avant-garde sur les programmes futurs. Différenciation marché et commerciale.</w:t>
                  </w:r>
                </w:p>
              </w:tc>
            </w:tr>
          </w:tbl>
          <w:p>
            <w:pPr>
              <w:spacing w:before="60" w:after="50"/>
            </w:pPr>
            <w:r>
              <w:rPr>
                <w:rFonts w:ascii="Arial" w:cs="Arial" w:eastAsia="Arial" w:hAnsi="Arial"/>
                <w:sz w:val="21"/>
                <w:szCs w:val="21"/>
              </w:rPr>
              <w:t xml:space="preserve"/>
            </w:r>
          </w:p>
          <w:p>
            <w:pPr>
              <w:spacing w:before="0" w:after="40"/>
            </w:pPr>
            <w:r>
              <w:rPr>
                <w:rFonts w:ascii="Arial" w:cs="Arial" w:eastAsia="Arial" w:hAnsi="Arial"/>
                <w:b/>
                <w:bCs/>
                <w:color w:val="595959"/>
                <w:sz w:val="18"/>
                <w:szCs w:val="18"/>
              </w:rPr>
              <w:t xml:space="preserve">💬  Phrase type pour l’amener en négociation :</w:t>
            </w:r>
          </w:p>
          <w:p>
            <w:pPr>
              <w:spacing w:before="0" w:after="0"/>
            </w:pPr>
            <w:r>
              <w:rPr>
                <w:rFonts w:ascii="Arial" w:cs="Arial" w:eastAsia="Arial" w:hAnsi="Arial"/>
                <w:b/>
                <w:bCs/>
                <w:color w:val="C55A11"/>
                <w:sz w:val="21"/>
                <w:szCs w:val="21"/>
              </w:rPr>
              <w:t xml:space="preserve">“</w:t>
            </w:r>
            <w:r>
              <w:rPr>
                <w:rFonts w:ascii="Arial" w:cs="Arial" w:eastAsia="Arial" w:hAnsi="Arial"/>
                <w:i/>
                <w:iCs/>
                <w:color w:val="1F3864"/>
                <w:sz w:val="19"/>
                <w:szCs w:val="19"/>
              </w:rPr>
              <w:t xml:space="preserve">Le CETIM propose une formation DfAM métal avec certification possible. Investir maintenant positionne l’entreprise en avant-garde sur les futurs appels d’offres structures siège légères — et me positionne comme la référence interne avant que ce soit une nécessité urgente.</w:t>
            </w:r>
            <w:r>
              <w:rPr>
                <w:rFonts w:ascii="Arial" w:cs="Arial" w:eastAsia="Arial" w:hAnsi="Arial"/>
                <w:b/>
                <w:bCs/>
                <w:color w:val="C55A11"/>
                <w:sz w:val="21"/>
                <w:szCs w:val="21"/>
              </w:rPr>
              <w:t xml:space="preserve">”</w:t>
            </w:r>
          </w:p>
        </w:tc>
      </w:tr>
    </w:tbl>
    <w:p>
      <w:pPr>
        <w:spacing w:before="70" w:after="55"/>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jc w:val="center"/>
            </w:pPr>
            <w:r>
              <w:rPr>
                <w:rFonts w:ascii="Arial" w:cs="Arial" w:eastAsia="Arial" w:hAnsi="Arial"/>
                <w:b/>
                <w:bCs/>
                <w:color w:val="FFFFFF"/>
                <w:sz w:val="22"/>
                <w:szCs w:val="22"/>
              </w:rPr>
              <w:t xml:space="preserve">P8</w:t>
            </w:r>
          </w:p>
          <w:p>
            <w:pPr>
              <w:jc w:val="center"/>
            </w:pPr>
            <w:r>
              <w:rPr>
                <w:rFonts w:ascii="Arial" w:cs="Arial" w:eastAsia="Arial" w:hAnsi="Arial"/>
                <w:b/>
                <w:bCs/>
                <w:color w:val="FFFFFF"/>
                <w:sz w:val="14"/>
                <w:szCs w:val="14"/>
              </w:rPr>
              <w:t xml:space="preserve">⚠️ CORRECTION — Pas de formation « Expert » standard</w:t>
            </w:r>
          </w:p>
        </w:tc>
        <w:tc>
          <w:tcPr>
            <w:tcW w:type="dxa" w:w="9020"/>
            <w:tcBorders>
              <w:top w:val="single" w:color="C55A11" w:sz="6"/>
              <w:left w:val="none" w:color="FFFFFF" w:sz="0"/>
              <w:bottom w:val="single" w:color="C55A11" w:sz="6"/>
              <w:right w:val="single" w:color="C55A11" w:sz="6"/>
            </w:tcBorders>
            <w:shd w:fill="FCE4D6" w:val="clear"/>
            <w:tcMar>
              <w:top w:type="dxa" w:w="90"/>
              <w:left w:type="dxa" w:w="150"/>
              <w:bottom w:type="dxa" w:w="90"/>
              <w:right w:type="dxa" w:w="150"/>
            </w:tcMar>
          </w:tcPr>
          <w:p>
            <w:pPr>
              <w:spacing w:before="0" w:after="20"/>
            </w:pPr>
            <w:r>
              <w:rPr>
                <w:rFonts w:ascii="Arial" w:cs="Arial" w:eastAsia="Arial" w:hAnsi="Arial"/>
                <w:b/>
                <w:bCs/>
                <w:color w:val="1F3864"/>
                <w:sz w:val="23"/>
                <w:szCs w:val="23"/>
              </w:rPr>
              <w:t xml:space="preserve">EN 45545-2 — Sensibilisation Comportement au Feu Ferroviaire (+ accés laboratoire d’essais)</w:t>
            </w:r>
          </w:p>
          <w:p>
            <w:pPr>
              <w:spacing w:before="0" w:after="50"/>
            </w:pPr>
            <w:r>
              <w:rPr>
                <w:rFonts w:ascii="Arial" w:cs="Arial" w:eastAsia="Arial" w:hAnsi="Arial"/>
                <w:color w:val="595959"/>
                <w:sz w:val="18"/>
                <w:szCs w:val="18"/>
              </w:rPr>
              <w:t xml:space="preserve">1à2 jours de sensibilisation + accès laboratoire   —   </w:t>
            </w:r>
            <w:r>
              <w:rPr>
                <w:rFonts w:ascii="Arial" w:cs="Arial" w:eastAsia="Arial" w:hAnsi="Arial"/>
                <w:b/>
                <w:bCs/>
                <w:color w:val="C55A11"/>
                <w:sz w:val="18"/>
                <w:szCs w:val="18"/>
              </w:rPr>
              <w:t xml:space="preserve">800 – 1 500 € (sensibilisation) + devis laboratoire</w:t>
            </w:r>
            <w:r>
              <w:rPr>
                <w:rFonts w:ascii="Arial" w:cs="Arial" w:eastAsia="Arial" w:hAnsi="Arial"/>
                <w:color w:val="595959"/>
                <w:sz w:val="18"/>
                <w:szCs w:val="18"/>
              </w:rPr>
              <w:t xml:space="preserve">   —   </w:t>
            </w:r>
            <w:r>
              <w:rPr>
                <w:rFonts w:ascii="Arial" w:cs="Arial" w:eastAsia="Arial" w:hAnsi="Arial"/>
                <w:b/>
                <w:bCs/>
                <w:color w:val="C55A11"/>
                <w:sz w:val="18"/>
                <w:szCs w:val="18"/>
              </w:rPr>
              <w:t xml:space="preserve">PRIORITÉ 3 — horizon 18–24 mois si développement ferro confirmé</w:t>
            </w:r>
            <w:r>
              <w:rPr>
                <w:rFonts w:ascii="Arial" w:cs="Arial" w:eastAsia="Arial" w:hAnsi="Arial"/>
                <w:color w:val="595959"/>
                <w:sz w:val="18"/>
                <w:szCs w:val="18"/>
              </w:rPr>
              <w:t xml:space="preserve">   —   </w:t>
            </w:r>
            <w:r>
              <w:rPr>
                <w:rFonts w:ascii="Arial" w:cs="Arial" w:eastAsia="Arial" w:hAnsi="Arial"/>
                <w:b/>
                <w:bCs/>
                <w:color w:val="E65100"/>
                <w:sz w:val="18"/>
                <w:szCs w:val="18"/>
              </w:rPr>
              <w:t xml:space="preserve">⚠️ CORRECTION — Pas de formation « Expert » standard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c>
                <w:tcPr>
                  <w:tcW w:type="dxa" w:w="8700"/>
                  <w:tcBorders>
                    <w:top w:val="single" w:color="E65100" w:sz="6"/>
                    <w:left w:val="single" w:color="E65100" w:sz="6"/>
                    <w:bottom w:val="single" w:color="E65100" w:sz="6"/>
                    <w:right w:val="single" w:color="E65100" w:sz="6"/>
                  </w:tcBorders>
                  <w:shd w:fill="FFF3E0" w:val="clear"/>
                  <w:tcMar>
                    <w:top w:type="dxa" w:w="70"/>
                    <w:left w:type="dxa" w:w="120"/>
                    <w:bottom w:type="dxa" w:w="70"/>
                    <w:right w:type="dxa" w:w="120"/>
                  </w:tcMar>
                </w:tcPr>
                <w:p>
                  <w:r>
                    <w:rPr>
                      <w:rFonts w:ascii="Arial" w:cs="Arial" w:eastAsia="Arial" w:hAnsi="Arial"/>
                      <w:b/>
                      <w:bCs/>
                      <w:color w:val="E65100"/>
                      <w:sz w:val="18"/>
                      <w:szCs w:val="18"/>
                    </w:rPr>
                    <w:t xml:space="preserve">⚠️  Correction apportée : </w:t>
                  </w:r>
                  <w:r>
                    <w:rPr>
                      <w:rFonts w:ascii="Arial" w:cs="Arial" w:eastAsia="Arial" w:hAnsi="Arial"/>
                      <w:color w:val="1A1A1A"/>
                      <w:sz w:val="18"/>
                      <w:szCs w:val="18"/>
                    </w:rPr>
                    <w:t xml:space="preserve">Il n’existe pas de formation « EN 45545-2 Expert » délivrée par un organisme de formation standard. La norme s’applique via des laboratoires d’essais accrédités COFRAC. La bonne approche pour un ingénieur conception est : (1) formation de sensibilisation AFNOR sur les normes ferroviaires, (2) collaboration directe avec le laboratoire lors de la qualification des matériaux du siège.</w:t>
                  </w:r>
                </w:p>
              </w:tc>
            </w:tr>
          </w:tbl>
          <w:p>
            <w:pPr>
              <w:spacing w:before="50" w:after="50"/>
            </w:pPr>
            <w:r>
              <w:rPr>
                <w:rFonts w:ascii="Arial" w:cs="Arial" w:eastAsia="Arial" w:hAnsi="Arial"/>
                <w:sz w:val="21"/>
                <w:szCs w:val="21"/>
              </w:rPr>
              <w:t xml:space="preserve"/>
            </w:r>
          </w:p>
          <w:p>
            <w:pPr>
              <w:spacing w:before="0" w:after="40"/>
            </w:pPr>
            <w:r>
              <w:rPr>
                <w:rFonts w:ascii="Arial" w:cs="Arial" w:eastAsia="Arial" w:hAnsi="Arial"/>
                <w:b/>
                <w:bCs/>
                <w:color w:val="1F3864"/>
                <w:sz w:val="19"/>
                <w:szCs w:val="19"/>
              </w:rPr>
              <w:t xml:space="preserve">🏫  Organismes délivrant la formation / l’accréditation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500"/>
            </w:tblGrid>
            <w:tr>
              <w:trPr>
                <w:tblHeader/>
              </w:trPr>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Organisme</w:t>
                  </w:r>
                </w:p>
              </w:tc>
              <w:tc>
                <w:tcPr>
                  <w:tcW w:type="dxa" w:w="28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Rôle</w:t>
                  </w:r>
                </w:p>
              </w:tc>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Site</w:t>
                  </w:r>
                </w:p>
              </w:tc>
              <w:tc>
                <w:tcPr>
                  <w:tcW w:type="dxa" w:w="15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Accréditation</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C55A11"/>
                      <w:sz w:val="18"/>
                      <w:szCs w:val="18"/>
                    </w:rPr>
                    <w:t xml:space="preserve">AFNOR Compétences</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Formations sensibilisation normes ferroviaires (catalogue transport)</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competences.afnor.org</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Qualiopi</w:t>
                  </w:r>
                </w:p>
              </w:tc>
            </w:tr>
            <w:tr>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C55A11"/>
                      <w:sz w:val="18"/>
                      <w:szCs w:val="18"/>
                    </w:rPr>
                    <w:t xml:space="preserve">CREPIM (Bruay-la-Buissière)</w:t>
                  </w:r>
                </w:p>
              </w:tc>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Laboratoire d’essais feu ferroviaire accrédité COFRAC — accès ingénieurs</w:t>
                  </w:r>
                </w:p>
              </w:tc>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crepim.com</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COFRAC + CERTIFER (SNCF/RATP)</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C55A11"/>
                      <w:sz w:val="18"/>
                      <w:szCs w:val="18"/>
                    </w:rPr>
                    <w:t xml:space="preserve">CERIB Feu (Epernon)</w:t>
                  </w:r>
                </w:p>
              </w:tc>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Centre d’essais feu certifié EN 45545 Parties 2 et 3</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595959"/>
                      <w:sz w:val="17"/>
                      <w:szCs w:val="17"/>
                    </w:rPr>
                    <w:t xml:space="preserve">cerib-feu.com</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B5E20"/>
                      <w:sz w:val="17"/>
                      <w:szCs w:val="17"/>
                    </w:rPr>
                    <w:t xml:space="preserve">✔ COFRAC accrédité</w:t>
                  </w:r>
                </w:p>
              </w:tc>
            </w:tr>
          </w:tbl>
          <w:p>
            <w:pPr>
              <w:spacing w:before="60" w:after="50"/>
            </w:pPr>
            <w:r>
              <w:rPr>
                <w:rFonts w:ascii="Arial" w:cs="Arial" w:eastAsia="Arial" w:hAnsi="Arial"/>
                <w:sz w:val="21"/>
                <w:szCs w:val="21"/>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tblGrid>
            <w:tr>
              <w:tc>
                <w:tcPr>
                  <w:tcW w:type="dxa" w:w="2900"/>
                  <w:tcBorders>
                    <w:top w:val="single" w:color="777777" w:sz="6"/>
                    <w:left w:val="single" w:color="777777" w:sz="6"/>
                    <w:bottom w:val="single" w:color="777777" w:sz="6"/>
                    <w:right w:val="single" w:color="777777" w:sz="6"/>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Pour l’entreprise</w:t>
                  </w:r>
                </w:p>
              </w:tc>
              <w:tc>
                <w:tcPr>
                  <w:tcW w:type="dxa" w:w="2900"/>
                  <w:tcBorders>
                    <w:top w:val="single" w:color="777777" w:sz="6"/>
                    <w:left w:val="single" w:color="777777" w:sz="6"/>
                    <w:bottom w:val="single" w:color="777777" w:sz="6"/>
                    <w:right w:val="single" w:color="777777" w:sz="6"/>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Pour vous</w:t>
                  </w:r>
                </w:p>
              </w:tc>
              <w:tc>
                <w:tcPr>
                  <w:tcW w:type="dxa" w:w="2900"/>
                  <w:tcBorders>
                    <w:top w:val="single" w:color="777777" w:sz="6"/>
                    <w:left w:val="single" w:color="777777" w:sz="6"/>
                    <w:bottom w:val="single" w:color="777777" w:sz="6"/>
                    <w:right w:val="single" w:color="777777" w:sz="6"/>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ROI mesurable</w:t>
                  </w:r>
                </w:p>
              </w:tc>
            </w:tr>
            <w:tr>
              <w:tc>
                <w:tcPr>
                  <w:tcW w:type="dxa" w:w="2900"/>
                  <w:tcBorders>
                    <w:top w:val="single" w:color="BBBBBB" w:sz="6"/>
                    <w:left w:val="single" w:color="BBBBBB" w:sz="6"/>
                    <w:bottom w:val="single" w:color="BBBBBB" w:sz="6"/>
                    <w:right w:val="single" w:color="BBBBBB" w:sz="6"/>
                  </w:tcBorders>
                  <w:shd w:fill="FCE4D6"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Autonomie sur la sélection des matériaux ferroviaires (catégories HL1/HL2/HL3). Économie sur les essais répétitifs par anticipation des exigences.</w:t>
                  </w:r>
                </w:p>
              </w:tc>
              <w:tc>
                <w:tcPr>
                  <w:tcW w:type="dxa" w:w="2900"/>
                  <w:tcBorders>
                    <w:top w:val="single" w:color="BBBBBB" w:sz="6"/>
                    <w:left w:val="single" w:color="BBBBBB" w:sz="6"/>
                    <w:bottom w:val="single" w:color="BBBBBB" w:sz="6"/>
                    <w:right w:val="single" w:color="BBBBBB" w:sz="6"/>
                  </w:tcBorders>
                  <w:shd w:fill="FCE4D6"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Expert reconnu sur une norme que peu de profils maîtrisent. Complète parfaitement la double culture ferro-aéro.</w:t>
                  </w:r>
                </w:p>
              </w:tc>
              <w:tc>
                <w:tcPr>
                  <w:tcW w:type="dxa" w:w="2900"/>
                  <w:tcBorders>
                    <w:top w:val="single" w:color="BBBBBB" w:sz="6"/>
                    <w:left w:val="single" w:color="BBBBBB" w:sz="6"/>
                    <w:bottom w:val="single" w:color="BBBBBB" w:sz="6"/>
                    <w:right w:val="single" w:color="BBBBBB" w:sz="6"/>
                  </w:tcBorders>
                  <w:shd w:fill="FCE4D6" w:val="clear"/>
                  <w:tcMar>
                    <w:top w:type="dxa" w:w="80"/>
                    <w:left w:type="dxa" w:w="115"/>
                    <w:bottom w:type="dxa" w:w="80"/>
                    <w:right w:type="dxa" w:w="115"/>
                  </w:tcMar>
                  <w:vAlign w:val="top"/>
                </w:tcPr>
                <w:p>
                  <w:r>
                    <w:rPr>
                      <w:rFonts w:ascii="Arial" w:cs="Arial" w:eastAsia="Arial" w:hAnsi="Arial"/>
                      <w:b/>
                      <w:bCs/>
                      <w:color w:val="C55A11"/>
                      <w:sz w:val="18"/>
                      <w:szCs w:val="18"/>
                    </w:rPr>
                    <w:t xml:space="preserve">Référence interne sur les sélections matériaux ferroviaires. Réduction des aléas de qualification.</w:t>
                  </w:r>
                </w:p>
              </w:tc>
            </w:tr>
          </w:tbl>
          <w:p>
            <w:pPr>
              <w:spacing w:before="60" w:after="50"/>
            </w:pPr>
            <w:r>
              <w:rPr>
                <w:rFonts w:ascii="Arial" w:cs="Arial" w:eastAsia="Arial" w:hAnsi="Arial"/>
                <w:sz w:val="21"/>
                <w:szCs w:val="21"/>
              </w:rPr>
              <w:t xml:space="preserve"/>
            </w:r>
          </w:p>
          <w:p>
            <w:pPr>
              <w:spacing w:before="0" w:after="40"/>
            </w:pPr>
            <w:r>
              <w:rPr>
                <w:rFonts w:ascii="Arial" w:cs="Arial" w:eastAsia="Arial" w:hAnsi="Arial"/>
                <w:b/>
                <w:bCs/>
                <w:color w:val="595959"/>
                <w:sz w:val="18"/>
                <w:szCs w:val="18"/>
              </w:rPr>
              <w:t xml:space="preserve">💬  Phrase type pour l’amener en négociation :</w:t>
            </w:r>
          </w:p>
          <w:p>
            <w:pPr>
              <w:spacing w:before="0" w:after="0"/>
            </w:pPr>
            <w:r>
              <w:rPr>
                <w:rFonts w:ascii="Arial" w:cs="Arial" w:eastAsia="Arial" w:hAnsi="Arial"/>
                <w:b/>
                <w:bCs/>
                <w:color w:val="C55A11"/>
                <w:sz w:val="21"/>
                <w:szCs w:val="21"/>
              </w:rPr>
              <w:t xml:space="preserve">“</w:t>
            </w:r>
            <w:r>
              <w:rPr>
                <w:rFonts w:ascii="Arial" w:cs="Arial" w:eastAsia="Arial" w:hAnsi="Arial"/>
                <w:i/>
                <w:iCs/>
                <w:color w:val="1F3864"/>
                <w:sz w:val="19"/>
                <w:szCs w:val="19"/>
              </w:rPr>
              <w:t xml:space="preserve">Plutôt qu’une formation « Expert EN 45545 » qui n’existe pas en standard, je propose un parcours en deux temps : une journée de sensibilisation AFNOR sur les normes feu ferroviaires, puis une collaboration directe avec le laboratoire CREPIM lors de la qualification de nos matériaux. C’est la façon la plus efficace d’acquérir cette expertise de façon opérationnelle.</w:t>
            </w:r>
            <w:r>
              <w:rPr>
                <w:rFonts w:ascii="Arial" w:cs="Arial" w:eastAsia="Arial" w:hAnsi="Arial"/>
                <w:b/>
                <w:bCs/>
                <w:color w:val="C55A11"/>
                <w:sz w:val="21"/>
                <w:szCs w:val="21"/>
              </w:rPr>
              <w:t xml:space="preserve">”</w:t>
            </w:r>
          </w:p>
        </w:tc>
      </w:tr>
    </w:tbl>
    <w:p>
      <w:pPr>
        <w:spacing w:before="70" w:after="55"/>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pPr>
        <w:spacing w:before="6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Synthèse — Ce qui est inscrit au contrat vs planifié</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À inscrire au contrat (2 500 €/an minimum écrit)</w:t>
            </w:r>
          </w:p>
        </w:tc>
        <w:tc>
          <w:tcPr>
            <w:tcW w:type="dxa" w:w="46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À planifier à la revoyure 6 mois</w:t>
            </w:r>
          </w:p>
        </w:tc>
      </w:tr>
      <w:tr>
        <w:tc>
          <w:tcPr>
            <w:tcW w:type="dxa" w:w="4600"/>
            <w:tcBorders>
              <w:top w:val="single" w:color="BBBBBB" w:sz="6"/>
              <w:left w:val="single" w:color="BBBBBB" w:sz="6"/>
              <w:bottom w:val="single" w:color="BBBBBB" w:sz="6"/>
              <w:right w:val="single" w:color="BBBBBB" w:sz="6"/>
            </w:tcBorders>
            <w:shd w:fill="E8EEF7" w:val="clear"/>
            <w:tcMar>
              <w:top w:type="dxa" w:w="80"/>
              <w:left w:type="dxa" w:w="115"/>
              <w:bottom w:type="dxa" w:w="80"/>
              <w:right w:type="dxa" w:w="115"/>
            </w:tcMar>
            <w:vAlign w:val="top"/>
          </w:tcPr>
          <w:p>
            <w:pPr>
              <w:pStyle w:val="ListParagraph"/>
              <w:numPr>
                <w:ilvl w:val="0"/>
                <w:numId w:val="2"/>
              </w:numPr>
              <w:spacing w:before="55" w:after="55"/>
            </w:pPr>
            <w:r>
              <w:rPr>
                <w:rFonts w:ascii="Arial" w:cs="Arial" w:eastAsia="Arial" w:hAnsi="Arial"/>
                <w:b/>
                <w:bCs/>
                <w:color w:val="0D2B5E"/>
                <w:sz w:val="21"/>
                <w:szCs w:val="21"/>
              </w:rPr>
              <w:t xml:space="preserve">EN 9100 Auditeur Interne — AFNOR ou LRQA (P1)</w:t>
            </w:r>
          </w:p>
          <w:p>
            <w:pPr>
              <w:pStyle w:val="ListParagraph"/>
              <w:numPr>
                <w:ilvl w:val="0"/>
                <w:numId w:val="2"/>
              </w:numPr>
              <w:spacing w:before="55" w:after="55"/>
            </w:pPr>
            <w:r>
              <w:rPr>
                <w:rFonts w:ascii="Arial" w:cs="Arial" w:eastAsia="Arial" w:hAnsi="Arial"/>
                <w:sz w:val="21"/>
                <w:szCs w:val="21"/>
              </w:rPr>
              <w:t xml:space="preserve">Certification CAO Expert — Dassault Systèmes (P2)</w:t>
            </w:r>
          </w:p>
          <w:p>
            <w:pPr>
              <w:pStyle w:val="ListParagraph"/>
              <w:numPr>
                <w:ilvl w:val="0"/>
                <w:numId w:val="2"/>
              </w:numPr>
              <w:spacing w:before="55" w:after="55"/>
            </w:pPr>
            <w:r>
              <w:rPr>
                <w:rFonts w:ascii="Arial" w:cs="Arial" w:eastAsia="Arial" w:hAnsi="Arial"/>
                <w:sz w:val="21"/>
                <w:szCs w:val="21"/>
              </w:rPr>
              <w:t xml:space="preserve">Calcul structures légères — CETIM + ISAE (P3)</w:t>
            </w:r>
          </w:p>
          <w:p>
            <w:pPr>
              <w:pStyle w:val="ListParagraph"/>
              <w:numPr>
                <w:ilvl w:val="0"/>
                <w:numId w:val="2"/>
              </w:numPr>
              <w:spacing w:before="55" w:after="55"/>
            </w:pPr>
            <w:r>
              <w:rPr>
                <w:rFonts w:ascii="Arial" w:cs="Arial" w:eastAsia="Arial" w:hAnsi="Arial"/>
                <w:sz w:val="21"/>
                <w:szCs w:val="21"/>
              </w:rPr>
              <w:t xml:space="preserve">Budget 2 500 €/an inscrit — pas une promesse verbale</w:t>
            </w:r>
          </w:p>
        </w:tc>
        <w:tc>
          <w:tcPr>
            <w:tcW w:type="dxa" w:w="46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pStyle w:val="ListParagraph"/>
              <w:numPr>
                <w:ilvl w:val="0"/>
                <w:numId w:val="2"/>
              </w:numPr>
              <w:spacing w:before="55" w:after="55"/>
            </w:pPr>
            <w:r>
              <w:rPr>
                <w:rFonts w:ascii="Arial" w:cs="Arial" w:eastAsia="Arial" w:hAnsi="Arial"/>
                <w:b/>
                <w:bCs/>
                <w:color w:val="375623"/>
                <w:sz w:val="21"/>
                <w:szCs w:val="21"/>
              </w:rPr>
              <w:t xml:space="preserve">PMP — CERTyou ou Cegos via OPCO 2i (P4, non CPF)</w:t>
            </w:r>
          </w:p>
          <w:p>
            <w:pPr>
              <w:pStyle w:val="ListParagraph"/>
              <w:numPr>
                <w:ilvl w:val="0"/>
                <w:numId w:val="2"/>
              </w:numPr>
              <w:spacing w:before="55" w:after="55"/>
            </w:pPr>
            <w:r>
              <w:rPr>
                <w:rFonts w:ascii="Arial" w:cs="Arial" w:eastAsia="Arial" w:hAnsi="Arial"/>
                <w:sz w:val="21"/>
                <w:szCs w:val="21"/>
              </w:rPr>
              <w:t xml:space="preserve">DFMA — Vertice Engineering (P5)</w:t>
            </w:r>
          </w:p>
          <w:p>
            <w:pPr>
              <w:pStyle w:val="ListParagraph"/>
              <w:numPr>
                <w:ilvl w:val="0"/>
                <w:numId w:val="2"/>
              </w:numPr>
              <w:spacing w:before="55" w:after="55"/>
            </w:pPr>
            <w:r>
              <w:rPr>
                <w:rFonts w:ascii="Arial" w:cs="Arial" w:eastAsia="Arial" w:hAnsi="Arial"/>
                <w:sz w:val="21"/>
                <w:szCs w:val="21"/>
              </w:rPr>
              <w:t xml:space="preserve">FEA ANSYS avancée — Simutech ou ADDL (P6)</w:t>
            </w:r>
          </w:p>
          <w:p>
            <w:pPr>
              <w:pStyle w:val="ListParagraph"/>
              <w:numPr>
                <w:ilvl w:val="0"/>
                <w:numId w:val="2"/>
              </w:numPr>
              <w:spacing w:before="55" w:after="55"/>
            </w:pPr>
            <w:r>
              <w:rPr>
                <w:rFonts w:ascii="Arial" w:cs="Arial" w:eastAsia="Arial" w:hAnsi="Arial"/>
                <w:sz w:val="21"/>
                <w:szCs w:val="21"/>
              </w:rPr>
              <w:t xml:space="preserve">DfAM CETIM + Materialise à 18–24 mois (P7)</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E" w:sz="6"/>
              <w:left w:val="single" w:color="0D2B5E" w:sz="6"/>
              <w:bottom w:val="single" w:color="0D2B5E" w:sz="6"/>
              <w:right w:val="single" w:color="0D2B5E" w:sz="6"/>
            </w:tcBorders>
            <w:shd w:fill="E8EEF7" w:val="clear"/>
            <w:tcMar>
              <w:top w:type="dxa" w:w="90"/>
              <w:left w:type="dxa" w:w="150"/>
              <w:bottom w:type="dxa" w:w="90"/>
              <w:right w:type="dxa" w:w="150"/>
            </w:tcMar>
          </w:tcPr>
          <w:p>
            <w:pPr>
              <w:spacing w:before="0" w:after="50"/>
            </w:pPr>
            <w:r>
              <w:rPr>
                <w:rFonts w:ascii="Arial" w:cs="Arial" w:eastAsia="Arial" w:hAnsi="Arial"/>
                <w:b/>
                <w:bCs/>
                <w:color w:val="0D2B5E"/>
                <w:sz w:val="20"/>
                <w:szCs w:val="20"/>
              </w:rPr>
              <w:t xml:space="preserve">💡  La position de force de ce profil spécifique</w:t>
            </w:r>
          </w:p>
          <w:p>
            <w:pPr>
              <w:spacing w:before="0" w:after="0"/>
            </w:pPr>
            <w:r>
              <w:rPr>
                <w:rFonts w:ascii="Arial" w:cs="Arial" w:eastAsia="Arial" w:hAnsi="Arial"/>
                <w:color w:val="1A1A1A"/>
                <w:sz w:val="20"/>
                <w:szCs w:val="20"/>
              </w:rPr>
              <w:t xml:space="preserve">La double culture normative ferro+aéro de ce profil est rare à 4 ans. Chaque formation renforce cette double compétence et la rend encore plus difficile à remplacer. L’argumentaire formations n’est pas un avantage demandé — c’est un investissement que l’entreprise a tout intérêt à faire pour conserver un profil qu’elle ne recrutera pas facilement sur le marché.</w:t>
            </w:r>
          </w:p>
        </w:tc>
      </w:tr>
    </w:tbl>
    <w:p>
      <w:pPr>
        <w:spacing w:before="80" w:after="6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pPr>
        <w:spacing w:before="40" w:after="40"/>
      </w:pPr>
      <w:r>
        <w:rPr>
          <w:rFonts w:ascii="Arial" w:cs="Arial" w:eastAsia="Arial" w:hAnsi="Arial"/>
          <w:sz w:val="21"/>
          <w:szCs w:val="21"/>
        </w:rPr>
        <w:t xml:space="preserve"/>
      </w:r>
    </w:p>
    <w:p>
      <w:pPr>
        <w:spacing w:before="60" w:after="40"/>
        <w:jc w:val="center"/>
      </w:pPr>
      <w:r>
        <w:rPr>
          <w:rFonts w:ascii="Arial" w:cs="Arial" w:eastAsia="Arial" w:hAnsi="Arial"/>
          <w:b/>
          <w:bCs/>
          <w:i/>
          <w:iCs/>
          <w:color w:val="0D2B5E"/>
          <w:sz w:val="24"/>
          <w:szCs w:val="24"/>
        </w:rPr>
        <w:t xml:space="preserve">Une formation non inscrite au contrat est une intention. Une intention n’est pas un engagement.</w:t>
      </w:r>
    </w:p>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2B5E" w:sz="6" w:space="1"/>
      </w:pBdr>
      <w:jc w:val="center"/>
    </w:pPr>
    <w:r>
      <w:rPr>
        <w:rFonts w:ascii="Arial" w:cs="Arial" w:eastAsia="Arial" w:hAnsi="Arial"/>
        <w:color w:val="888888"/>
        <w:sz w:val="15"/>
        <w:szCs w:val="15"/>
      </w:rPr>
      <w:t xml:space="preserve">Document personnel —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B5E" w:sz="8" w:space="1"/>
      </w:pBdr>
    </w:pPr>
    <w:r>
      <w:rPr>
        <w:rFonts w:ascii="Arial" w:cs="Arial" w:eastAsia="Arial" w:hAnsi="Arial"/>
        <w:b/>
        <w:bCs/>
        <w:color w:val="0D2B5E"/>
        <w:sz w:val="16"/>
        <w:szCs w:val="16"/>
      </w:rPr>
      <w:t xml:space="preserve">✈  FORMATIONS À NÉGOCIER — Organismes et accréditations vérifiés  </w:t>
    </w:r>
    <w:r>
      <w:rPr>
        <w:rFonts w:ascii="Arial" w:cs="Arial" w:eastAsia="Arial" w:hAnsi="Arial"/>
        <w:color w:val="888888"/>
        <w:sz w:val="15"/>
        <w:szCs w:val="15"/>
      </w:rPr>
      <w:t xml:space="preserve">|  Siège ferro-aéro — 4 ans exp. — NAF 30.30Z — Paris 75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30"/>
      <w:outlineLvl w:val="0"/>
    </w:pPr>
    <w:rPr>
      <w:rFonts w:ascii="Arial" w:cs="Arial" w:eastAsia="Arial" w:hAnsi="Arial"/>
      <w:b/>
      <w:bCs/>
      <w:color w:val="1F3864"/>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2026-03-25T22:24:33.799Z</dcterms:created>
  <dcterms:modified xsi:type="dcterms:W3CDTF">2026-03-25T22:24:33.800Z</dcterms:modified>
</cp:coreProperties>
</file>

<file path=docProps/custom.xml><?xml version="1.0" encoding="utf-8"?>
<Properties xmlns="http://schemas.openxmlformats.org/officeDocument/2006/custom-properties" xmlns:vt="http://schemas.openxmlformats.org/officeDocument/2006/docPropsVTypes"/>
</file>