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00" w:after="80"/>
        <w:jc w:val="center"/>
      </w:pPr>
      <w:r>
        <w:rPr>
          <w:rFonts w:ascii="Arial" w:cs="Arial" w:eastAsia="Arial" w:hAnsi="Arial"/>
          <w:b/>
          <w:bCs/>
          <w:color w:val="1F3864"/>
          <w:sz w:val="52"/>
          <w:szCs w:val="52"/>
        </w:rPr>
        <w:t xml:space="preserve">GUIDE DE CARRIÈRE</w:t>
      </w:r>
    </w:p>
    <w:p>
      <w:pPr>
        <w:spacing w:before="80" w:after="80"/>
        <w:jc w:val="center"/>
      </w:pPr>
      <w:r>
        <w:rPr>
          <w:rFonts w:ascii="Arial" w:cs="Arial" w:eastAsia="Arial" w:hAnsi="Arial"/>
          <w:b/>
          <w:bCs/>
          <w:color w:val="2E75B6"/>
          <w:sz w:val="36"/>
          <w:szCs w:val="36"/>
        </w:rPr>
        <w:t xml:space="preserve">Ingénieur Conception Mécanique</w:t>
      </w:r>
    </w:p>
    <w:p>
      <w:pPr>
        <w:spacing w:before="80" w:after="240"/>
        <w:jc w:val="center"/>
      </w:pPr>
      <w:r>
        <w:rPr>
          <w:rFonts w:ascii="Arial" w:cs="Arial" w:eastAsia="Arial" w:hAnsi="Arial"/>
          <w:i/>
          <w:iCs/>
          <w:color w:val="666666"/>
          <w:sz w:val="24"/>
          <w:szCs w:val="24"/>
        </w:rPr>
        <w:t xml:space="preserve">De la sortie d'école à la direction technique — CCN Métallurgie IDCC 3248</w:t>
      </w:r>
    </w:p>
    <w:p>
      <w:pPr>
        <w:pBdr>
          <w:bottom w:val="single" w:color="2E75B6" w:sz="6" w:space="1"/>
        </w:pBdr>
        <w:spacing w:before="120" w:after="120"/>
      </w:pPr>
      <w:r>
        <w:t xml:space="preserve"/>
      </w:r>
    </w:p>
    <w:p>
      <w:pPr>
        <w:spacing w:before="200" w:after="100"/>
        <w:jc w:val="center"/>
      </w:pPr>
      <w:r>
        <w:rPr>
          <w:rFonts w:ascii="Arial" w:cs="Arial" w:eastAsia="Arial" w:hAnsi="Arial"/>
          <w:i/>
          <w:iCs/>
          <w:color w:val="555555"/>
          <w:sz w:val="20"/>
          <w:szCs w:val="20"/>
        </w:rPr>
        <w:t xml:space="preserve">Synthèse rédigée par un ingénieur avec 50 ans d'expérience en conception mécanique</w:t>
      </w:r>
    </w:p>
    <w:p>
      <w:pPr>
        <w:spacing w:before="60" w:after="60"/>
        <w:jc w:val="center"/>
      </w:pPr>
      <w:r>
        <w:rPr>
          <w:rFonts w:ascii="Arial" w:cs="Arial" w:eastAsia="Arial" w:hAnsi="Arial"/>
          <w:color w:val="2E75B6"/>
          <w:sz w:val="20"/>
          <w:szCs w:val="20"/>
        </w:rPr>
        <w:t xml:space="preserve">Secteurs couverts : Aéronautique • Automobile • Industrie lourde • Défense • Énergie • Biens d'équipement</w:t>
      </w:r>
    </w:p>
    <w:p>
      <w:pPr>
        <w:spacing w:before="60" w:after="200"/>
        <w:jc w:val="center"/>
      </w:pPr>
      <w:r>
        <w:rPr>
          <w:rFonts w:ascii="Arial" w:cs="Arial" w:eastAsia="Arial" w:hAnsi="Arial"/>
          <w:color w:val="888888"/>
          <w:sz w:val="20"/>
          <w:szCs w:val="20"/>
        </w:rPr>
        <w:t xml:space="preserve">Mars 2026</w:t>
      </w:r>
    </w:p>
    <w:p>
      <w:pPr>
        <w:pBdr>
          <w:bottom w:val="single" w:color="2E75B6" w:sz="6" w:space="1"/>
        </w:pBdr>
        <w:spacing w:before="120" w:after="120"/>
      </w:pPr>
      <w:r>
        <w:t xml:space="preserve"/>
      </w:r>
    </w:p>
    <w:p>
      <w:pPr>
        <w:spacing w:before="60" w:after="60"/>
      </w:pPr>
      <w:r>
        <w:t xml:space="preserve"/>
      </w:r>
    </w:p>
    <w:p>
      <w:pPr>
        <w:pStyle w:val="Heading1"/>
        <w:spacing w:before="360" w:after="160"/>
      </w:pPr>
      <w:r>
        <w:rPr>
          <w:rFonts w:ascii="Arial" w:cs="Arial" w:eastAsia="Arial" w:hAnsi="Arial"/>
          <w:b/>
          <w:bCs/>
          <w:color w:val="1F3864"/>
          <w:sz w:val="34"/>
          <w:szCs w:val="34"/>
        </w:rPr>
        <w:t xml:space="preserve">1.  Mot de l'ingénieur senior — Ce qu'on ne vous a pas dit à l'école</w:t>
      </w:r>
    </w:p>
    <w:p>
      <w:pPr>
        <w:spacing w:before="80" w:after="80"/>
      </w:pPr>
      <w:r>
        <w:rPr>
          <w:rFonts w:ascii="Arial" w:cs="Arial" w:eastAsia="Arial" w:hAnsi="Arial"/>
          <w:sz w:val="22"/>
          <w:szCs w:val="22"/>
        </w:rPr>
        <w:t xml:space="preserve">En 50 ans de carrière dans la conception mécanique, j'ai vu des centaines de jeunes ingénieurs arriver avec d'excellentes bases théoriques... et une méconnaissance totale de ce qui les attendait vraiment en entreprise. Ce document est le guide que j'aurais voulu recevoir le jour de mon diplôme.</w:t>
      </w:r>
    </w:p>
    <w:p>
      <w:pPr>
        <w:spacing w:before="60" w:after="60"/>
      </w:pPr>
      <w:r>
        <w:t xml:space="preserve"/>
      </w:r>
    </w:p>
    <w:p>
      <w:pPr>
        <w:spacing w:before="80" w:after="80"/>
      </w:pPr>
      <w:r>
        <w:rPr>
          <w:rFonts w:ascii="Arial" w:cs="Arial" w:eastAsia="Arial" w:hAnsi="Arial"/>
          <w:b w:val="false"/>
          <w:bCs w:val="false"/>
          <w:sz w:val="22"/>
          <w:szCs w:val="22"/>
        </w:rPr>
        <w:t xml:space="preserve">La réalité du terrain est simple : un diplôme Bac+5 en ingénierie mécanique vous ouvre la porte. Ce qui détermine votre trajectoire salariale et votre influence dans les 10 premières années, c'est votre capacité à :</w:t>
      </w:r>
    </w:p>
    <w:p>
      <w:pPr>
        <w:pStyle w:val="ListParagraph"/>
        <w:numPr>
          <w:ilvl w:val="0"/>
          <w:numId w:val="2"/>
        </w:numPr>
        <w:spacing w:before="60" w:after="60"/>
      </w:pPr>
      <w:r>
        <w:rPr>
          <w:rFonts w:ascii="Arial" w:cs="Arial" w:eastAsia="Arial" w:hAnsi="Arial"/>
          <w:b w:val="false"/>
          <w:bCs w:val="false"/>
          <w:sz w:val="22"/>
          <w:szCs w:val="22"/>
        </w:rPr>
        <w:t xml:space="preserve">vous adapter rapidement à des outils, des processus et une culture d'entreprise</w:t>
      </w:r>
    </w:p>
    <w:p>
      <w:pPr>
        <w:pStyle w:val="ListParagraph"/>
        <w:numPr>
          <w:ilvl w:val="0"/>
          <w:numId w:val="2"/>
        </w:numPr>
        <w:spacing w:before="60" w:after="60"/>
      </w:pPr>
      <w:r>
        <w:rPr>
          <w:rFonts w:ascii="Arial" w:cs="Arial" w:eastAsia="Arial" w:hAnsi="Arial"/>
          <w:b w:val="false"/>
          <w:bCs w:val="false"/>
          <w:sz w:val="22"/>
          <w:szCs w:val="22"/>
        </w:rPr>
        <w:t xml:space="preserve">produire des livrables de qualité avec des contraintes de délai et de coût</w:t>
      </w:r>
    </w:p>
    <w:p>
      <w:pPr>
        <w:pStyle w:val="ListParagraph"/>
        <w:numPr>
          <w:ilvl w:val="0"/>
          <w:numId w:val="2"/>
        </w:numPr>
        <w:spacing w:before="60" w:after="60"/>
      </w:pPr>
      <w:r>
        <w:rPr>
          <w:rFonts w:ascii="Arial" w:cs="Arial" w:eastAsia="Arial" w:hAnsi="Arial"/>
          <w:b w:val="false"/>
          <w:bCs w:val="false"/>
          <w:sz w:val="22"/>
          <w:szCs w:val="22"/>
        </w:rPr>
        <w:t xml:space="preserve">comprendre le langage de vos clients internes : production, qualité, achats, direction</w:t>
      </w:r>
    </w:p>
    <w:p>
      <w:pPr>
        <w:pStyle w:val="ListParagraph"/>
        <w:numPr>
          <w:ilvl w:val="0"/>
          <w:numId w:val="2"/>
        </w:numPr>
        <w:spacing w:before="60" w:after="60"/>
      </w:pPr>
      <w:r>
        <w:rPr>
          <w:rFonts w:ascii="Arial" w:cs="Arial" w:eastAsia="Arial" w:hAnsi="Arial"/>
          <w:b w:val="false"/>
          <w:bCs w:val="false"/>
          <w:sz w:val="22"/>
          <w:szCs w:val="22"/>
        </w:rPr>
        <w:t xml:space="preserve">vous rendre visible et indispensable — sans jamais cesser d'apprendre</w:t>
      </w:r>
    </w:p>
    <w:p>
      <w:pPr>
        <w:spacing w:before="60" w:after="60"/>
      </w:pPr>
      <w:r>
        <w:t xml:space="preserve"/>
      </w:r>
    </w:p>
    <w:p>
      <w:pPr>
        <w:spacing w:before="80" w:after="80"/>
      </w:pPr>
      <w:r>
        <w:rPr>
          <w:rFonts w:ascii="Arial" w:cs="Arial" w:eastAsia="Arial" w:hAnsi="Arial"/>
          <w:i/>
          <w:iCs/>
          <w:sz w:val="22"/>
          <w:szCs w:val="22"/>
        </w:rPr>
        <w:t xml:space="preserve">La nouvelle Convention Collective Nationale de la Métallurgie (IDCC 3248), en vigueur depuis le 1er janvier 2024, fixe des repères salariaux clairs. En comprenant la grille, vous pouvez anticiper votre valeur marchande et négocier avec des arguments factuels.</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2.  Les étapes incontournables d'une carrière en conception mécanique</w:t>
      </w:r>
    </w:p>
    <w:p>
      <w:pPr>
        <w:spacing w:before="80" w:after="80"/>
      </w:pPr>
      <w:r>
        <w:rPr>
          <w:rFonts w:ascii="Arial" w:cs="Arial" w:eastAsia="Arial" w:hAnsi="Arial"/>
          <w:sz w:val="22"/>
          <w:szCs w:val="22"/>
        </w:rPr>
        <w:t xml:space="preserve">Voici les phases clés telles que je les ai vécues et observées sur cinq décennies. Elles ne sont pas des cases figées, mais des étapes logiques de maturité professionnelle.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PHASE 1 — L'intégration (0 à 2 ans)  |  Groupe F11 à F12</w:t>
      </w:r>
    </w:p>
    <w:p>
      <w:pPr>
        <w:spacing w:before="80" w:after="80"/>
      </w:pPr>
      <w:r>
        <w:rPr>
          <w:rFonts w:ascii="Arial" w:cs="Arial" w:eastAsia="Arial" w:hAnsi="Arial"/>
          <w:sz w:val="22"/>
          <w:szCs w:val="22"/>
        </w:rPr>
        <w:t xml:space="preserve">C'est la phase la plus critique. Vous n'êtes pas encore productif le premier mois — c'est normal. Votre priorité absolue est de comprendre comment votre entreprise fonctionne réellement, pas théoriquement.</w:t>
      </w:r>
    </w:p>
    <w:p>
      <w:pPr>
        <w:pStyle w:val="ListParagraph"/>
        <w:numPr>
          <w:ilvl w:val="0"/>
          <w:numId w:val="2"/>
        </w:numPr>
        <w:spacing w:before="60" w:after="60"/>
      </w:pPr>
      <w:r>
        <w:rPr>
          <w:rFonts w:ascii="Arial" w:cs="Arial" w:eastAsia="Arial" w:hAnsi="Arial"/>
          <w:b w:val="false"/>
          <w:bCs w:val="false"/>
          <w:sz w:val="22"/>
          <w:szCs w:val="22"/>
        </w:rPr>
        <w:t xml:space="preserve">Maîtrisez l'outil CAO de la maison — même si ce n'est pas celui que vous avez appris, l'effort en vaut la peine</w:t>
      </w:r>
    </w:p>
    <w:p>
      <w:pPr>
        <w:pStyle w:val="ListParagraph"/>
        <w:numPr>
          <w:ilvl w:val="0"/>
          <w:numId w:val="2"/>
        </w:numPr>
        <w:spacing w:before="60" w:after="60"/>
      </w:pPr>
      <w:r>
        <w:rPr>
          <w:rFonts w:ascii="Arial" w:cs="Arial" w:eastAsia="Arial" w:hAnsi="Arial"/>
          <w:b w:val="false"/>
          <w:bCs w:val="false"/>
          <w:sz w:val="22"/>
          <w:szCs w:val="22"/>
        </w:rPr>
        <w:t xml:space="preserve">Lisez les dossiers techniques des produits existants : comprenez l'histoire des choix de conception</w:t>
      </w:r>
    </w:p>
    <w:p>
      <w:pPr>
        <w:pStyle w:val="ListParagraph"/>
        <w:numPr>
          <w:ilvl w:val="0"/>
          <w:numId w:val="2"/>
        </w:numPr>
        <w:spacing w:before="60" w:after="60"/>
      </w:pPr>
      <w:r>
        <w:rPr>
          <w:rFonts w:ascii="Arial" w:cs="Arial" w:eastAsia="Arial" w:hAnsi="Arial"/>
          <w:b w:val="false"/>
          <w:bCs w:val="false"/>
          <w:sz w:val="22"/>
          <w:szCs w:val="22"/>
        </w:rPr>
        <w:t xml:space="preserve">Posez des questions intelligentes à vos collègues expérimentés — c'est le meilleur investissement de cette phase</w:t>
      </w:r>
    </w:p>
    <w:p>
      <w:pPr>
        <w:pStyle w:val="ListParagraph"/>
        <w:numPr>
          <w:ilvl w:val="0"/>
          <w:numId w:val="2"/>
        </w:numPr>
        <w:spacing w:before="60" w:after="60"/>
      </w:pPr>
      <w:r>
        <w:rPr>
          <w:rFonts w:ascii="Arial" w:cs="Arial" w:eastAsia="Arial" w:hAnsi="Arial"/>
          <w:b w:val="false"/>
          <w:bCs w:val="false"/>
          <w:sz w:val="22"/>
          <w:szCs w:val="22"/>
        </w:rPr>
        <w:t xml:space="preserve">Respectez scrupuleusement les processus qualité, même si vous les trouvez lourds</w:t>
      </w:r>
    </w:p>
    <w:p>
      <w:pPr>
        <w:pStyle w:val="ListParagraph"/>
        <w:numPr>
          <w:ilvl w:val="0"/>
          <w:numId w:val="2"/>
        </w:numPr>
        <w:spacing w:before="60" w:after="60"/>
      </w:pPr>
      <w:r>
        <w:rPr>
          <w:rFonts w:ascii="Arial" w:cs="Arial" w:eastAsia="Arial" w:hAnsi="Arial"/>
          <w:b w:val="false"/>
          <w:bCs w:val="false"/>
          <w:sz w:val="22"/>
          <w:szCs w:val="22"/>
        </w:rPr>
        <w:t xml:space="preserve">Livrez ce qu'on vous demande, dans les délais, sans excuses</w:t>
      </w:r>
    </w:p>
    <w:p>
      <w:pPr>
        <w:spacing w:before="80" w:after="80"/>
      </w:pPr>
      <w:r>
        <w:rPr>
          <w:rFonts w:ascii="Arial" w:cs="Arial" w:eastAsia="Arial" w:hAnsi="Arial"/>
          <w:b/>
          <w:bCs/>
          <w:i/>
          <w:iCs/>
          <w:sz w:val="22"/>
          <w:szCs w:val="22"/>
        </w:rPr>
        <w:t xml:space="preserve">Objectif de phase : être autonome sur 80 % des tâches courantes et avoir démontré votre fiabilité.</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PHASE 2 — La montée en puissance (2 à 5 ans)  |  Groupe F12 à G13</w:t>
      </w:r>
    </w:p>
    <w:p>
      <w:pPr>
        <w:spacing w:before="80" w:after="80"/>
      </w:pPr>
      <w:r>
        <w:rPr>
          <w:rFonts w:ascii="Arial" w:cs="Arial" w:eastAsia="Arial" w:hAnsi="Arial"/>
          <w:sz w:val="22"/>
          <w:szCs w:val="22"/>
        </w:rPr>
        <w:t xml:space="preserve">Vous avez prouvé que vous étiez fiable. Il est maintenant temps d'élargir votre périmètre d'influence et d'ajouter de la valeur au-delà de l'exécution.</w:t>
      </w:r>
    </w:p>
    <w:p>
      <w:pPr>
        <w:pStyle w:val="ListParagraph"/>
        <w:numPr>
          <w:ilvl w:val="0"/>
          <w:numId w:val="2"/>
        </w:numPr>
        <w:spacing w:before="60" w:after="60"/>
      </w:pPr>
      <w:r>
        <w:rPr>
          <w:rFonts w:ascii="Arial" w:cs="Arial" w:eastAsia="Arial" w:hAnsi="Arial"/>
          <w:b w:val="false"/>
          <w:bCs w:val="false"/>
          <w:sz w:val="22"/>
          <w:szCs w:val="22"/>
        </w:rPr>
        <w:t xml:space="preserve">Prenez en charge des sous-ensembles complets, pas seulement des pièces isolées</w:t>
      </w:r>
    </w:p>
    <w:p>
      <w:pPr>
        <w:pStyle w:val="ListParagraph"/>
        <w:numPr>
          <w:ilvl w:val="0"/>
          <w:numId w:val="2"/>
        </w:numPr>
        <w:spacing w:before="60" w:after="60"/>
      </w:pPr>
      <w:r>
        <w:rPr>
          <w:rFonts w:ascii="Arial" w:cs="Arial" w:eastAsia="Arial" w:hAnsi="Arial"/>
          <w:b w:val="false"/>
          <w:bCs w:val="false"/>
          <w:sz w:val="22"/>
          <w:szCs w:val="22"/>
        </w:rPr>
        <w:t xml:space="preserve">Participez aux revues de conception et défendez vos choix avec des arguments techniques chiffrés</w:t>
      </w:r>
    </w:p>
    <w:p>
      <w:pPr>
        <w:pStyle w:val="ListParagraph"/>
        <w:numPr>
          <w:ilvl w:val="0"/>
          <w:numId w:val="2"/>
        </w:numPr>
        <w:spacing w:before="60" w:after="60"/>
      </w:pPr>
      <w:r>
        <w:rPr>
          <w:rFonts w:ascii="Arial" w:cs="Arial" w:eastAsia="Arial" w:hAnsi="Arial"/>
          <w:b w:val="false"/>
          <w:bCs w:val="false"/>
          <w:sz w:val="22"/>
          <w:szCs w:val="22"/>
        </w:rPr>
        <w:t xml:space="preserve">Commencez à vous intéresser aux problèmes de fabrication : accompagnez vos pièces en production, discutez avec les usineurs et les assembleurs</w:t>
      </w:r>
    </w:p>
    <w:p>
      <w:pPr>
        <w:pStyle w:val="ListParagraph"/>
        <w:numPr>
          <w:ilvl w:val="0"/>
          <w:numId w:val="2"/>
        </w:numPr>
        <w:spacing w:before="60" w:after="60"/>
      </w:pPr>
      <w:r>
        <w:rPr>
          <w:rFonts w:ascii="Arial" w:cs="Arial" w:eastAsia="Arial" w:hAnsi="Arial"/>
          <w:b w:val="false"/>
          <w:bCs w:val="false"/>
          <w:sz w:val="22"/>
          <w:szCs w:val="22"/>
        </w:rPr>
        <w:t xml:space="preserve">Formez-vous au calcul de dimensionnement (FEA si possible) pour valider vos conceptions</w:t>
      </w:r>
    </w:p>
    <w:p>
      <w:pPr>
        <w:pStyle w:val="ListParagraph"/>
        <w:numPr>
          <w:ilvl w:val="0"/>
          <w:numId w:val="2"/>
        </w:numPr>
        <w:spacing w:before="60" w:after="60"/>
      </w:pPr>
      <w:r>
        <w:rPr>
          <w:rFonts w:ascii="Arial" w:cs="Arial" w:eastAsia="Arial" w:hAnsi="Arial"/>
          <w:b w:val="false"/>
          <w:bCs w:val="false"/>
          <w:sz w:val="22"/>
          <w:szCs w:val="22"/>
        </w:rPr>
        <w:t xml:space="preserve">Obtenez au moins une certification sectorielle (EN 9100, ISO 9001 Lead Implementer, etc.)</w:t>
      </w:r>
    </w:p>
    <w:p>
      <w:pPr>
        <w:spacing w:before="80" w:after="80"/>
      </w:pPr>
      <w:r>
        <w:rPr>
          <w:rFonts w:ascii="Arial" w:cs="Arial" w:eastAsia="Arial" w:hAnsi="Arial"/>
          <w:i/>
          <w:iCs/>
          <w:sz w:val="22"/>
          <w:szCs w:val="22"/>
        </w:rPr>
        <w:t xml:space="preserve">C'est dans cette phase que vous identifiez votre spécialisation : conception produit, structures, mécanismes, thermique/fluides, outillage...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PHASE 3 — L'expertise (5 à 10 ans)  |  Groupe G13 à G14</w:t>
      </w:r>
    </w:p>
    <w:p>
      <w:pPr>
        <w:spacing w:before="80" w:after="80"/>
      </w:pPr>
      <w:r>
        <w:rPr>
          <w:rFonts w:ascii="Arial" w:cs="Arial" w:eastAsia="Arial" w:hAnsi="Arial"/>
          <w:sz w:val="22"/>
          <w:szCs w:val="22"/>
        </w:rPr>
        <w:t xml:space="preserve">Vous devenez une référence dans votre domaine. C'est le moment de choisir entre deux trajectoires complémentaires :</w:t>
      </w:r>
    </w:p>
    <w:p>
      <w:pPr>
        <w:pStyle w:val="ListParagraph"/>
        <w:numPr>
          <w:ilvl w:val="0"/>
          <w:numId w:val="2"/>
        </w:numPr>
        <w:spacing w:before="60" w:after="60"/>
      </w:pPr>
      <w:r>
        <w:rPr>
          <w:rFonts w:ascii="Arial" w:cs="Arial" w:eastAsia="Arial" w:hAnsi="Arial"/>
          <w:b w:val="false"/>
          <w:bCs w:val="false"/>
          <w:sz w:val="22"/>
          <w:szCs w:val="22"/>
        </w:rPr>
        <w:t xml:space="preserve">La filière technique expert : vous approfondissez votre domaine, devenez le référent métier de l'entreprise, éventuellement reconnu au niveau sectoriel ou normalisé</w:t>
      </w:r>
    </w:p>
    <w:p>
      <w:pPr>
        <w:pStyle w:val="ListParagraph"/>
        <w:numPr>
          <w:ilvl w:val="0"/>
          <w:numId w:val="2"/>
        </w:numPr>
        <w:spacing w:before="60" w:after="60"/>
      </w:pPr>
      <w:r>
        <w:rPr>
          <w:rFonts w:ascii="Arial" w:cs="Arial" w:eastAsia="Arial" w:hAnsi="Arial"/>
          <w:b w:val="false"/>
          <w:bCs w:val="false"/>
          <w:sz w:val="22"/>
          <w:szCs w:val="22"/>
        </w:rPr>
        <w:t xml:space="preserve">La filière management de projet : vous pilotez des projets transverses, coordonnez des équipes pluridisciplinaires, gérez des interfaces client-fournisseur</w:t>
      </w:r>
    </w:p>
    <w:p>
      <w:pPr>
        <w:spacing w:before="80" w:after="80"/>
      </w:pPr>
      <w:r>
        <w:rPr>
          <w:rFonts w:ascii="Arial" w:cs="Arial" w:eastAsia="Arial" w:hAnsi="Arial"/>
          <w:i/>
          <w:iCs/>
          <w:sz w:val="22"/>
          <w:szCs w:val="22"/>
        </w:rPr>
        <w:t xml:space="preserve">Ces deux trajectoires ne sont pas exclusives. Les meilleurs profils savent alterner selon les besoins de l'entreprise.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PHASE 4 — Le leadership technique (10 à 18 ans)  |  Groupe H15 à H16</w:t>
      </w:r>
    </w:p>
    <w:p>
      <w:pPr>
        <w:spacing w:before="80" w:after="80"/>
      </w:pPr>
      <w:r>
        <w:rPr>
          <w:rFonts w:ascii="Arial" w:cs="Arial" w:eastAsia="Arial" w:hAnsi="Arial"/>
          <w:sz w:val="22"/>
          <w:szCs w:val="22"/>
        </w:rPr>
        <w:t xml:space="preserve">Vous êtes maintenant en position de définir les orientations techniques de votre unité. Vos décisions engagent des ressources importantes. Vos compétences interpersonnelles deviennent aussi importantes que vos compétences techniques.</w:t>
      </w:r>
    </w:p>
    <w:p>
      <w:pPr>
        <w:pStyle w:val="ListParagraph"/>
        <w:numPr>
          <w:ilvl w:val="0"/>
          <w:numId w:val="2"/>
        </w:numPr>
        <w:spacing w:before="60" w:after="60"/>
      </w:pPr>
      <w:r>
        <w:rPr>
          <w:rFonts w:ascii="Arial" w:cs="Arial" w:eastAsia="Arial" w:hAnsi="Arial"/>
          <w:b w:val="false"/>
          <w:bCs w:val="false"/>
          <w:sz w:val="22"/>
          <w:szCs w:val="22"/>
        </w:rPr>
        <w:t xml:space="preserve">Responsable Bureau d'Études : vous managez une équipe d'ingénieurs et techniciens</w:t>
      </w:r>
    </w:p>
    <w:p>
      <w:pPr>
        <w:pStyle w:val="ListParagraph"/>
        <w:numPr>
          <w:ilvl w:val="0"/>
          <w:numId w:val="2"/>
        </w:numPr>
        <w:spacing w:before="60" w:after="60"/>
      </w:pPr>
      <w:r>
        <w:rPr>
          <w:rFonts w:ascii="Arial" w:cs="Arial" w:eastAsia="Arial" w:hAnsi="Arial"/>
          <w:b w:val="false"/>
          <w:bCs w:val="false"/>
          <w:sz w:val="22"/>
          <w:szCs w:val="22"/>
        </w:rPr>
        <w:t xml:space="preserve">Directeur Technique : vous définissez la roadmap technologique de l'entreprise</w:t>
      </w:r>
    </w:p>
    <w:p>
      <w:pPr>
        <w:pStyle w:val="ListParagraph"/>
        <w:numPr>
          <w:ilvl w:val="0"/>
          <w:numId w:val="2"/>
        </w:numPr>
        <w:spacing w:before="60" w:after="60"/>
      </w:pPr>
      <w:r>
        <w:rPr>
          <w:rFonts w:ascii="Arial" w:cs="Arial" w:eastAsia="Arial" w:hAnsi="Arial"/>
          <w:b w:val="false"/>
          <w:bCs w:val="false"/>
          <w:sz w:val="22"/>
          <w:szCs w:val="22"/>
        </w:rPr>
        <w:t xml:space="preserve">Expert Senior : vous êtes sollicité pour les problèmes les plus complexes, en interne et par des organismes externes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PHASE 5 — La direction et la transmission (18 ans et +)  |  Groupe I17 à I18</w:t>
      </w:r>
    </w:p>
    <w:p>
      <w:pPr>
        <w:spacing w:before="80" w:after="80"/>
      </w:pPr>
      <w:r>
        <w:rPr>
          <w:rFonts w:ascii="Arial" w:cs="Arial" w:eastAsia="Arial" w:hAnsi="Arial"/>
          <w:sz w:val="22"/>
          <w:szCs w:val="22"/>
        </w:rPr>
        <w:t xml:space="preserve">À ce stade, votre valeur est autant dans votre réseau, votre jugement et votre capacité à faire émerger les talents que dans votre technique pure. La transmission devient une mission à part entière.</w:t>
      </w:r>
    </w:p>
    <w:p>
      <w:pPr>
        <w:pStyle w:val="ListParagraph"/>
        <w:numPr>
          <w:ilvl w:val="0"/>
          <w:numId w:val="2"/>
        </w:numPr>
        <w:spacing w:before="60" w:after="60"/>
      </w:pPr>
      <w:r>
        <w:rPr>
          <w:rFonts w:ascii="Arial" w:cs="Arial" w:eastAsia="Arial" w:hAnsi="Arial"/>
          <w:b w:val="false"/>
          <w:bCs w:val="false"/>
          <w:sz w:val="22"/>
          <w:szCs w:val="22"/>
        </w:rPr>
        <w:t xml:space="preserve">Directeur de l'Ingénierie : vous pilotez plusieurs BU ou entités techniques</w:t>
      </w:r>
    </w:p>
    <w:p>
      <w:pPr>
        <w:pStyle w:val="ListParagraph"/>
        <w:numPr>
          <w:ilvl w:val="0"/>
          <w:numId w:val="2"/>
        </w:numPr>
        <w:spacing w:before="60" w:after="60"/>
      </w:pPr>
      <w:r>
        <w:rPr>
          <w:rFonts w:ascii="Arial" w:cs="Arial" w:eastAsia="Arial" w:hAnsi="Arial"/>
          <w:b w:val="false"/>
          <w:bCs w:val="false"/>
          <w:sz w:val="22"/>
          <w:szCs w:val="22"/>
        </w:rPr>
        <w:t xml:space="preserve">VP Engineering / CTO : vous définissez la vision technologique à 5-10 ans</w:t>
      </w:r>
    </w:p>
    <w:p>
      <w:pPr>
        <w:pStyle w:val="ListParagraph"/>
        <w:numPr>
          <w:ilvl w:val="0"/>
          <w:numId w:val="2"/>
        </w:numPr>
        <w:spacing w:before="60" w:after="60"/>
      </w:pPr>
      <w:r>
        <w:rPr>
          <w:rFonts w:ascii="Arial" w:cs="Arial" w:eastAsia="Arial" w:hAnsi="Arial"/>
          <w:b w:val="false"/>
          <w:bCs w:val="false"/>
          <w:sz w:val="22"/>
          <w:szCs w:val="22"/>
        </w:rPr>
        <w:t xml:space="preserve">Consultant indépendant : vous mettez votre expertise au service de plusieurs entreprises</w:t>
      </w:r>
    </w:p>
    <w:p>
      <w:pPr>
        <w:pStyle w:val="ListParagraph"/>
        <w:numPr>
          <w:ilvl w:val="0"/>
          <w:numId w:val="2"/>
        </w:numPr>
        <w:spacing w:before="60" w:after="60"/>
      </w:pPr>
      <w:r>
        <w:rPr>
          <w:rFonts w:ascii="Arial" w:cs="Arial" w:eastAsia="Arial" w:hAnsi="Arial"/>
          <w:b w:val="false"/>
          <w:bCs w:val="false"/>
          <w:sz w:val="22"/>
          <w:szCs w:val="22"/>
        </w:rPr>
        <w:t xml:space="preserve">Enseignant-praticien : vous transmettez dans les grandes écoles d'ingénieurs</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3.  Les options de carrière — Choisir sa trajectoire</w:t>
      </w:r>
    </w:p>
    <w:p>
      <w:pPr>
        <w:spacing w:before="80" w:after="80"/>
      </w:pPr>
      <w:r>
        <w:rPr>
          <w:rFonts w:ascii="Arial" w:cs="Arial" w:eastAsia="Arial" w:hAnsi="Arial"/>
          <w:sz w:val="22"/>
          <w:szCs w:val="22"/>
        </w:rPr>
        <w:t xml:space="preserve">La conception mécanique ouvre des portes dans de nombreux secteurs. Voici les principales orientations à connaître dès le début de carrière.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3.1  Par secteur d'activité</w:t>
      </w:r>
    </w:p>
    <w:p>
      <w:pPr>
        <w:spacing w:before="80" w:after="80"/>
      </w:pPr>
      <w:r>
        <w:rPr>
          <w:rFonts w:ascii="Arial" w:cs="Arial" w:eastAsia="Arial" w:hAnsi="Arial"/>
          <w:sz w:val="22"/>
          <w:szCs w:val="22"/>
        </w:rPr>
        <w:t xml:space="preserve">Certains secteurs offrent des rémunérations nettement au-dessus des minima CCN, notamment :</w:t>
      </w:r>
    </w:p>
    <w:p>
      <w:pPr>
        <w:pStyle w:val="ListParagraph"/>
        <w:numPr>
          <w:ilvl w:val="0"/>
          <w:numId w:val="2"/>
        </w:numPr>
        <w:spacing w:before="60" w:after="60"/>
      </w:pPr>
      <w:r>
        <w:rPr>
          <w:rFonts w:ascii="Arial" w:cs="Arial" w:eastAsia="Arial" w:hAnsi="Arial"/>
          <w:b w:val="false"/>
          <w:bCs w:val="false"/>
          <w:sz w:val="22"/>
          <w:szCs w:val="22"/>
        </w:rPr>
        <w:t xml:space="preserve">Aéronautique &amp; Défense (Airbus, Dassault, Safran, Thales, MBDA) — exigences normatives très élevées, salaires compétitifs, forte culture de l'excellence</w:t>
      </w:r>
    </w:p>
    <w:p>
      <w:pPr>
        <w:pStyle w:val="ListParagraph"/>
        <w:numPr>
          <w:ilvl w:val="0"/>
          <w:numId w:val="2"/>
        </w:numPr>
        <w:spacing w:before="60" w:after="60"/>
      </w:pPr>
      <w:r>
        <w:rPr>
          <w:rFonts w:ascii="Arial" w:cs="Arial" w:eastAsia="Arial" w:hAnsi="Arial"/>
          <w:b w:val="false"/>
          <w:bCs w:val="false"/>
          <w:sz w:val="22"/>
          <w:szCs w:val="22"/>
        </w:rPr>
        <w:t xml:space="preserve">Automobile &amp; Mobilité (Stellantis, Renault, Valeo, Faurecia, Forvia) — volumes élevés, méthodes industrielles très codifiées, forte culture du coût</w:t>
      </w:r>
    </w:p>
    <w:p>
      <w:pPr>
        <w:pStyle w:val="ListParagraph"/>
        <w:numPr>
          <w:ilvl w:val="0"/>
          <w:numId w:val="2"/>
        </w:numPr>
        <w:spacing w:before="60" w:after="60"/>
      </w:pPr>
      <w:r>
        <w:rPr>
          <w:rFonts w:ascii="Arial" w:cs="Arial" w:eastAsia="Arial" w:hAnsi="Arial"/>
          <w:b w:val="false"/>
          <w:bCs w:val="false"/>
          <w:sz w:val="22"/>
          <w:szCs w:val="22"/>
        </w:rPr>
        <w:t xml:space="preserve">Énergie (Framatome, TotalEnergies, Schneider Electric, GE) — cycles longs, enjeux de sûreté, forte valorisation des experts</w:t>
      </w:r>
    </w:p>
    <w:p>
      <w:pPr>
        <w:pStyle w:val="ListParagraph"/>
        <w:numPr>
          <w:ilvl w:val="0"/>
          <w:numId w:val="2"/>
        </w:numPr>
        <w:spacing w:before="60" w:after="60"/>
      </w:pPr>
      <w:r>
        <w:rPr>
          <w:rFonts w:ascii="Arial" w:cs="Arial" w:eastAsia="Arial" w:hAnsi="Arial"/>
          <w:b w:val="false"/>
          <w:bCs w:val="false"/>
          <w:sz w:val="22"/>
          <w:szCs w:val="22"/>
        </w:rPr>
        <w:t xml:space="preserve">Industrie lourde &amp; machines-outils (Fives, Veolia, Alstom, Andritz) — conception sur mesure, ingénierie de solutions, relation client forte</w:t>
      </w:r>
    </w:p>
    <w:p>
      <w:pPr>
        <w:pStyle w:val="ListParagraph"/>
        <w:numPr>
          <w:ilvl w:val="0"/>
          <w:numId w:val="2"/>
        </w:numPr>
        <w:spacing w:before="60" w:after="60"/>
      </w:pPr>
      <w:r>
        <w:rPr>
          <w:rFonts w:ascii="Arial" w:cs="Arial" w:eastAsia="Arial" w:hAnsi="Arial"/>
          <w:b w:val="false"/>
          <w:bCs w:val="false"/>
          <w:sz w:val="22"/>
          <w:szCs w:val="22"/>
        </w:rPr>
        <w:t xml:space="preserve">Médical &amp; dispositifs (Stryker, Zimmer Biomet, Essilor, bioMérieux) — réglementation stricte (MDR), très haute valeur ajoutée, salaires en hausse</w:t>
      </w:r>
    </w:p>
    <w:p>
      <w:pPr>
        <w:pStyle w:val="ListParagraph"/>
        <w:numPr>
          <w:ilvl w:val="0"/>
          <w:numId w:val="2"/>
        </w:numPr>
        <w:spacing w:before="60" w:after="60"/>
      </w:pPr>
      <w:r>
        <w:rPr>
          <w:rFonts w:ascii="Arial" w:cs="Arial" w:eastAsia="Arial" w:hAnsi="Arial"/>
          <w:b w:val="false"/>
          <w:bCs w:val="false"/>
          <w:sz w:val="22"/>
          <w:szCs w:val="22"/>
        </w:rPr>
        <w:t xml:space="preserve">Bureau d'études sous-traitants (Altair, Expleo, AKKA, Alten, Segula) — diversité des projets, montée en compétences rapide, mobilité sectorielle facilitée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3.2  Par type de poste</w:t>
      </w:r>
    </w:p>
    <w:p>
      <w:pPr>
        <w:pStyle w:val="ListParagraph"/>
        <w:numPr>
          <w:ilvl w:val="0"/>
          <w:numId w:val="2"/>
        </w:numPr>
        <w:spacing w:before="60" w:after="60"/>
      </w:pPr>
      <w:r>
        <w:rPr>
          <w:rFonts w:ascii="Arial" w:cs="Arial" w:eastAsia="Arial" w:hAnsi="Arial"/>
          <w:b w:val="false"/>
          <w:bCs w:val="false"/>
          <w:sz w:val="22"/>
          <w:szCs w:val="22"/>
        </w:rPr>
        <w:t xml:space="preserve">Ingénieur de conception produit : développement de pièces et sous-ensembles, travail en bureau d'études</w:t>
      </w:r>
    </w:p>
    <w:p>
      <w:pPr>
        <w:pStyle w:val="ListParagraph"/>
        <w:numPr>
          <w:ilvl w:val="0"/>
          <w:numId w:val="2"/>
        </w:numPr>
        <w:spacing w:before="60" w:after="60"/>
      </w:pPr>
      <w:r>
        <w:rPr>
          <w:rFonts w:ascii="Arial" w:cs="Arial" w:eastAsia="Arial" w:hAnsi="Arial"/>
          <w:b w:val="false"/>
          <w:bCs w:val="false"/>
          <w:sz w:val="22"/>
          <w:szCs w:val="22"/>
        </w:rPr>
        <w:t xml:space="preserve">Ingénieur calcul / simulation : dimensionnement, optimisation, validation par simulation numérique (FEA, CFD)</w:t>
      </w:r>
    </w:p>
    <w:p>
      <w:pPr>
        <w:pStyle w:val="ListParagraph"/>
        <w:numPr>
          <w:ilvl w:val="0"/>
          <w:numId w:val="2"/>
        </w:numPr>
        <w:spacing w:before="60" w:after="60"/>
      </w:pPr>
      <w:r>
        <w:rPr>
          <w:rFonts w:ascii="Arial" w:cs="Arial" w:eastAsia="Arial" w:hAnsi="Arial"/>
          <w:b w:val="false"/>
          <w:bCs w:val="false"/>
          <w:sz w:val="22"/>
          <w:szCs w:val="22"/>
        </w:rPr>
        <w:t xml:space="preserve">Ingénieur méthodes et industrialisation : lien entre conception et production, DFMA, outillages</w:t>
      </w:r>
    </w:p>
    <w:p>
      <w:pPr>
        <w:pStyle w:val="ListParagraph"/>
        <w:numPr>
          <w:ilvl w:val="0"/>
          <w:numId w:val="2"/>
        </w:numPr>
        <w:spacing w:before="60" w:after="60"/>
      </w:pPr>
      <w:r>
        <w:rPr>
          <w:rFonts w:ascii="Arial" w:cs="Arial" w:eastAsia="Arial" w:hAnsi="Arial"/>
          <w:b w:val="false"/>
          <w:bCs w:val="false"/>
          <w:sz w:val="22"/>
          <w:szCs w:val="22"/>
        </w:rPr>
        <w:t xml:space="preserve">Ingénieur qualité produit / AMDEC : fiabilité, contrôle, conformité aux exigences clients</w:t>
      </w:r>
    </w:p>
    <w:p>
      <w:pPr>
        <w:pStyle w:val="ListParagraph"/>
        <w:numPr>
          <w:ilvl w:val="0"/>
          <w:numId w:val="2"/>
        </w:numPr>
        <w:spacing w:before="60" w:after="60"/>
      </w:pPr>
      <w:r>
        <w:rPr>
          <w:rFonts w:ascii="Arial" w:cs="Arial" w:eastAsia="Arial" w:hAnsi="Arial"/>
          <w:b w:val="false"/>
          <w:bCs w:val="false"/>
          <w:sz w:val="22"/>
          <w:szCs w:val="22"/>
        </w:rPr>
        <w:t xml:space="preserve">Chef de projet technique : coordination pluridisciplinaire, interface client, gestion planning/budget</w:t>
      </w:r>
    </w:p>
    <w:p>
      <w:pPr>
        <w:pStyle w:val="ListParagraph"/>
        <w:numPr>
          <w:ilvl w:val="0"/>
          <w:numId w:val="2"/>
        </w:numPr>
        <w:spacing w:before="60" w:after="60"/>
      </w:pPr>
      <w:r>
        <w:rPr>
          <w:rFonts w:ascii="Arial" w:cs="Arial" w:eastAsia="Arial" w:hAnsi="Arial"/>
          <w:b w:val="false"/>
          <w:bCs w:val="false"/>
          <w:sz w:val="22"/>
          <w:szCs w:val="22"/>
        </w:rPr>
        <w:t xml:space="preserve">Ingénieur avant-vente / application : interface commerciale, chiffrage technique, propositions</w:t>
      </w:r>
    </w:p>
    <w:p>
      <w:pPr>
        <w:pStyle w:val="ListParagraph"/>
        <w:numPr>
          <w:ilvl w:val="0"/>
          <w:numId w:val="2"/>
        </w:numPr>
        <w:spacing w:before="60" w:after="60"/>
      </w:pPr>
      <w:r>
        <w:rPr>
          <w:rFonts w:ascii="Arial" w:cs="Arial" w:eastAsia="Arial" w:hAnsi="Arial"/>
          <w:b w:val="false"/>
          <w:bCs w:val="false"/>
          <w:sz w:val="22"/>
          <w:szCs w:val="22"/>
        </w:rPr>
        <w:t xml:space="preserve">Consultant / Expert indépendant : missions à haute valeur ajoutée, autonomie maximale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3.3  Par mode de travail</w:t>
      </w:r>
    </w:p>
    <w:p>
      <w:pPr>
        <w:pStyle w:val="ListParagraph"/>
        <w:numPr>
          <w:ilvl w:val="0"/>
          <w:numId w:val="2"/>
        </w:numPr>
        <w:spacing w:before="60" w:after="60"/>
      </w:pPr>
      <w:r>
        <w:rPr>
          <w:rFonts w:ascii="Arial" w:cs="Arial" w:eastAsia="Arial" w:hAnsi="Arial"/>
          <w:b w:val="false"/>
          <w:bCs w:val="false"/>
          <w:sz w:val="22"/>
          <w:szCs w:val="22"/>
        </w:rPr>
        <w:t xml:space="preserve">Salarié en grand groupe : stabilité, formation, mobilité internationale possible, progression balisée</w:t>
      </w:r>
    </w:p>
    <w:p>
      <w:pPr>
        <w:pStyle w:val="ListParagraph"/>
        <w:numPr>
          <w:ilvl w:val="0"/>
          <w:numId w:val="2"/>
        </w:numPr>
        <w:spacing w:before="60" w:after="60"/>
      </w:pPr>
      <w:r>
        <w:rPr>
          <w:rFonts w:ascii="Arial" w:cs="Arial" w:eastAsia="Arial" w:hAnsi="Arial"/>
          <w:b w:val="false"/>
          <w:bCs w:val="false"/>
          <w:sz w:val="22"/>
          <w:szCs w:val="22"/>
        </w:rPr>
        <w:t xml:space="preserve">Salarié en PME/ETI : polyvalence, impact visible, relation direction directe, évolution rapide</w:t>
      </w:r>
    </w:p>
    <w:p>
      <w:pPr>
        <w:pStyle w:val="ListParagraph"/>
        <w:numPr>
          <w:ilvl w:val="0"/>
          <w:numId w:val="2"/>
        </w:numPr>
        <w:spacing w:before="60" w:after="60"/>
      </w:pPr>
      <w:r>
        <w:rPr>
          <w:rFonts w:ascii="Arial" w:cs="Arial" w:eastAsia="Arial" w:hAnsi="Arial"/>
          <w:b w:val="false"/>
          <w:bCs w:val="false"/>
          <w:sz w:val="22"/>
          <w:szCs w:val="22"/>
        </w:rPr>
        <w:t xml:space="preserve">Freelance / Consultant indépendant (portage salarial ou EURL) : TJM élevé, liberté de choix des missions, à partir de 5-7 ans d'expérience</w:t>
      </w:r>
    </w:p>
    <w:p>
      <w:pPr>
        <w:pStyle w:val="ListParagraph"/>
        <w:numPr>
          <w:ilvl w:val="0"/>
          <w:numId w:val="2"/>
        </w:numPr>
        <w:spacing w:before="60" w:after="60"/>
      </w:pPr>
      <w:r>
        <w:rPr>
          <w:rFonts w:ascii="Arial" w:cs="Arial" w:eastAsia="Arial" w:hAnsi="Arial"/>
          <w:b w:val="false"/>
          <w:bCs w:val="false"/>
          <w:sz w:val="22"/>
          <w:szCs w:val="22"/>
        </w:rPr>
        <w:t xml:space="preserve">Entrepreneur / Fondateur de startup deeptech : création de valeur maximale, risque élevé, apport de votre expertise technique comme avantage compétitif</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4.  Grille CCN Métallurgie — Classes, groupes et salaires corrélés</w:t>
      </w:r>
    </w:p>
    <w:p>
      <w:pPr>
        <w:spacing w:before="80" w:after="80"/>
      </w:pPr>
      <w:r>
        <w:rPr>
          <w:rFonts w:ascii="Arial" w:cs="Arial" w:eastAsia="Arial" w:hAnsi="Arial"/>
          <w:sz w:val="22"/>
          <w:szCs w:val="22"/>
        </w:rPr>
        <w:t xml:space="preserve">La Convention Collective Nationale de la Métallurgie (IDCC 3248), signée le 7 février 2022 et applicable depuis le 1er janvier 2024, unifie les 76 anciennes conventions en un texte unique couvrant 1,5 million de salariés dans 42 000 entreprises. Elle introduit une grille de classification à 18 classes, regroupées en 9 groupes (A à I).</w:t>
      </w:r>
    </w:p>
    <w:p>
      <w:pPr>
        <w:spacing w:before="60" w:after="60"/>
      </w:pPr>
      <w:r>
        <w:t xml:space="preserve"/>
      </w:r>
    </w:p>
    <w:p>
      <w:pPr>
        <w:spacing w:before="80" w:after="80"/>
      </w:pPr>
      <w:r>
        <w:rPr>
          <w:rFonts w:ascii="Arial" w:cs="Arial" w:eastAsia="Arial" w:hAnsi="Arial"/>
          <w:b/>
          <w:bCs/>
          <w:sz w:val="22"/>
          <w:szCs w:val="22"/>
        </w:rPr>
        <w:t xml:space="preserve">Le classement de chaque emploi repose sur 6 critères cotés de 1 à 10 points chacun :</w:t>
      </w:r>
    </w:p>
    <w:p>
      <w:pPr>
        <w:pStyle w:val="ListParagraph"/>
        <w:numPr>
          <w:ilvl w:val="0"/>
          <w:numId w:val="2"/>
        </w:numPr>
        <w:spacing w:before="60" w:after="60"/>
      </w:pPr>
      <w:r>
        <w:rPr>
          <w:rFonts w:ascii="Arial" w:cs="Arial" w:eastAsia="Arial" w:hAnsi="Arial"/>
          <w:b w:val="false"/>
          <w:bCs w:val="false"/>
          <w:sz w:val="22"/>
          <w:szCs w:val="22"/>
        </w:rPr>
        <w:t xml:space="preserve">Complexité de l'activité</w:t>
      </w:r>
    </w:p>
    <w:p>
      <w:pPr>
        <w:pStyle w:val="ListParagraph"/>
        <w:numPr>
          <w:ilvl w:val="0"/>
          <w:numId w:val="2"/>
        </w:numPr>
        <w:spacing w:before="60" w:after="60"/>
      </w:pPr>
      <w:r>
        <w:rPr>
          <w:rFonts w:ascii="Arial" w:cs="Arial" w:eastAsia="Arial" w:hAnsi="Arial"/>
          <w:b w:val="false"/>
          <w:bCs w:val="false"/>
          <w:sz w:val="22"/>
          <w:szCs w:val="22"/>
        </w:rPr>
        <w:t xml:space="preserve">Connaissances requises</w:t>
      </w:r>
    </w:p>
    <w:p>
      <w:pPr>
        <w:pStyle w:val="ListParagraph"/>
        <w:numPr>
          <w:ilvl w:val="0"/>
          <w:numId w:val="2"/>
        </w:numPr>
        <w:spacing w:before="60" w:after="60"/>
      </w:pPr>
      <w:r>
        <w:rPr>
          <w:rFonts w:ascii="Arial" w:cs="Arial" w:eastAsia="Arial" w:hAnsi="Arial"/>
          <w:b w:val="false"/>
          <w:bCs w:val="false"/>
          <w:sz w:val="22"/>
          <w:szCs w:val="22"/>
        </w:rPr>
        <w:t xml:space="preserve">Autonomie</w:t>
      </w:r>
    </w:p>
    <w:p>
      <w:pPr>
        <w:pStyle w:val="ListParagraph"/>
        <w:numPr>
          <w:ilvl w:val="0"/>
          <w:numId w:val="2"/>
        </w:numPr>
        <w:spacing w:before="60" w:after="60"/>
      </w:pPr>
      <w:r>
        <w:rPr>
          <w:rFonts w:ascii="Arial" w:cs="Arial" w:eastAsia="Arial" w:hAnsi="Arial"/>
          <w:b w:val="false"/>
          <w:bCs w:val="false"/>
          <w:sz w:val="22"/>
          <w:szCs w:val="22"/>
        </w:rPr>
        <w:t xml:space="preserve">Contribution / Impact</w:t>
      </w:r>
    </w:p>
    <w:p>
      <w:pPr>
        <w:pStyle w:val="ListParagraph"/>
        <w:numPr>
          <w:ilvl w:val="0"/>
          <w:numId w:val="2"/>
        </w:numPr>
        <w:spacing w:before="60" w:after="60"/>
      </w:pPr>
      <w:r>
        <w:rPr>
          <w:rFonts w:ascii="Arial" w:cs="Arial" w:eastAsia="Arial" w:hAnsi="Arial"/>
          <w:b w:val="false"/>
          <w:bCs w:val="false"/>
          <w:sz w:val="22"/>
          <w:szCs w:val="22"/>
        </w:rPr>
        <w:t xml:space="preserve">Encadrement et coopération</w:t>
      </w:r>
    </w:p>
    <w:p>
      <w:pPr>
        <w:pStyle w:val="ListParagraph"/>
        <w:numPr>
          <w:ilvl w:val="0"/>
          <w:numId w:val="2"/>
        </w:numPr>
        <w:spacing w:before="60" w:after="60"/>
      </w:pPr>
      <w:r>
        <w:rPr>
          <w:rFonts w:ascii="Arial" w:cs="Arial" w:eastAsia="Arial" w:hAnsi="Arial"/>
          <w:b w:val="false"/>
          <w:bCs w:val="false"/>
          <w:sz w:val="22"/>
          <w:szCs w:val="22"/>
        </w:rPr>
        <w:t xml:space="preserve">Communication</w:t>
      </w:r>
    </w:p>
    <w:p>
      <w:pPr>
        <w:spacing w:before="60" w:after="60"/>
      </w:pPr>
      <w:r>
        <w:t xml:space="preserve"/>
      </w:r>
    </w:p>
    <w:p>
      <w:pPr>
        <w:spacing w:before="80" w:after="80"/>
      </w:pPr>
      <w:r>
        <w:rPr>
          <w:rFonts w:ascii="Arial" w:cs="Arial" w:eastAsia="Arial" w:hAnsi="Arial"/>
          <w:b/>
          <w:bCs/>
          <w:i/>
          <w:iCs/>
          <w:sz w:val="22"/>
          <w:szCs w:val="22"/>
        </w:rPr>
        <w:t xml:space="preserve">Le total (de 6 à 60 points) détermine la classe (1 à 18) et donc le groupe (A à I) du salarié. Les groupes A à E correspondent aux non-cadres, F à I aux cadres. Un diplômé Bac+5 en ingénierie est classé au minimum en F11.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900"/>
        <w:gridCol w:w="1400"/>
        <w:gridCol w:w="1160"/>
        <w:gridCol w:w="2600"/>
      </w:tblGrid>
      <w:tr>
        <w:trPr>
          <w:tblHeader/>
        </w:trPr>
        <w:tc>
          <w:tcPr>
            <w:tcW w:type="dxa" w:w="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Grp</w:t>
            </w:r>
          </w:p>
        </w:tc>
        <w:tc>
          <w:tcPr>
            <w:tcW w:type="dxa" w:w="7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w:t>
            </w:r>
          </w:p>
        </w:tc>
        <w:tc>
          <w:tcPr>
            <w:tcW w:type="dxa" w:w="29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 type</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SMH annuel brut</w:t>
            </w:r>
          </w:p>
        </w:tc>
        <w:tc>
          <w:tcPr>
            <w:tcW w:type="dxa" w:w="11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Caractéristiques</w:t>
            </w:r>
          </w:p>
        </w:tc>
      </w:tr>
      <w:tr>
        <w:tc>
          <w:tcPr>
            <w:tcW w:type="dxa" w:w="9360"/>
            <w:gridSpan w:val="6"/>
            <w:tcBorders>
              <w:top w:val="single" w:color="CCCCCC" w:sz="6"/>
              <w:left w:val="single" w:color="CCCCCC" w:sz="6"/>
              <w:bottom w:val="single" w:color="CCCCCC" w:sz="6"/>
              <w:right w:val="single" w:color="CCCCCC" w:sz="6"/>
            </w:tcBorders>
            <w:shd w:fill="D6E4F7"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NON-CADRES — Groupes A à E</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Opérateur, manoeuvre</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21 876 €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Exécution simple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Opérateur qualifié débutant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21 876 €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Tâches guidées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B</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Technicien junior / opérateur spécialisé</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22 450 €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Autonomie limitée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B</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Technicien / Opérateur expérimenté</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23 400 €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Procédures définies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Technicien confirmé / dessinateur junior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24 250 €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Spécialisation technique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Technicien supérieur / projeteur junior</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25 750 €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Autonomie technique</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Technicien expert / projeteur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27 450 €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Expertise reconnue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Ingénieur de conception junior (Bac+3/4)</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29 500 €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Missions complexes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Ingénieur / Chargé d'affaires (Bac+4/5)</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31 800 €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Pilotage technique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Ingénieur confirmé / Chef de projet junior</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33 500 €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20"/>
                <w:szCs w:val="20"/>
              </w:rPr>
              <w:t xml:space="preserve">Non-cadre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Coordination équipe</w:t>
            </w:r>
          </w:p>
        </w:tc>
      </w:tr>
      <w:tr>
        <w:tc>
          <w:tcPr>
            <w:tcW w:type="dxa" w:w="9360"/>
            <w:gridSpan w:val="6"/>
            <w:tcBorders>
              <w:top w:val="single" w:color="CCCCCC" w:sz="6"/>
              <w:left w:val="single" w:color="CCCCCC" w:sz="6"/>
              <w:bottom w:val="single" w:color="CCCCCC" w:sz="6"/>
              <w:right w:val="single" w:color="CCCCCC" w:sz="6"/>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CADRES — Groupes F à I (statut cadre obligatoire Bac+5)</w:t>
            </w:r>
          </w:p>
        </w:tc>
      </w:tr>
      <w:tr>
        <w:tc>
          <w:tcPr>
            <w:tcW w:type="dxa" w:w="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F</w:t>
            </w:r>
          </w:p>
        </w:tc>
        <w:tc>
          <w:tcPr>
            <w:tcW w:type="dxa" w:w="7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29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Ingénieur diplômé Bac+5 (entrée cadre)</w:t>
            </w:r>
          </w:p>
        </w:tc>
        <w:tc>
          <w:tcPr>
            <w:tcW w:type="dxa" w:w="1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35 200 €</w:t>
            </w:r>
          </w:p>
        </w:tc>
        <w:tc>
          <w:tcPr>
            <w:tcW w:type="dxa" w:w="116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CADRE</w:t>
            </w:r>
          </w:p>
        </w:tc>
        <w:tc>
          <w:tcPr>
            <w:tcW w:type="dxa" w:w="2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Expertise &amp; autonomie forte</w:t>
            </w:r>
          </w:p>
        </w:tc>
      </w:tr>
      <w:tr>
        <w:tc>
          <w:tcPr>
            <w:tcW w:type="dxa" w:w="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F</w:t>
            </w:r>
          </w:p>
        </w:tc>
        <w:tc>
          <w:tcPr>
            <w:tcW w:type="dxa" w:w="7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29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Ingénieur confirmé / Chef de projet</w:t>
            </w:r>
          </w:p>
        </w:tc>
        <w:tc>
          <w:tcPr>
            <w:tcW w:type="dxa" w:w="1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37 000 €</w:t>
            </w:r>
          </w:p>
        </w:tc>
        <w:tc>
          <w:tcPr>
            <w:tcW w:type="dxa" w:w="116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CADRE</w:t>
            </w:r>
          </w:p>
        </w:tc>
        <w:tc>
          <w:tcPr>
            <w:tcW w:type="dxa" w:w="2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Pilotage projets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G</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Ingénieur senior / Responsable technique</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40 350 €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technique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G</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Expert / Directeur technique adjoint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44 250 €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Référent métier</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H</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Directeur technique / Manager R&amp;D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47 380 €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Direction opérationnelle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H</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Directeur de BU / Directeur Ingénierie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52 370 €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Direction stratégique</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w:t>
            </w:r>
          </w:p>
        </w:tc>
        <w:tc>
          <w:tcPr>
            <w:tcW w:type="dxa" w:w="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29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Directeur général technique / VP Engineering</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59 720 €</w:t>
            </w:r>
          </w:p>
        </w:tc>
        <w:tc>
          <w:tcPr>
            <w:tcW w:type="dxa" w:w="1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Stratégie entreprise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2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C-Level / Directeur Général</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20"/>
                <w:szCs w:val="20"/>
              </w:rPr>
              <w:t xml:space="preserve">68 450 €</w:t>
            </w:r>
          </w:p>
        </w:tc>
        <w:tc>
          <w:tcPr>
            <w:tcW w:type="dxa" w:w="1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CADRE</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Leadership global</w:t>
            </w:r>
          </w:p>
        </w:tc>
      </w:tr>
      <w:tr>
        <w:tc>
          <w:tcPr>
            <w:tcW w:type="dxa" w:w="9360"/>
            <w:gridSpan w:val="6"/>
            <w:tcBorders>
              <w:top w:val="single" w:color="CCCCCC" w:sz="6"/>
              <w:left w:val="single" w:color="CCCCCC" w:sz="6"/>
              <w:bottom w:val="single" w:color="CCCCCC" w:sz="6"/>
              <w:right w:val="single" w:color="CCCCCC" w:sz="6"/>
            </w:tcBorders>
            <w:shd w:fill="FFF2CC" w:val="clear"/>
            <w:tcMar>
              <w:top w:type="dxa" w:w="60"/>
              <w:left w:type="dxa" w:w="120"/>
              <w:bottom w:type="dxa" w:w="60"/>
              <w:right w:type="dxa" w:w="120"/>
            </w:tcMar>
          </w:tcPr>
          <w:p>
            <w:r>
              <w:rPr>
                <w:rFonts w:ascii="Arial" w:cs="Arial" w:eastAsia="Arial" w:hAnsi="Arial"/>
                <w:i/>
                <w:iCs/>
                <w:color w:val="555555"/>
                <w:sz w:val="18"/>
                <w:szCs w:val="18"/>
              </w:rPr>
              <w:t xml:space="preserve">* Groupes A1-A2 : le SMH CCN (21 700 €) est inférieur au SMIC 2026 (21 876 €) — c'est le SMIC qui s'applique. Grille 2024 reconduite en 2025 (échec des négociations). Revalorisation moyenne +0,9 % accordée en 2026 (avenant du 20 fév. 2026). Salaires BRUTS annuels hors primes, ancienneté, majorations forfait et intéressement. Majoration forfait jours : +30 % du SMH pour les cadres.</w:t>
            </w:r>
          </w:p>
        </w:tc>
      </w:tr>
    </w:tbl>
    <w:p>
      <w:pPr>
        <w:spacing w:before="60" w:after="60"/>
      </w:pPr>
      <w:r>
        <w:t xml:space="preserve"/>
      </w:r>
    </w:p>
    <w:p>
      <w:r>
        <w:br w:type="page"/>
      </w:r>
    </w:p>
    <w:p>
      <w:pPr>
        <w:pStyle w:val="Heading1"/>
        <w:spacing w:before="360" w:after="160"/>
      </w:pPr>
      <w:r>
        <w:rPr>
          <w:rFonts w:ascii="Arial" w:cs="Arial" w:eastAsia="Arial" w:hAnsi="Arial"/>
          <w:b/>
          <w:bCs/>
          <w:color w:val="1F3864"/>
          <w:sz w:val="34"/>
          <w:szCs w:val="34"/>
        </w:rPr>
        <w:t xml:space="preserve">5.  Progression salariale corrélée à la carrière</w:t>
      </w:r>
    </w:p>
    <w:p>
      <w:pPr>
        <w:spacing w:before="80" w:after="80"/>
      </w:pPr>
      <w:r>
        <w:rPr>
          <w:rFonts w:ascii="Arial" w:cs="Arial" w:eastAsia="Arial" w:hAnsi="Arial"/>
          <w:sz w:val="22"/>
          <w:szCs w:val="22"/>
        </w:rPr>
        <w:t xml:space="preserve">Le tableau suivant corrèle les phases de carrière avec les classes CCN et les salaires minimaux hiérarchiques (SMH). Les salaires réels en entreprise sont généralement 15 à 40 % au-dessus des SMH selon le secteur, la région et les performances individuelles.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800"/>
        <w:gridCol w:w="1500"/>
        <w:gridCol w:w="3460"/>
      </w:tblGrid>
      <w:tr>
        <w:trPr>
          <w:tblHeader/>
        </w:trPr>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Expérience</w:t>
            </w:r>
          </w:p>
        </w:tc>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type</w:t>
            </w:r>
          </w:p>
        </w:tc>
        <w:tc>
          <w:tcPr>
            <w:tcW w:type="dxa" w:w="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SMH brut/an</w:t>
            </w:r>
          </w:p>
        </w:tc>
        <w:tc>
          <w:tcPr>
            <w:tcW w:type="dxa" w:w="34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que vous faites</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 – 2 ans</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Ingénieur conception junior</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F11</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35 200 €</w:t>
            </w:r>
          </w:p>
        </w:tc>
        <w:tc>
          <w:tcPr>
            <w:tcW w:type="dxa" w:w="3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Prise en main outils CAO, découverte métier, exécution sous supervision</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 – 5 ans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Ingénieur conception confirmé</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F12</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37 000 €</w:t>
            </w:r>
          </w:p>
        </w:tc>
        <w:tc>
          <w:tcPr>
            <w:tcW w:type="dxa" w:w="3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Autonomie sur projets, maîtrise process, début de responsabilité technique</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 – 8 ans</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Ingénieur senior / Chef de projet</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G13</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40 350 €</w:t>
            </w:r>
          </w:p>
        </w:tc>
        <w:tc>
          <w:tcPr>
            <w:tcW w:type="dxa" w:w="3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Pilotage projets, coordination équipes, interface client/fournisseur</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8 – 12 ans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Expert technique / Référent métier</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G14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44 250 €</w:t>
            </w:r>
          </w:p>
        </w:tc>
        <w:tc>
          <w:tcPr>
            <w:tcW w:type="dxa" w:w="3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Expertise métier, influence technique, mentoring junior</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12 – 18 ans</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 BE / Directeur technique</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H15</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47 380 €</w:t>
            </w:r>
          </w:p>
        </w:tc>
        <w:tc>
          <w:tcPr>
            <w:tcW w:type="dxa" w:w="3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de bureau d'études, stratégie technique, budget R&amp;D</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18 – 25 ans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Directeur Ingénierie / VP Engineering</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H16 – I17</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52 370 – 59 720 €</w:t>
            </w:r>
          </w:p>
        </w:tc>
        <w:tc>
          <w:tcPr>
            <w:tcW w:type="dxa" w:w="3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Direction stratégique, transformation, P&amp;L, innovation produit</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25+ ans</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Directeur Général / Expert reconnu</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20"/>
                <w:szCs w:val="20"/>
              </w:rPr>
              <w:t xml:space="preserve">I18</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20"/>
                <w:szCs w:val="20"/>
              </w:rPr>
              <w:t xml:space="preserve">68 450 €+</w:t>
            </w:r>
          </w:p>
        </w:tc>
        <w:tc>
          <w:tcPr>
            <w:tcW w:type="dxa" w:w="3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Leadership global, conseil, création valeur, transmission</w:t>
            </w:r>
          </w:p>
        </w:tc>
      </w:tr>
    </w:tbl>
    <w:p>
      <w:pPr>
        <w:spacing w:before="60" w:after="60"/>
      </w:pPr>
      <w:r>
        <w:t xml:space="preserve"/>
      </w:r>
    </w:p>
    <w:p>
      <w:pPr>
        <w:spacing w:before="80" w:after="80"/>
      </w:pPr>
      <w:r>
        <w:rPr>
          <w:rFonts w:ascii="Arial" w:cs="Arial" w:eastAsia="Arial" w:hAnsi="Arial"/>
          <w:i/>
          <w:iCs/>
          <w:color w:val="555555"/>
          <w:sz w:val="22"/>
          <w:szCs w:val="22"/>
        </w:rPr>
        <w:t xml:space="preserve">Point important : les SMH sont des planchers légaux. En aéronautique ou en défense, les salaires réels à classe équivalente peuvent dépasser les SMH de 20 à 50 %. En Île-de-France et dans les grandes agglomérations, comptez systématiquement un premium de 10 à 20 % sur la province.</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6.  Compétences à développer — La carte de montée en valeur</w:t>
      </w:r>
    </w:p>
    <w:p>
      <w:pPr>
        <w:spacing w:before="80" w:after="80"/>
      </w:pPr>
      <w:r>
        <w:rPr>
          <w:rFonts w:ascii="Arial" w:cs="Arial" w:eastAsia="Arial" w:hAnsi="Arial"/>
          <w:sz w:val="22"/>
          <w:szCs w:val="22"/>
        </w:rPr>
        <w:t xml:space="preserve">Voici les compétences qui font réellement la différence entre un ingénieur qui stagne en F11 pendant 10 ans et celui qui atteint G13-G14 en 6-7 ans. J'ai classé par priorité et par horizon temporel réaliste.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60"/>
        <w:gridCol w:w="1300"/>
        <w:gridCol w:w="2000"/>
      </w:tblGrid>
      <w:tr>
        <w:trPr>
          <w:tblHeader/>
        </w:trP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Compétence</w:t>
            </w:r>
          </w:p>
        </w:tc>
        <w:tc>
          <w:tcPr>
            <w:tcW w:type="dxa" w:w="38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 / Outils</w:t>
            </w:r>
          </w:p>
        </w:tc>
        <w:tc>
          <w:tcPr>
            <w:tcW w:type="dxa" w:w="13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Maîtrise des outils CAO</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CATIA V5/V6, SolidWorks, Creo, NX / Siemens — au moins un outil expert dès le départ</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0–3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Fondamental</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Calcul &amp; simulation (FEA/CFD)</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ANSYS, Abaqus, Nastran — dimensionnement, optimisation structurelle</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1–4 ans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Différenciant</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Gestion de projet &amp; méthodes</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PMI, Agile (SCRUM adapté en mécanique), jalons, gestion des risques</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2–5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Levier salarial</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Normes &amp; réglementation</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EN, ASTM, REACH, RoHS, marquage CE, Eurocodes selon secteur</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1–4 ans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Incontournable</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Connaissance des matériaux</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Aciers, alliages, composites, traitements de surface, soudage</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1–3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Fondamental</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Lean Manufacturing / DFMA</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For Manufacturing &amp; Assembly, AMDEC, 5S, SMED, VSM</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3–6 ans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Levier salarial</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Gestion du cycle de vie produit</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PLM (Windchill, Teamcenter, Enovia), configuration, ECO/ECR</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2–5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Stratégique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Anglais technique</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Lu/écrit/parlé — documentation, normes, réunions internationales</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Immédiat</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Fondamental</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Impression 3D &amp; fabrication additive</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FDM, SLA, SLS, DLP — prototypage, topological optimization</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2–4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Différenciant 2025+</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Données &amp; simulation numérique</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(scripting CAO), Matlab/Simulink, jumeaux numériques</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3–6 ans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Différenciant 2025+</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Industrie 4.0 &amp; IoT</w:t>
            </w:r>
          </w:p>
        </w:tc>
        <w:tc>
          <w:tcPr>
            <w:tcW w:type="dxa" w:w="3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Capteurs, collecte data, MES, intégration ligne de production</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4–8 ans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Stratégique 2025+</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Management &amp; leadership</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Conduite d'équipe, feedback, négociation, gestion de conflits</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5–10 ans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Levier directif</w:t>
            </w:r>
          </w:p>
        </w:tc>
      </w:tr>
    </w:tbl>
    <w:p>
      <w:pPr>
        <w:spacing w:before="60" w:after="60"/>
      </w:pPr>
      <w:r>
        <w:t xml:space="preserve"/>
      </w:r>
    </w:p>
    <w:p>
      <w:pPr>
        <w:spacing w:before="80" w:after="80"/>
      </w:pPr>
      <w:r>
        <w:rPr>
          <w:rFonts w:ascii="Arial" w:cs="Arial" w:eastAsia="Arial" w:hAnsi="Arial"/>
          <w:b/>
          <w:bCs/>
          <w:i/>
          <w:iCs/>
          <w:sz w:val="22"/>
          <w:szCs w:val="22"/>
        </w:rPr>
        <w:t xml:space="preserve">Ma recommandation personnelle : dans les 3 premières années, focalisez-vous sur l'excellence dans un seul outil CAO, la compréhension des matériaux et des procédés de fabrication, et l'anglais technique. Ces trois piliers vous rendront immédiatement utilisables et progressivement indispensables.</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7.  Conseils stratégiques — Ce que 50 ans m'ont appris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7.1  Les 10 règles d'or de l'ingénieur qui progresse</w:t>
      </w:r>
    </w:p>
    <w:p>
      <w:pPr>
        <w:pStyle w:val="ListParagraph"/>
        <w:numPr>
          <w:ilvl w:val="0"/>
          <w:numId w:val="3"/>
        </w:numPr>
        <w:spacing w:before="80" w:after="80"/>
      </w:pPr>
      <w:r>
        <w:rPr>
          <w:rFonts w:ascii="Arial" w:cs="Arial" w:eastAsia="Arial" w:hAnsi="Arial"/>
          <w:b w:val="false"/>
          <w:bCs w:val="false"/>
          <w:sz w:val="22"/>
          <w:szCs w:val="22"/>
        </w:rPr>
        <w:t xml:space="preserve">Tenez vos engagements — la fiabilité vaut plus que le génie. Un ingénieur qui livre est cent fois plus précieux qu'un ingénieur brillant qui rate ses délais.</w:t>
      </w:r>
    </w:p>
    <w:p>
      <w:pPr>
        <w:pStyle w:val="ListParagraph"/>
        <w:numPr>
          <w:ilvl w:val="0"/>
          <w:numId w:val="3"/>
        </w:numPr>
        <w:spacing w:before="80" w:after="80"/>
      </w:pPr>
      <w:r>
        <w:rPr>
          <w:rFonts w:ascii="Arial" w:cs="Arial" w:eastAsia="Arial" w:hAnsi="Arial"/>
          <w:b w:val="false"/>
          <w:bCs w:val="false"/>
          <w:sz w:val="22"/>
          <w:szCs w:val="22"/>
        </w:rPr>
        <w:t xml:space="preserve">Documentez tout — les dossiers techniques de qualité vous survivent et créent votre réputation sur la durée.</w:t>
      </w:r>
    </w:p>
    <w:p>
      <w:pPr>
        <w:pStyle w:val="ListParagraph"/>
        <w:numPr>
          <w:ilvl w:val="0"/>
          <w:numId w:val="3"/>
        </w:numPr>
        <w:spacing w:before="80" w:after="80"/>
      </w:pPr>
      <w:r>
        <w:rPr>
          <w:rFonts w:ascii="Arial" w:cs="Arial" w:eastAsia="Arial" w:hAnsi="Arial"/>
          <w:b w:val="false"/>
          <w:bCs w:val="false"/>
          <w:sz w:val="22"/>
          <w:szCs w:val="22"/>
        </w:rPr>
        <w:t xml:space="preserve">Apprenez la langue de la finance — coûts unitaires, marges, payback, ROI. Un ingénieur qui comprend les chiffres est promu. Un ingénieur qui ne comprend que la technique reste technicien.</w:t>
      </w:r>
    </w:p>
    <w:p>
      <w:pPr>
        <w:pStyle w:val="ListParagraph"/>
        <w:numPr>
          <w:ilvl w:val="0"/>
          <w:numId w:val="3"/>
        </w:numPr>
        <w:spacing w:before="80" w:after="80"/>
      </w:pPr>
      <w:r>
        <w:rPr>
          <w:rFonts w:ascii="Arial" w:cs="Arial" w:eastAsia="Arial" w:hAnsi="Arial"/>
          <w:b w:val="false"/>
          <w:bCs w:val="false"/>
          <w:sz w:val="22"/>
          <w:szCs w:val="22"/>
        </w:rPr>
        <w:t xml:space="preserve">Cultivez votre réseau interne — la mobilité interne est le levier le plus sous-estimé de progression salariale. Connaissez les décideurs de votre entreprise avant qu'ils aient besoin de vous.</w:t>
      </w:r>
    </w:p>
    <w:p>
      <w:pPr>
        <w:pStyle w:val="ListParagraph"/>
        <w:numPr>
          <w:ilvl w:val="0"/>
          <w:numId w:val="3"/>
        </w:numPr>
        <w:spacing w:before="80" w:after="80"/>
      </w:pPr>
      <w:r>
        <w:rPr>
          <w:rFonts w:ascii="Arial" w:cs="Arial" w:eastAsia="Arial" w:hAnsi="Arial"/>
          <w:b w:val="false"/>
          <w:bCs w:val="false"/>
          <w:sz w:val="22"/>
          <w:szCs w:val="22"/>
        </w:rPr>
        <w:t xml:space="preserve">Demandez des responsabilités, pas des augmentations — les augmentations viennent naturellement si vous prenez des responsabilités et que vous les assumez.</w:t>
      </w:r>
    </w:p>
    <w:p>
      <w:pPr>
        <w:pStyle w:val="ListParagraph"/>
        <w:numPr>
          <w:ilvl w:val="0"/>
          <w:numId w:val="3"/>
        </w:numPr>
        <w:spacing w:before="80" w:after="80"/>
      </w:pPr>
      <w:r>
        <w:rPr>
          <w:rFonts w:ascii="Arial" w:cs="Arial" w:eastAsia="Arial" w:hAnsi="Arial"/>
          <w:b w:val="false"/>
          <w:bCs w:val="false"/>
          <w:sz w:val="22"/>
          <w:szCs w:val="22"/>
        </w:rPr>
        <w:t xml:space="preserve">Changez d'entreprise stratégiquement — un ou deux changements bien choisis au cours des 10 premières années peuvent accélérer votre progression de 5 à 10 ans.</w:t>
      </w:r>
    </w:p>
    <w:p>
      <w:pPr>
        <w:pStyle w:val="ListParagraph"/>
        <w:numPr>
          <w:ilvl w:val="0"/>
          <w:numId w:val="3"/>
        </w:numPr>
        <w:spacing w:before="80" w:after="80"/>
      </w:pPr>
      <w:r>
        <w:rPr>
          <w:rFonts w:ascii="Arial" w:cs="Arial" w:eastAsia="Arial" w:hAnsi="Arial"/>
          <w:b w:val="false"/>
          <w:bCs w:val="false"/>
          <w:sz w:val="22"/>
          <w:szCs w:val="22"/>
        </w:rPr>
        <w:t xml:space="preserve">Spécialisez-vous suffisamment pour être reconnu — mais restez assez large pour être flexible. La double compétence (technique + secteur ou technique + gestion de projet) est redoutablement efficace.</w:t>
      </w:r>
    </w:p>
    <w:p>
      <w:pPr>
        <w:pStyle w:val="ListParagraph"/>
        <w:numPr>
          <w:ilvl w:val="0"/>
          <w:numId w:val="3"/>
        </w:numPr>
        <w:spacing w:before="80" w:after="80"/>
      </w:pPr>
      <w:r>
        <w:rPr>
          <w:rFonts w:ascii="Arial" w:cs="Arial" w:eastAsia="Arial" w:hAnsi="Arial"/>
          <w:b w:val="false"/>
          <w:bCs w:val="false"/>
          <w:sz w:val="22"/>
          <w:szCs w:val="22"/>
        </w:rPr>
        <w:t xml:space="preserve">Formez-vous en continu — au minimum 80 heures par an, que ce soit via le CPF, l'entreprise ou en autoformation. La technologie change vite en mécanique.</w:t>
      </w:r>
    </w:p>
    <w:p>
      <w:pPr>
        <w:pStyle w:val="ListParagraph"/>
        <w:numPr>
          <w:ilvl w:val="0"/>
          <w:numId w:val="3"/>
        </w:numPr>
        <w:spacing w:before="80" w:after="80"/>
      </w:pPr>
      <w:r>
        <w:rPr>
          <w:rFonts w:ascii="Arial" w:cs="Arial" w:eastAsia="Arial" w:hAnsi="Arial"/>
          <w:b w:val="false"/>
          <w:bCs w:val="false"/>
          <w:sz w:val="22"/>
          <w:szCs w:val="22"/>
        </w:rPr>
        <w:t xml:space="preserve">Maîtrisez l'art de la communication — un ingénieur qui ne sait pas expliquer ses choix techniques à un non-technicien plafonne. Travaillez vos présentations et vos écrits professionnels.</w:t>
      </w:r>
    </w:p>
    <w:p>
      <w:pPr>
        <w:pStyle w:val="ListParagraph"/>
        <w:numPr>
          <w:ilvl w:val="0"/>
          <w:numId w:val="3"/>
        </w:numPr>
        <w:spacing w:before="80" w:after="80"/>
      </w:pPr>
      <w:r>
        <w:rPr>
          <w:rFonts w:ascii="Arial" w:cs="Arial" w:eastAsia="Arial" w:hAnsi="Arial"/>
          <w:b w:val="false"/>
          <w:bCs w:val="false"/>
          <w:sz w:val="22"/>
          <w:szCs w:val="22"/>
        </w:rPr>
        <w:t xml:space="preserve">Construisez votre marque professionnelle — LinkedIn, publications techniques, conférences sectorielles. Votre réputation externe augmente votre valeur interne.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7.2  Les erreurs qui coûtent le plus cher</w:t>
      </w:r>
    </w:p>
    <w:p>
      <w:pPr>
        <w:pStyle w:val="ListParagraph"/>
        <w:numPr>
          <w:ilvl w:val="0"/>
          <w:numId w:val="2"/>
        </w:numPr>
        <w:spacing w:before="60" w:after="60"/>
      </w:pPr>
      <w:r>
        <w:rPr>
          <w:rFonts w:ascii="Arial" w:cs="Arial" w:eastAsia="Arial" w:hAnsi="Arial"/>
          <w:b w:val="false"/>
          <w:bCs w:val="false"/>
          <w:sz w:val="22"/>
          <w:szCs w:val="22"/>
        </w:rPr>
        <w:t xml:space="preserve">Rester trop longtemps dans la même entreprise sans progression de responsabilité — la loyauté non récompensée n'a pas de valeur marchande</w:t>
      </w:r>
    </w:p>
    <w:p>
      <w:pPr>
        <w:pStyle w:val="ListParagraph"/>
        <w:numPr>
          <w:ilvl w:val="0"/>
          <w:numId w:val="2"/>
        </w:numPr>
        <w:spacing w:before="60" w:after="60"/>
      </w:pPr>
      <w:r>
        <w:rPr>
          <w:rFonts w:ascii="Arial" w:cs="Arial" w:eastAsia="Arial" w:hAnsi="Arial"/>
          <w:b w:val="false"/>
          <w:bCs w:val="false"/>
          <w:sz w:val="22"/>
          <w:szCs w:val="22"/>
        </w:rPr>
        <w:t xml:space="preserve">Négliger les soft skills — les ingénieurs qui ne managent pas bien les relations humaines bloquent systématiquement avant la direction</w:t>
      </w:r>
    </w:p>
    <w:p>
      <w:pPr>
        <w:pStyle w:val="ListParagraph"/>
        <w:numPr>
          <w:ilvl w:val="0"/>
          <w:numId w:val="2"/>
        </w:numPr>
        <w:spacing w:before="60" w:after="60"/>
      </w:pPr>
      <w:r>
        <w:rPr>
          <w:rFonts w:ascii="Arial" w:cs="Arial" w:eastAsia="Arial" w:hAnsi="Arial"/>
          <w:b w:val="false"/>
          <w:bCs w:val="false"/>
          <w:sz w:val="22"/>
          <w:szCs w:val="22"/>
        </w:rPr>
        <w:t xml:space="preserve">Se spécialiser trop tôt sur un seul outil ou une seule technologie qui peut devenir obsolète</w:t>
      </w:r>
    </w:p>
    <w:p>
      <w:pPr>
        <w:pStyle w:val="ListParagraph"/>
        <w:numPr>
          <w:ilvl w:val="0"/>
          <w:numId w:val="2"/>
        </w:numPr>
        <w:spacing w:before="60" w:after="60"/>
      </w:pPr>
      <w:r>
        <w:rPr>
          <w:rFonts w:ascii="Arial" w:cs="Arial" w:eastAsia="Arial" w:hAnsi="Arial"/>
          <w:b w:val="false"/>
          <w:bCs w:val="false"/>
          <w:sz w:val="22"/>
          <w:szCs w:val="22"/>
        </w:rPr>
        <w:t xml:space="preserve">Négliger la compréhension des processus industriels — un concepteur qui n'a jamais mis les pieds en atelier conçoit des pièces impossibles à fabriquer</w:t>
      </w:r>
    </w:p>
    <w:p>
      <w:pPr>
        <w:pStyle w:val="ListParagraph"/>
        <w:numPr>
          <w:ilvl w:val="0"/>
          <w:numId w:val="2"/>
        </w:numPr>
        <w:spacing w:before="60" w:after="60"/>
      </w:pPr>
      <w:r>
        <w:rPr>
          <w:rFonts w:ascii="Arial" w:cs="Arial" w:eastAsia="Arial" w:hAnsi="Arial"/>
          <w:b w:val="false"/>
          <w:bCs w:val="false"/>
          <w:sz w:val="22"/>
          <w:szCs w:val="22"/>
        </w:rPr>
        <w:t xml:space="preserve">Ignorer la nouvelle CCN Métallurgie — ne pas connaître sa propre classification et les minima qui y correspondent laisse le rapport de force en faveur de l'employeur</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7.3  Comment utiliser la CCN Métallurgie dans votre négociation salariale</w:t>
      </w:r>
    </w:p>
    <w:p>
      <w:pPr>
        <w:spacing w:before="80" w:after="80"/>
      </w:pPr>
      <w:r>
        <w:rPr>
          <w:rFonts w:ascii="Arial" w:cs="Arial" w:eastAsia="Arial" w:hAnsi="Arial"/>
          <w:sz w:val="22"/>
          <w:szCs w:val="22"/>
        </w:rPr>
        <w:t xml:space="preserve">La CCN Métallurgie 2024/2026 est un outil de négociation légal et opposable. Voici comment l'utiliser :</w:t>
      </w:r>
    </w:p>
    <w:p>
      <w:pPr>
        <w:pStyle w:val="ListParagraph"/>
        <w:numPr>
          <w:ilvl w:val="0"/>
          <w:numId w:val="2"/>
        </w:numPr>
        <w:spacing w:before="60" w:after="60"/>
      </w:pPr>
      <w:r>
        <w:rPr>
          <w:rFonts w:ascii="Arial" w:cs="Arial" w:eastAsia="Arial" w:hAnsi="Arial"/>
          <w:b w:val="false"/>
          <w:bCs w:val="false"/>
          <w:sz w:val="22"/>
          <w:szCs w:val="22"/>
        </w:rPr>
        <w:t xml:space="preserve">Demandez à votre RH votre groupe et classe d'emploi — c'est une obligation légale inscrite sur votre bulletin de salaire</w:t>
      </w:r>
    </w:p>
    <w:p>
      <w:pPr>
        <w:pStyle w:val="ListParagraph"/>
        <w:numPr>
          <w:ilvl w:val="0"/>
          <w:numId w:val="2"/>
        </w:numPr>
        <w:spacing w:before="60" w:after="60"/>
      </w:pPr>
      <w:r>
        <w:rPr>
          <w:rFonts w:ascii="Arial" w:cs="Arial" w:eastAsia="Arial" w:hAnsi="Arial"/>
          <w:b w:val="false"/>
          <w:bCs w:val="false"/>
          <w:sz w:val="22"/>
          <w:szCs w:val="22"/>
        </w:rPr>
        <w:t xml:space="preserve">Vérifiez que votre salaire est supérieur au SMH de votre classe — dans le cas contraire, c'est une infraction à la convention</w:t>
      </w:r>
    </w:p>
    <w:p>
      <w:pPr>
        <w:pStyle w:val="ListParagraph"/>
        <w:numPr>
          <w:ilvl w:val="0"/>
          <w:numId w:val="2"/>
        </w:numPr>
        <w:spacing w:before="60" w:after="60"/>
      </w:pPr>
      <w:r>
        <w:rPr>
          <w:rFonts w:ascii="Arial" w:cs="Arial" w:eastAsia="Arial" w:hAnsi="Arial"/>
          <w:b w:val="false"/>
          <w:bCs w:val="false"/>
          <w:sz w:val="22"/>
          <w:szCs w:val="22"/>
        </w:rPr>
        <w:t xml:space="preserve">Argumentez votre demande de reclassification avec les 6 critères de cotation — si vos responsabilités ont évolué, votre cotation doit évoluer</w:t>
      </w:r>
    </w:p>
    <w:p>
      <w:pPr>
        <w:pStyle w:val="ListParagraph"/>
        <w:numPr>
          <w:ilvl w:val="0"/>
          <w:numId w:val="2"/>
        </w:numPr>
        <w:spacing w:before="60" w:after="60"/>
      </w:pPr>
      <w:r>
        <w:rPr>
          <w:rFonts w:ascii="Arial" w:cs="Arial" w:eastAsia="Arial" w:hAnsi="Arial"/>
          <w:b w:val="false"/>
          <w:bCs w:val="false"/>
          <w:sz w:val="22"/>
          <w:szCs w:val="22"/>
        </w:rPr>
        <w:t xml:space="preserve">Utilisez les benchmarks sectoriels en complément — les SMH sont des planchers, les entreprises compétitives sont nettement au-dessus</w:t>
      </w:r>
    </w:p>
    <w:p>
      <w:pPr>
        <w:pStyle w:val="ListParagraph"/>
        <w:numPr>
          <w:ilvl w:val="0"/>
          <w:numId w:val="2"/>
        </w:numPr>
        <w:spacing w:before="60" w:after="60"/>
      </w:pPr>
      <w:r>
        <w:rPr>
          <w:rFonts w:ascii="Arial" w:cs="Arial" w:eastAsia="Arial" w:hAnsi="Arial"/>
          <w:b w:val="false"/>
          <w:bCs w:val="false"/>
          <w:sz w:val="22"/>
          <w:szCs w:val="22"/>
        </w:rPr>
        <w:t xml:space="preserve">Le passage de la classe F11 à F12 est souvent obtenu dès 2 ans si vous démontrez votre valeur — negocier cette évolution avec des données concrètes de vos livrables est la meilleure approche</w:t>
      </w:r>
    </w:p>
    <w:p>
      <w:pPr>
        <w:pBdr>
          <w:bottom w:val="single" w:color="2E75B6" w:sz="6" w:space="1"/>
        </w:pBdr>
        <w:spacing w:before="120" w:after="120"/>
      </w:pPr>
      <w:r>
        <w:t xml:space="preserve"/>
      </w:r>
    </w:p>
    <w:p>
      <w:r>
        <w:br w:type="page"/>
      </w:r>
    </w:p>
    <w:p>
      <w:pPr>
        <w:pStyle w:val="Heading1"/>
        <w:spacing w:before="360" w:after="160"/>
      </w:pPr>
      <w:r>
        <w:rPr>
          <w:rFonts w:ascii="Arial" w:cs="Arial" w:eastAsia="Arial" w:hAnsi="Arial"/>
          <w:b/>
          <w:bCs/>
          <w:color w:val="1F3864"/>
          <w:sz w:val="34"/>
          <w:szCs w:val="34"/>
        </w:rPr>
        <w:t xml:space="preserve">8.  Plan d'action — Feuille de route opérationnelle</w:t>
      </w:r>
    </w:p>
    <w:p>
      <w:pPr>
        <w:spacing w:before="80" w:after="80"/>
      </w:pPr>
      <w:r>
        <w:rPr>
          <w:rFonts w:ascii="Arial" w:cs="Arial" w:eastAsia="Arial" w:hAnsi="Arial"/>
          <w:sz w:val="22"/>
          <w:szCs w:val="22"/>
        </w:rPr>
        <w:t xml:space="preserve">Voici un plan d'action concret, mis en oeuvre immédiatement après la lecture de ce document.</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Dans les 30 premiers jours après embauche</w:t>
      </w:r>
    </w:p>
    <w:p>
      <w:pPr>
        <w:pStyle w:val="ListParagraph"/>
        <w:numPr>
          <w:ilvl w:val="0"/>
          <w:numId w:val="2"/>
        </w:numPr>
        <w:spacing w:before="60" w:after="60"/>
      </w:pPr>
      <w:r>
        <w:rPr>
          <w:rFonts w:ascii="Arial" w:cs="Arial" w:eastAsia="Arial" w:hAnsi="Arial"/>
          <w:b w:val="false"/>
          <w:bCs w:val="false"/>
          <w:sz w:val="22"/>
          <w:szCs w:val="22"/>
        </w:rPr>
        <w:t xml:space="preserve">Demandez votre fiche de poste complète et votre classification CCN (groupe + classe)</w:t>
      </w:r>
    </w:p>
    <w:p>
      <w:pPr>
        <w:pStyle w:val="ListParagraph"/>
        <w:numPr>
          <w:ilvl w:val="0"/>
          <w:numId w:val="2"/>
        </w:numPr>
        <w:spacing w:before="60" w:after="60"/>
      </w:pPr>
      <w:r>
        <w:rPr>
          <w:rFonts w:ascii="Arial" w:cs="Arial" w:eastAsia="Arial" w:hAnsi="Arial"/>
          <w:b w:val="false"/>
          <w:bCs w:val="false"/>
          <w:sz w:val="22"/>
          <w:szCs w:val="22"/>
        </w:rPr>
        <w:t xml:space="preserve">Identifiez les 3 ingénieurs les plus expérimentés de votre équipe et organisez des entretiens informels avec chacun</w:t>
      </w:r>
    </w:p>
    <w:p>
      <w:pPr>
        <w:pStyle w:val="ListParagraph"/>
        <w:numPr>
          <w:ilvl w:val="0"/>
          <w:numId w:val="2"/>
        </w:numPr>
        <w:spacing w:before="60" w:after="60"/>
      </w:pPr>
      <w:r>
        <w:rPr>
          <w:rFonts w:ascii="Arial" w:cs="Arial" w:eastAsia="Arial" w:hAnsi="Arial"/>
          <w:b w:val="false"/>
          <w:bCs w:val="false"/>
          <w:sz w:val="22"/>
          <w:szCs w:val="22"/>
        </w:rPr>
        <w:t xml:space="preserve">Installez et commencez la maîtrise de l'outil CAO principal de l'entreprise — visez 4 heures de pratique par semaine minimum</w:t>
      </w:r>
    </w:p>
    <w:p>
      <w:pPr>
        <w:pStyle w:val="ListParagraph"/>
        <w:numPr>
          <w:ilvl w:val="0"/>
          <w:numId w:val="2"/>
        </w:numPr>
        <w:spacing w:before="60" w:after="60"/>
      </w:pPr>
      <w:r>
        <w:rPr>
          <w:rFonts w:ascii="Arial" w:cs="Arial" w:eastAsia="Arial" w:hAnsi="Arial"/>
          <w:b w:val="false"/>
          <w:bCs w:val="false"/>
          <w:sz w:val="22"/>
          <w:szCs w:val="22"/>
        </w:rPr>
        <w:t xml:space="preserve">Lisez les 5 derniers dossiers de définition de produits livrés par votre bureau d'études</w:t>
      </w:r>
    </w:p>
    <w:p>
      <w:pPr>
        <w:pStyle w:val="ListParagraph"/>
        <w:numPr>
          <w:ilvl w:val="0"/>
          <w:numId w:val="2"/>
        </w:numPr>
        <w:spacing w:before="60" w:after="60"/>
      </w:pPr>
      <w:r>
        <w:rPr>
          <w:rFonts w:ascii="Arial" w:cs="Arial" w:eastAsia="Arial" w:hAnsi="Arial"/>
          <w:b w:val="false"/>
          <w:bCs w:val="false"/>
          <w:sz w:val="22"/>
          <w:szCs w:val="22"/>
        </w:rPr>
        <w:t xml:space="preserve">Identifiez votre responsable formation et les dispositifs disponibles (CPF, plan de formation entreprise)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Dans la première année</w:t>
      </w:r>
    </w:p>
    <w:p>
      <w:pPr>
        <w:pStyle w:val="ListParagraph"/>
        <w:numPr>
          <w:ilvl w:val="0"/>
          <w:numId w:val="2"/>
        </w:numPr>
        <w:spacing w:before="60" w:after="60"/>
      </w:pPr>
      <w:r>
        <w:rPr>
          <w:rFonts w:ascii="Arial" w:cs="Arial" w:eastAsia="Arial" w:hAnsi="Arial"/>
          <w:b w:val="false"/>
          <w:bCs w:val="false"/>
          <w:sz w:val="22"/>
          <w:szCs w:val="22"/>
        </w:rPr>
        <w:t xml:space="preserve">Finalisez au moins 3 livrables complets (plans, dossiers techniques, analyses) de manière autonome</w:t>
      </w:r>
    </w:p>
    <w:p>
      <w:pPr>
        <w:pStyle w:val="ListParagraph"/>
        <w:numPr>
          <w:ilvl w:val="0"/>
          <w:numId w:val="2"/>
        </w:numPr>
        <w:spacing w:before="60" w:after="60"/>
      </w:pPr>
      <w:r>
        <w:rPr>
          <w:rFonts w:ascii="Arial" w:cs="Arial" w:eastAsia="Arial" w:hAnsi="Arial"/>
          <w:b w:val="false"/>
          <w:bCs w:val="false"/>
          <w:sz w:val="22"/>
          <w:szCs w:val="22"/>
        </w:rPr>
        <w:t xml:space="preserve">Participez à au moins une revue de conception formelle en vous préparant à défendre vos choix</w:t>
      </w:r>
    </w:p>
    <w:p>
      <w:pPr>
        <w:pStyle w:val="ListParagraph"/>
        <w:numPr>
          <w:ilvl w:val="0"/>
          <w:numId w:val="2"/>
        </w:numPr>
        <w:spacing w:before="60" w:after="60"/>
      </w:pPr>
      <w:r>
        <w:rPr>
          <w:rFonts w:ascii="Arial" w:cs="Arial" w:eastAsia="Arial" w:hAnsi="Arial"/>
          <w:b w:val="false"/>
          <w:bCs w:val="false"/>
          <w:sz w:val="22"/>
          <w:szCs w:val="22"/>
        </w:rPr>
        <w:t xml:space="preserve">Complétez une formation sur les normes sectorielles de votre industrie (EN 9100, ISO 9001, etc.)</w:t>
      </w:r>
    </w:p>
    <w:p>
      <w:pPr>
        <w:pStyle w:val="ListParagraph"/>
        <w:numPr>
          <w:ilvl w:val="0"/>
          <w:numId w:val="2"/>
        </w:numPr>
        <w:spacing w:before="60" w:after="60"/>
      </w:pPr>
      <w:r>
        <w:rPr>
          <w:rFonts w:ascii="Arial" w:cs="Arial" w:eastAsia="Arial" w:hAnsi="Arial"/>
          <w:b w:val="false"/>
          <w:bCs w:val="false"/>
          <w:sz w:val="22"/>
          <w:szCs w:val="22"/>
        </w:rPr>
        <w:t xml:space="preserve">Commencez une formation en calcul/simulation si ce n'est pas encore votre point fort</w:t>
      </w:r>
    </w:p>
    <w:p>
      <w:pPr>
        <w:pStyle w:val="ListParagraph"/>
        <w:numPr>
          <w:ilvl w:val="0"/>
          <w:numId w:val="2"/>
        </w:numPr>
        <w:spacing w:before="60" w:after="60"/>
      </w:pPr>
      <w:r>
        <w:rPr>
          <w:rFonts w:ascii="Arial" w:cs="Arial" w:eastAsia="Arial" w:hAnsi="Arial"/>
          <w:b w:val="false"/>
          <w:bCs w:val="false"/>
          <w:sz w:val="22"/>
          <w:szCs w:val="22"/>
        </w:rPr>
        <w:t xml:space="preserve">Demandez un point de mi-parcours avec votre N+1 en vous appuyant sur des réalisations concrètes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À 2 ans — Le premier levier salarial</w:t>
      </w:r>
    </w:p>
    <w:p>
      <w:pPr>
        <w:pStyle w:val="ListParagraph"/>
        <w:numPr>
          <w:ilvl w:val="0"/>
          <w:numId w:val="2"/>
        </w:numPr>
        <w:spacing w:before="60" w:after="60"/>
      </w:pPr>
      <w:r>
        <w:rPr>
          <w:rFonts w:ascii="Arial" w:cs="Arial" w:eastAsia="Arial" w:hAnsi="Arial"/>
          <w:b w:val="false"/>
          <w:bCs w:val="false"/>
          <w:sz w:val="22"/>
          <w:szCs w:val="22"/>
        </w:rPr>
        <w:t xml:space="preserve">Demandez un entretien de reclassification — vous devriez viser F12 si vous avez démontré votre valeur</w:t>
      </w:r>
    </w:p>
    <w:p>
      <w:pPr>
        <w:pStyle w:val="ListParagraph"/>
        <w:numPr>
          <w:ilvl w:val="0"/>
          <w:numId w:val="2"/>
        </w:numPr>
        <w:spacing w:before="60" w:after="60"/>
      </w:pPr>
      <w:r>
        <w:rPr>
          <w:rFonts w:ascii="Arial" w:cs="Arial" w:eastAsia="Arial" w:hAnsi="Arial"/>
          <w:b w:val="false"/>
          <w:bCs w:val="false"/>
          <w:sz w:val="22"/>
          <w:szCs w:val="22"/>
        </w:rPr>
        <w:t xml:space="preserve">Argumentez avec : nombre de projets menés, valeur des livrables produits, retours positifs clients internes, formations complétées</w:t>
      </w:r>
    </w:p>
    <w:p>
      <w:pPr>
        <w:pStyle w:val="ListParagraph"/>
        <w:numPr>
          <w:ilvl w:val="0"/>
          <w:numId w:val="2"/>
        </w:numPr>
        <w:spacing w:before="60" w:after="60"/>
      </w:pPr>
      <w:r>
        <w:rPr>
          <w:rFonts w:ascii="Arial" w:cs="Arial" w:eastAsia="Arial" w:hAnsi="Arial"/>
          <w:b w:val="false"/>
          <w:bCs w:val="false"/>
          <w:sz w:val="22"/>
          <w:szCs w:val="22"/>
        </w:rPr>
        <w:t xml:space="preserve">Comparez votre rémunération avec le marché : utilisez les données CCN + benchmarks sectoriels (Apec, LinkedIn Salary, Hays)</w:t>
      </w:r>
    </w:p>
    <w:p>
      <w:pPr>
        <w:pStyle w:val="ListParagraph"/>
        <w:numPr>
          <w:ilvl w:val="0"/>
          <w:numId w:val="2"/>
        </w:numPr>
        <w:spacing w:before="60" w:after="60"/>
      </w:pPr>
      <w:r>
        <w:rPr>
          <w:rFonts w:ascii="Arial" w:cs="Arial" w:eastAsia="Arial" w:hAnsi="Arial"/>
          <w:b w:val="false"/>
          <w:bCs w:val="false"/>
          <w:sz w:val="22"/>
          <w:szCs w:val="22"/>
        </w:rPr>
        <w:t xml:space="preserve">Si la reclassification est refusée sans arguments solides, c'est le moment d'explorer le marché externe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À 5 ans — Le cap de l'expertise</w:t>
      </w:r>
    </w:p>
    <w:p>
      <w:pPr>
        <w:pStyle w:val="ListParagraph"/>
        <w:numPr>
          <w:ilvl w:val="0"/>
          <w:numId w:val="2"/>
        </w:numPr>
        <w:spacing w:before="60" w:after="60"/>
      </w:pPr>
      <w:r>
        <w:rPr>
          <w:rFonts w:ascii="Arial" w:cs="Arial" w:eastAsia="Arial" w:hAnsi="Arial"/>
          <w:b w:val="false"/>
          <w:bCs w:val="false"/>
          <w:sz w:val="22"/>
          <w:szCs w:val="22"/>
        </w:rPr>
        <w:t xml:space="preserve">Vous devez avoir une spécialisation claire et reconnue dans votre entreprise</w:t>
      </w:r>
    </w:p>
    <w:p>
      <w:pPr>
        <w:pStyle w:val="ListParagraph"/>
        <w:numPr>
          <w:ilvl w:val="0"/>
          <w:numId w:val="2"/>
        </w:numPr>
        <w:spacing w:before="60" w:after="60"/>
      </w:pPr>
      <w:r>
        <w:rPr>
          <w:rFonts w:ascii="Arial" w:cs="Arial" w:eastAsia="Arial" w:hAnsi="Arial"/>
          <w:b w:val="false"/>
          <w:bCs w:val="false"/>
          <w:sz w:val="22"/>
          <w:szCs w:val="22"/>
        </w:rPr>
        <w:t xml:space="preserve">Vous devriez être en classe G13 minimum — sinon, la mobilité externe s'impose</w:t>
      </w:r>
    </w:p>
    <w:p>
      <w:pPr>
        <w:pStyle w:val="ListParagraph"/>
        <w:numPr>
          <w:ilvl w:val="0"/>
          <w:numId w:val="2"/>
        </w:numPr>
        <w:spacing w:before="60" w:after="60"/>
      </w:pPr>
      <w:r>
        <w:rPr>
          <w:rFonts w:ascii="Arial" w:cs="Arial" w:eastAsia="Arial" w:hAnsi="Arial"/>
          <w:b w:val="false"/>
          <w:bCs w:val="false"/>
          <w:sz w:val="22"/>
          <w:szCs w:val="22"/>
        </w:rPr>
        <w:t xml:space="preserve">Évaluez la possibilité de créer ou rejoindre une structure en portage salarial pour des missions de conseil</w:t>
      </w:r>
    </w:p>
    <w:p>
      <w:pPr>
        <w:pStyle w:val="ListParagraph"/>
        <w:numPr>
          <w:ilvl w:val="0"/>
          <w:numId w:val="2"/>
        </w:numPr>
        <w:spacing w:before="60" w:after="60"/>
      </w:pPr>
      <w:r>
        <w:rPr>
          <w:rFonts w:ascii="Arial" w:cs="Arial" w:eastAsia="Arial" w:hAnsi="Arial"/>
          <w:b w:val="false"/>
          <w:bCs w:val="false"/>
          <w:sz w:val="22"/>
          <w:szCs w:val="22"/>
        </w:rPr>
        <w:t xml:space="preserve">Construisez votre présence professionnelle externe : LinkedIn actif, participation à des événements sectoriels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À 10 ans — Le choix de trajectoire définitif</w:t>
      </w:r>
    </w:p>
    <w:p>
      <w:pPr>
        <w:pStyle w:val="ListParagraph"/>
        <w:numPr>
          <w:ilvl w:val="0"/>
          <w:numId w:val="2"/>
        </w:numPr>
        <w:spacing w:before="60" w:after="60"/>
      </w:pPr>
      <w:r>
        <w:rPr>
          <w:rFonts w:ascii="Arial" w:cs="Arial" w:eastAsia="Arial" w:hAnsi="Arial"/>
          <w:b w:val="false"/>
          <w:bCs w:val="false"/>
          <w:sz w:val="22"/>
          <w:szCs w:val="22"/>
        </w:rPr>
        <w:t xml:space="preserve">Faites le bilan honnête de votre trajectoire réelle versus votre trajectoire cible</w:t>
      </w:r>
    </w:p>
    <w:p>
      <w:pPr>
        <w:pStyle w:val="ListParagraph"/>
        <w:numPr>
          <w:ilvl w:val="0"/>
          <w:numId w:val="2"/>
        </w:numPr>
        <w:spacing w:before="60" w:after="60"/>
      </w:pPr>
      <w:r>
        <w:rPr>
          <w:rFonts w:ascii="Arial" w:cs="Arial" w:eastAsia="Arial" w:hAnsi="Arial"/>
          <w:b w:val="false"/>
          <w:bCs w:val="false"/>
          <w:sz w:val="22"/>
          <w:szCs w:val="22"/>
        </w:rPr>
        <w:t xml:space="preserve">Si vous aspirez à la direction technique : cherchez activement un poste de responsable BE ou chef de projet senior</w:t>
      </w:r>
    </w:p>
    <w:p>
      <w:pPr>
        <w:pStyle w:val="ListParagraph"/>
        <w:numPr>
          <w:ilvl w:val="0"/>
          <w:numId w:val="2"/>
        </w:numPr>
        <w:spacing w:before="60" w:after="60"/>
      </w:pPr>
      <w:r>
        <w:rPr>
          <w:rFonts w:ascii="Arial" w:cs="Arial" w:eastAsia="Arial" w:hAnsi="Arial"/>
          <w:b w:val="false"/>
          <w:bCs w:val="false"/>
          <w:sz w:val="22"/>
          <w:szCs w:val="22"/>
        </w:rPr>
        <w:t xml:space="preserve">Si vous aspirez à l'expertise pure : visez un poste d'expert reconnu, éventuellement avec une activité de consulting parallèle</w:t>
      </w:r>
    </w:p>
    <w:p>
      <w:pPr>
        <w:pStyle w:val="ListParagraph"/>
        <w:numPr>
          <w:ilvl w:val="0"/>
          <w:numId w:val="2"/>
        </w:numPr>
        <w:spacing w:before="60" w:after="60"/>
      </w:pPr>
      <w:r>
        <w:rPr>
          <w:rFonts w:ascii="Arial" w:cs="Arial" w:eastAsia="Arial" w:hAnsi="Arial"/>
          <w:b w:val="false"/>
          <w:bCs w:val="false"/>
          <w:sz w:val="22"/>
          <w:szCs w:val="22"/>
        </w:rPr>
        <w:t xml:space="preserve">Vous devriez être en classe H15 minimum pour un profil direction, G14 pour un profil expert senior</w:t>
      </w:r>
    </w:p>
    <w:p>
      <w:pPr>
        <w:pBdr>
          <w:bottom w:val="single" w:color="2E75B6" w:sz="6" w:space="1"/>
        </w:pBdr>
        <w:spacing w:before="120" w:after="120"/>
      </w:pPr>
      <w:r>
        <w:t xml:space="preserve"/>
      </w:r>
    </w:p>
    <w:p>
      <w:pPr>
        <w:pStyle w:val="Heading1"/>
        <w:spacing w:before="360" w:after="160"/>
      </w:pPr>
      <w:r>
        <w:rPr>
          <w:rFonts w:ascii="Arial" w:cs="Arial" w:eastAsia="Arial" w:hAnsi="Arial"/>
          <w:b/>
          <w:bCs/>
          <w:color w:val="1F3864"/>
          <w:sz w:val="34"/>
          <w:szCs w:val="34"/>
        </w:rPr>
        <w:t xml:space="preserve">9.  Conclusion — Le message le plus important</w:t>
      </w:r>
    </w:p>
    <w:p>
      <w:pPr>
        <w:spacing w:before="80" w:after="80"/>
      </w:pPr>
      <w:r>
        <w:rPr>
          <w:rFonts w:ascii="Arial" w:cs="Arial" w:eastAsia="Arial" w:hAnsi="Arial"/>
          <w:sz w:val="22"/>
          <w:szCs w:val="22"/>
        </w:rPr>
        <w:t xml:space="preserve">En 50 ans, j'ai vu des ingénieurs brillants échouer à se valoriser, et des ingénieurs ordinaires atteindre des postes de direction grâce à leur méthode, leur persévérance et leur intelligence relationnelle. Le diplôme est la condition nécessaire. La carrière réussie est le fruit d'un travail délibéré sur soi.</w:t>
      </w:r>
    </w:p>
    <w:p>
      <w:pPr>
        <w:spacing w:before="60" w:after="60"/>
      </w:pPr>
      <w:r>
        <w:t xml:space="preserve"/>
      </w:r>
    </w:p>
    <w:p>
      <w:pPr>
        <w:spacing w:before="80" w:after="80"/>
      </w:pPr>
      <w:r>
        <w:rPr>
          <w:rFonts w:ascii="Arial" w:cs="Arial" w:eastAsia="Arial" w:hAnsi="Arial"/>
          <w:b/>
          <w:bCs/>
          <w:sz w:val="22"/>
          <w:szCs w:val="22"/>
        </w:rPr>
        <w:t xml:space="preserve">La nouvelle CCN Métallurgie vous donne un cadre légal clair. Utilisez-le comme boussole, pas comme plafond. Les entreprises qui vous valent font 30 à 50 % au-dessus des minima conventionnels. Votre travail est de justifier — et d'obtenir — ce premium.</w:t>
      </w:r>
    </w:p>
    <w:p>
      <w:pPr>
        <w:spacing w:before="60" w:after="60"/>
      </w:pPr>
      <w:r>
        <w:t xml:space="preserve"/>
      </w:r>
    </w:p>
    <w:p>
      <w:pPr>
        <w:spacing w:before="80" w:after="80"/>
      </w:pPr>
      <w:r>
        <w:rPr>
          <w:rFonts w:ascii="Arial" w:cs="Arial" w:eastAsia="Arial" w:hAnsi="Arial"/>
          <w:i/>
          <w:iCs/>
          <w:sz w:val="22"/>
          <w:szCs w:val="22"/>
        </w:rPr>
        <w:t xml:space="preserve">Une dernière conviction, forgée sur le terrain : les ingénieurs en conception mécanique qui combinent excellence technique, compréhension des procédés de fabrication, maîtrise du coût et capacité à communiquer avec des non-ingénieurs sont parmi les profils les plus recherchés et les mieux rémunérés de l'industrie française. Cette combinaison est rare. Construisez-la délibérément.</w:t>
      </w:r>
    </w:p>
    <w:p>
      <w:pPr>
        <w:spacing w:before="60" w:after="60"/>
      </w:pPr>
      <w:r>
        <w:t xml:space="preserve"/>
      </w:r>
    </w:p>
    <w:p>
      <w:pPr>
        <w:pBdr>
          <w:bottom w:val="single" w:color="2E75B6" w:sz="6" w:space="1"/>
        </w:pBdr>
        <w:spacing w:before="120" w:after="120"/>
      </w:pPr>
      <w:r>
        <w:t xml:space="preserve"/>
      </w:r>
    </w:p>
    <w:p>
      <w:pPr>
        <w:spacing w:before="160" w:after="80"/>
        <w:jc w:val="center"/>
      </w:pPr>
      <w:r>
        <w:rPr>
          <w:rFonts w:ascii="Arial" w:cs="Arial" w:eastAsia="Arial" w:hAnsi="Arial"/>
          <w:i/>
          <w:iCs/>
          <w:color w:val="888888"/>
          <w:sz w:val="16"/>
          <w:szCs w:val="16"/>
        </w:rPr>
        <w:t xml:space="preserve">Sources : CCN Métallurgie IDCC 3248 (7 fév. 2022) — Grille SMH 2024 (avenant 36) — Avenant revalorisation 20 fév. 2026</w:t>
      </w:r>
    </w:p>
    <w:p>
      <w:pPr>
        <w:spacing w:before="40" w:after="40"/>
        <w:jc w:val="center"/>
      </w:pPr>
      <w:r>
        <w:rPr>
          <w:rFonts w:ascii="Arial" w:cs="Arial" w:eastAsia="Arial" w:hAnsi="Arial"/>
          <w:i/>
          <w:iCs/>
          <w:color w:val="888888"/>
          <w:sz w:val="16"/>
          <w:szCs w:val="16"/>
        </w:rPr>
        <w:t xml:space="preserve">fiche-paie.net  |  juritravail.com  |  uimmcotedazur.fr  |  coopererpourformer.fr  |  juristique.org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Document confidentiel — Synthèse rédigée sur la base de 50 ans d'expérience en conception mécanique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Guide Carrière — Ingénieur Conception Mécanique</w:t>
    </w:r>
    <w:r>
      <w:rPr>
        <w:rFonts w:ascii="Arial" w:cs="Arial" w:eastAsia="Arial" w:hAnsi="Arial"/>
        <w:color w:val="888888"/>
        <w:sz w:val="16"/>
        <w:szCs w:val="16"/>
      </w:rPr>
      <w:t xml:space="preserve">     |     CCN Métallurgie IDCC 3248 — Grille 2024/2026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2026-03-24T17:29:35.126Z</dcterms:created>
  <dcterms:modified xsi:type="dcterms:W3CDTF">2026-03-24T17:29:35.127Z</dcterms:modified>
</cp:coreProperties>
</file>

<file path=docProps/custom.xml><?xml version="1.0" encoding="utf-8"?>
<Properties xmlns="http://schemas.openxmlformats.org/officeDocument/2006/custom-properties" xmlns:vt="http://schemas.openxmlformats.org/officeDocument/2006/docPropsVTypes"/>
</file>