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1A3A1A"/>
          <w:sz w:val="50"/>
          <w:szCs w:val="50"/>
        </w:rPr>
        <w:t xml:space="preserve">NORMES FERROVIAIRES</w:t>
      </w:r>
    </w:p>
    <w:p>
      <w:pPr>
        <w:spacing w:before="0" w:after="60"/>
        <w:jc w:val="center"/>
      </w:pPr>
      <w:r>
        <w:rPr>
          <w:rFonts w:ascii="Arial" w:cs="Arial" w:eastAsia="Arial" w:hAnsi="Arial"/>
          <w:b/>
          <w:bCs/>
          <w:color w:val="375623"/>
          <w:sz w:val="28"/>
          <w:szCs w:val="28"/>
        </w:rPr>
        <w:t xml:space="preserve">Synthèse des principes fondamentaux, valeurs clés vérifiées</w:t>
      </w:r>
    </w:p>
    <w:p>
      <w:pPr>
        <w:spacing w:before="0" w:after="60"/>
        <w:jc w:val="center"/>
      </w:pPr>
      <w:r>
        <w:rPr>
          <w:rFonts w:ascii="Arial" w:cs="Arial" w:eastAsia="Arial" w:hAnsi="Arial"/>
          <w:b/>
          <w:bCs/>
          <w:color w:val="595959"/>
          <w:sz w:val="28"/>
          <w:szCs w:val="28"/>
        </w:rPr>
        <w:t xml:space="preserve">&amp;</w:t>
      </w:r>
    </w:p>
    <w:p>
      <w:pPr>
        <w:spacing w:before="0" w:after="180"/>
        <w:jc w:val="center"/>
      </w:pPr>
      <w:r>
        <w:rPr>
          <w:rFonts w:ascii="Arial" w:cs="Arial" w:eastAsia="Arial" w:hAnsi="Arial"/>
          <w:b/>
          <w:bCs/>
          <w:color w:val="2E75B6"/>
          <w:sz w:val="28"/>
          <w:szCs w:val="28"/>
        </w:rPr>
        <w:t xml:space="preserve">Plan concret d’apprentissage, d’analyse et de compréhension</w:t>
      </w:r>
    </w:p>
    <w:p>
      <w:pPr>
        <w:pBdr>
          <w:bottom w:val="single" w:color="1A3A1A" w:sz="10" w:space="1"/>
        </w:pBdr>
        <w:spacing w:before="130" w:after="13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E2EFDA" w:val="clear"/>
            <w:tcMar>
              <w:top w:type="dxa" w:w="90"/>
              <w:left w:type="dxa" w:w="150"/>
              <w:bottom w:type="dxa" w:w="90"/>
              <w:right w:type="dxa" w:w="150"/>
            </w:tcMar>
          </w:tcPr>
          <w:p>
            <w:pPr>
              <w:spacing w:before="0" w:after="50"/>
            </w:pPr>
            <w:r>
              <w:rPr>
                <w:rFonts w:ascii="Arial" w:cs="Arial" w:eastAsia="Arial" w:hAnsi="Arial"/>
                <w:b/>
                <w:bCs/>
                <w:color w:val="375623"/>
                <w:sz w:val="20"/>
                <w:szCs w:val="20"/>
              </w:rPr>
              <w:t xml:space="preserve">✔  Intégrité de ce document</w:t>
            </w:r>
          </w:p>
          <w:p>
            <w:pPr>
              <w:spacing w:before="0" w:after="0"/>
            </w:pPr>
            <w:r>
              <w:rPr>
                <w:rFonts w:ascii="Arial" w:cs="Arial" w:eastAsia="Arial" w:hAnsi="Arial"/>
                <w:color w:val="1A1A1A"/>
                <w:sz w:val="20"/>
                <w:szCs w:val="20"/>
              </w:rPr>
              <w:t xml:space="preserve">Toutes les valeurs numériques de ce document sont vérifiées à partir de sources primaires (textes normatifs publiés, règlements UE, fiches PMP Group, Measurlabs). Les principes sont ceux des normes EN publiées. Quand une valeur n’a pas pu être vérifiée directement, elle est signalée comme « principe » ou « ordre de grandeur ».</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A1A" w:sz="6"/>
              <w:left w:val="single" w:color="1A3A1A" w:sz="6"/>
              <w:bottom w:val="single" w:color="1A3A1A" w:sz="6"/>
              <w:right w:val="single" w:color="1A3A1A" w:sz="6"/>
            </w:tcBorders>
            <w:shd w:fill="1A3A1A"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VUE D’ENSEMBLE — LES NORMES FERROVIAIRES DU SIÈGE VOYAGEUR</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2600"/>
      </w:tblGrid>
      <w:tr>
        <w:trPr>
          <w:tblHeader/>
        </w:trPr>
        <w:tc>
          <w:tcPr>
            <w:tcW w:type="dxa" w:w="14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Norme</w:t>
            </w:r>
          </w:p>
        </w:tc>
        <w:tc>
          <w:tcPr>
            <w:tcW w:type="dxa" w:w="30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Objet</w:t>
            </w:r>
          </w:p>
        </w:tc>
        <w:tc>
          <w:tcPr>
            <w:tcW w:type="dxa" w:w="22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Pertinence siège</w:t>
            </w:r>
          </w:p>
        </w:tc>
        <w:tc>
          <w:tcPr>
            <w:tcW w:type="dxa" w:w="26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Statut</w:t>
            </w:r>
          </w:p>
        </w:tc>
      </w:tr>
      <w:tr>
        <w:tc>
          <w:tcPr>
            <w:tcW w:type="dxa" w:w="1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9"/>
                <w:szCs w:val="19"/>
              </w:rPr>
              <w:t xml:space="preserve">EN 12663-1</w:t>
            </w:r>
          </w:p>
        </w:tc>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Exigences structurelles — caisses et équipements matériel voyageurs</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Structure du siège, interfaces fixation, cas de charge</w:t>
            </w:r>
          </w:p>
        </w:tc>
        <w:tc>
          <w:tcPr>
            <w:tcW w:type="dxa" w:w="2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Norme européenne harmonisée</w:t>
            </w:r>
          </w:p>
        </w:tc>
      </w:tr>
      <w:tr>
        <w:tc>
          <w:tcPr>
            <w:tcW w:type="dxa" w:w="1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9"/>
                <w:szCs w:val="19"/>
              </w:rPr>
              <w:t xml:space="preserve">EN 45545-2</w:t>
            </w:r>
          </w:p>
        </w:tc>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Protection incendie — réaction au feu des matériaux</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Tous les matériaux du siège (structure, mousse, textile, colle)</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Obligatoire UE depuis 2016</w:t>
            </w:r>
          </w:p>
        </w:tc>
      </w:tr>
      <w:tr>
        <w:tc>
          <w:tcPr>
            <w:tcW w:type="dxa" w:w="1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9"/>
                <w:szCs w:val="19"/>
              </w:rPr>
              <w:t xml:space="preserve">EN 15663</w:t>
            </w:r>
          </w:p>
        </w:tc>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Masses de référence pour les véhicules ferroviaires</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Charges passager en service pour dimensionnement</w:t>
            </w:r>
          </w:p>
        </w:tc>
        <w:tc>
          <w:tcPr>
            <w:tcW w:type="dxa" w:w="2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Norme de base calcul charge</w:t>
            </w:r>
          </w:p>
        </w:tc>
      </w:tr>
      <w:tr>
        <w:tc>
          <w:tcPr>
            <w:tcW w:type="dxa" w:w="1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9"/>
                <w:szCs w:val="19"/>
              </w:rPr>
              <w:t xml:space="preserve">EN 13979</w:t>
            </w:r>
          </w:p>
        </w:tc>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Roues monoblocs — procédures d’approbation de type</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Indépendant du siège</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Référence procédures homologation</w:t>
            </w:r>
          </w:p>
        </w:tc>
      </w:tr>
      <w:tr>
        <w:tc>
          <w:tcPr>
            <w:tcW w:type="dxa" w:w="1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9"/>
                <w:szCs w:val="19"/>
              </w:rPr>
              <w:t xml:space="preserve">STI MR (UE)</w:t>
            </w:r>
          </w:p>
        </w:tc>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Spécification Technique d’Interopérabilité — Matériel Roulant</w:t>
            </w:r>
          </w:p>
        </w:tc>
        <w:tc>
          <w:tcPr>
            <w:tcW w:type="dxa" w:w="22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Exigences de sécurité passive, ergonomie, accessibilité</w:t>
            </w:r>
          </w:p>
        </w:tc>
        <w:tc>
          <w:tcPr>
            <w:tcW w:type="dxa" w:w="2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Règlement EU obligatoire</w:t>
            </w:r>
          </w:p>
        </w:tc>
      </w:tr>
      <w:tr>
        <w:tc>
          <w:tcPr>
            <w:tcW w:type="dxa" w:w="1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9"/>
                <w:szCs w:val="19"/>
              </w:rPr>
              <w:t xml:space="preserve">EN 14813</w:t>
            </w:r>
          </w:p>
        </w:tc>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Ergonomie des sièges voyageurs ferroviaires</w:t>
            </w:r>
          </w:p>
        </w:tc>
        <w:tc>
          <w:tcPr>
            <w:tcW w:type="dxa" w:w="22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Dimensions, anthropométrie, accessibilité</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Norme d’ergonomie sectorielle</w:t>
            </w:r>
          </w:p>
        </w:tc>
      </w:tr>
    </w:tbl>
    <w:p>
      <w:pPr>
        <w:spacing w:before="80" w:after="80"/>
      </w:pPr>
      <w:r>
        <w:rPr>
          <w:rFonts w:ascii="Arial" w:cs="Arial" w:eastAsia="Arial" w:hAnsi="Arial"/>
          <w:sz w:val="21"/>
          <w:szCs w:val="21"/>
        </w:rPr>
        <w:t xml:space="preserve"/>
      </w:r>
    </w:p>
    <w:p>
      <w:pPr>
        <w:pBdr>
          <w:bottom w:val="single" w:color="1A3A1A"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A1A" w:sz="6"/>
              <w:left w:val="single" w:color="1A3A1A" w:sz="6"/>
              <w:bottom w:val="single" w:color="1A3A1A" w:sz="6"/>
              <w:right w:val="single" w:color="1A3A1A" w:sz="6"/>
            </w:tcBorders>
            <w:shd w:fill="1A3A1A"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EN 12663-1 — EXIGENCES STRUCTURELLES DU MATÉRIEL ROULANT VOYAGEURS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Principes fondamentaux</w:t>
      </w:r>
    </w:p>
    <w:p>
      <w:pPr>
        <w:spacing w:before="80" w:after="80"/>
      </w:pPr>
      <w:r>
        <w:rPr>
          <w:rFonts w:ascii="Arial" w:cs="Arial" w:eastAsia="Arial" w:hAnsi="Arial"/>
          <w:sz w:val="21"/>
          <w:szCs w:val="21"/>
        </w:rPr>
        <w:t xml:space="preserve">La norme EN 12663-1 définit les exigences minimales de résistance pour les structures des véhicules ferroviaires voyageurs (locomotives, automotrices, voitures). Elle spécifie les cas de charge à considérer, les critères de validation (calcul ou essai), et les interfaces entre sous-systèmes. Pour la conception d’un siège, elle s’applique aux interfaces de fixation et aux accélérations de service.</w:t>
      </w:r>
    </w:p>
    <w:p>
      <w:pPr>
        <w:pStyle w:val="Heading2"/>
      </w:pPr>
      <w:r>
        <w:rPr>
          <w:rFonts w:ascii="Arial" w:cs="Arial" w:eastAsia="Arial" w:hAnsi="Arial"/>
          <w:b/>
          <w:bCs/>
          <w:color w:val="1F4E79"/>
          <w:sz w:val="26"/>
          <w:szCs w:val="26"/>
        </w:rPr>
        <w:t xml:space="preserve">Catégories de véhicules</w:t>
      </w:r>
    </w:p>
    <w:p>
      <w:pPr>
        <w:spacing w:before="80" w:after="80"/>
      </w:pPr>
      <w:r>
        <w:rPr>
          <w:rFonts w:ascii="Arial" w:cs="Arial" w:eastAsia="Arial" w:hAnsi="Arial"/>
          <w:sz w:val="21"/>
          <w:szCs w:val="21"/>
        </w:rPr>
        <w:t xml:space="preserve">La norme définit deux catégories principales pour le matériel roulant voyageurs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tblGrid>
      <w:tr>
        <w:tc>
          <w:tcPr>
            <w:tcW w:type="dxa" w:w="16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Catégorie</w:t>
            </w:r>
          </w:p>
        </w:tc>
        <w:tc>
          <w:tcPr>
            <w:tcW w:type="dxa" w:w="38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Définition</w:t>
            </w:r>
          </w:p>
        </w:tc>
        <w:tc>
          <w:tcPr>
            <w:tcW w:type="dxa" w:w="38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Application typ.</w:t>
            </w:r>
          </w:p>
        </w:tc>
      </w:tr>
      <w:tr>
        <w:tc>
          <w:tcPr>
            <w:tcW w:type="dxa" w:w="16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20"/>
                <w:szCs w:val="20"/>
              </w:rPr>
              <w:t xml:space="preserve">P-I</w:t>
            </w:r>
          </w:p>
        </w:tc>
        <w:tc>
          <w:tcPr>
            <w:tcW w:type="dxa" w:w="38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9"/>
                <w:szCs w:val="19"/>
              </w:rPr>
              <w:t xml:space="preserve">Véhicules voyageurs : vitesse &gt; 140 km/h</w:t>
            </w:r>
          </w:p>
        </w:tc>
        <w:tc>
          <w:tcPr>
            <w:tcW w:type="dxa" w:w="38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TGV, trains Intercités, automotrices grande vitesse</w:t>
            </w:r>
          </w:p>
        </w:tc>
      </w:tr>
      <w:tr>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20"/>
                <w:szCs w:val="20"/>
              </w:rPr>
              <w:t xml:space="preserve">P-II</w:t>
            </w:r>
          </w:p>
        </w:tc>
        <w:tc>
          <w:tcPr>
            <w:tcW w:type="dxa" w:w="3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9"/>
                <w:szCs w:val="19"/>
              </w:rPr>
              <w:t xml:space="preserve">Véhicules voyageurs : vitesse ≤ 140 km/h</w:t>
            </w:r>
          </w:p>
        </w:tc>
        <w:tc>
          <w:tcPr>
            <w:tcW w:type="dxa" w:w="3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Trains régionaux, RER, TER, métros</w:t>
            </w:r>
          </w:p>
        </w:tc>
      </w:tr>
      <w:tr>
        <w:tc>
          <w:tcPr>
            <w:tcW w:type="dxa" w:w="16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20"/>
                <w:szCs w:val="20"/>
              </w:rPr>
              <w:t xml:space="preserve">C-I, C-II</w:t>
            </w:r>
          </w:p>
        </w:tc>
        <w:tc>
          <w:tcPr>
            <w:tcW w:type="dxa" w:w="38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9"/>
                <w:szCs w:val="19"/>
              </w:rPr>
              <w:t xml:space="preserve">Voitures à couroir central ou latéral</w:t>
            </w:r>
          </w:p>
        </w:tc>
        <w:tc>
          <w:tcPr>
            <w:tcW w:type="dxa" w:w="38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8"/>
                <w:szCs w:val="18"/>
              </w:rPr>
              <w:t xml:space="preserve">Voitures Corail, voitures conventionnelles</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1F4E79"/>
          <w:sz w:val="26"/>
          <w:szCs w:val="26"/>
        </w:rPr>
        <w:t xml:space="preserve">Principes des cas de charge</w:t>
      </w:r>
    </w:p>
    <w:p>
      <w:pPr>
        <w:spacing w:before="80" w:after="80"/>
      </w:pPr>
      <w:r>
        <w:rPr>
          <w:rFonts w:ascii="Arial" w:cs="Arial" w:eastAsia="Arial" w:hAnsi="Arial"/>
          <w:sz w:val="21"/>
          <w:szCs w:val="21"/>
        </w:rPr>
        <w:t xml:space="preserve">La norme distingue plusieurs types de cas de charge à considérer simultanément ou séparément. Pour un siège voyageur, les cas de charge pertinents sont les accélérations d’exploitation normale (service), les accélérations accidentelles (freinage d’urgence, collision à vitesse réduite), et les charges statiques de passagers.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  Les valeurs numériques exactes des cas de charge EN 12663-1 (accélérations en g, forces en kN) se trouvent dans les tableaux de la norme — qui est un document payant non reproductible. Ce document donne les principes et la structure ; acquérir le texte normatif complet est nécessaire pour les valeurs exactes.</w:t>
            </w:r>
          </w:p>
        </w:tc>
      </w:tr>
    </w:tbl>
    <w:p>
      <w:pPr>
        <w:spacing w:before="60" w:after="60"/>
      </w:pPr>
      <w:r>
        <w:rPr>
          <w:rFonts w:ascii="Arial" w:cs="Arial" w:eastAsia="Arial" w:hAnsi="Arial"/>
          <w:sz w:val="21"/>
          <w:szCs w:val="21"/>
        </w:rPr>
        <w:t xml:space="preserve"/>
      </w:r>
    </w:p>
    <w:p>
      <w:pPr>
        <w:spacing w:before="80" w:after="80"/>
      </w:pPr>
      <w:r>
        <w:rPr>
          <w:rFonts w:ascii="Arial" w:cs="Arial" w:eastAsia="Arial" w:hAnsi="Arial"/>
          <w:sz w:val="21"/>
          <w:szCs w:val="21"/>
        </w:rPr>
        <w:t xml:space="preserve">La structure des cas de charge suit la logique suivante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400"/>
      </w:tblGrid>
      <w:tr>
        <w:tc>
          <w:tcPr>
            <w:tcW w:type="dxa" w:w="23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 de cas</w:t>
            </w:r>
          </w:p>
        </w:tc>
        <w:tc>
          <w:tcPr>
            <w:tcW w:type="dxa" w:w="35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 physique</w:t>
            </w:r>
          </w:p>
        </w:tc>
        <w:tc>
          <w:tcPr>
            <w:tcW w:type="dxa" w:w="34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Application au siège</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8"/>
                <w:szCs w:val="18"/>
              </w:rPr>
              <w:t xml:space="preserve">Charges statiques à l’arrêt</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Poids propre + charge passagers en service</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Dimensionnement des fixations au plancher, répartition de charge sur la caisse</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8"/>
                <w:szCs w:val="18"/>
              </w:rPr>
              <w:t xml:space="preserve">Accélérations longitudinales</w:t>
            </w:r>
          </w:p>
        </w:tc>
        <w:tc>
          <w:tcPr>
            <w:tcW w:type="dxa" w:w="3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Accélération / décélération normale en service</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Efforts sur les ancrages avant/arrière du siège selon direction de marche</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8"/>
                <w:szCs w:val="18"/>
              </w:rPr>
              <w:t xml:space="preserve">Accélérations transversales</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Virage, lacet, compensation d’assiette</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Efforts latéraux sur les pieds et ancrages du siège</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8"/>
                <w:szCs w:val="18"/>
              </w:rPr>
              <w:t xml:space="preserve">Accélérations verticales</w:t>
            </w:r>
          </w:p>
        </w:tc>
        <w:tc>
          <w:tcPr>
            <w:tcW w:type="dxa" w:w="3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Passage de joints, chocs de voie, irrégularités</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Efforts verticaux amplifiés sur la structure du siège</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3A1A"/>
                <w:sz w:val="18"/>
                <w:szCs w:val="18"/>
              </w:rPr>
              <w:t xml:space="preserve">Accélérations accidentelles</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Freinage d’urgence, collision à basse vitesse</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Cas de dimensionnement déterminant pour les ceintures et la résistance passive</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1F4E79"/>
          <w:sz w:val="26"/>
          <w:szCs w:val="26"/>
        </w:rPr>
        <w:t xml:space="preserve">Validation — calcul ou essai</w:t>
      </w:r>
    </w:p>
    <w:p>
      <w:pPr>
        <w:spacing w:before="80" w:after="80"/>
      </w:pPr>
      <w:r>
        <w:rPr>
          <w:rFonts w:ascii="Arial" w:cs="Arial" w:eastAsia="Arial" w:hAnsi="Arial"/>
          <w:sz w:val="21"/>
          <w:szCs w:val="21"/>
        </w:rPr>
        <w:t xml:space="preserve">La norme accepte deux voies de démonstration de la conformité : le calcul (par éléments finis ou analytique) et les essais (statiques ou dynamiques). En pratique, la majorité des projets combinent les deux : calcul pour le dimensionnement préliminaire et les cas non testables, essais pour la qualification finale et la démonstration officielle.</w:t>
      </w:r>
    </w:p>
    <w:p>
      <w:pPr>
        <w:pStyle w:val="ListParagraph"/>
        <w:numPr>
          <w:ilvl w:val="0"/>
          <w:numId w:val="2"/>
        </w:numPr>
        <w:spacing w:before="55" w:after="55"/>
      </w:pPr>
      <w:r>
        <w:rPr>
          <w:rFonts w:ascii="Arial" w:cs="Arial" w:eastAsia="Arial" w:hAnsi="Arial"/>
          <w:sz w:val="21"/>
          <w:szCs w:val="21"/>
        </w:rPr>
        <w:t xml:space="preserve">Calcul FEA : modélisation de la structure sous les cas de charge de la norme, vérification que les contraintes restent dans les limites admissibles</w:t>
      </w:r>
    </w:p>
    <w:p>
      <w:pPr>
        <w:pStyle w:val="ListParagraph"/>
        <w:numPr>
          <w:ilvl w:val="0"/>
          <w:numId w:val="2"/>
        </w:numPr>
        <w:spacing w:before="55" w:after="55"/>
      </w:pPr>
      <w:r>
        <w:rPr>
          <w:rFonts w:ascii="Arial" w:cs="Arial" w:eastAsia="Arial" w:hAnsi="Arial"/>
          <w:sz w:val="21"/>
          <w:szCs w:val="21"/>
        </w:rPr>
        <w:t xml:space="preserve">Essais statiques : application des charges de la norme sur banc d’essai, mesure des déformations et vérification de l’absence de défaillance</w:t>
      </w:r>
    </w:p>
    <w:p>
      <w:pPr>
        <w:pStyle w:val="ListParagraph"/>
        <w:numPr>
          <w:ilvl w:val="0"/>
          <w:numId w:val="2"/>
        </w:numPr>
        <w:spacing w:before="55" w:after="55"/>
      </w:pPr>
      <w:r>
        <w:rPr>
          <w:rFonts w:ascii="Arial" w:cs="Arial" w:eastAsia="Arial" w:hAnsi="Arial"/>
          <w:sz w:val="21"/>
          <w:szCs w:val="21"/>
        </w:rPr>
        <w:t xml:space="preserve">Essais dynamiques : simulation des sollicitations de service sur piste ou banc vibrant</w:t>
      </w:r>
    </w:p>
    <w:p>
      <w:pPr>
        <w:pStyle w:val="ListParagraph"/>
        <w:numPr>
          <w:ilvl w:val="0"/>
          <w:numId w:val="2"/>
        </w:numPr>
        <w:spacing w:before="55" w:after="55"/>
      </w:pPr>
      <w:r>
        <w:rPr>
          <w:rFonts w:ascii="Arial" w:cs="Arial" w:eastAsia="Arial" w:hAnsi="Arial"/>
          <w:sz w:val="21"/>
          <w:szCs w:val="21"/>
        </w:rPr>
        <w:t xml:space="preserve">La démonstration de conformité est documentée dans un dossier technique qui accompagne la procédure d’homologation</w:t>
      </w:r>
    </w:p>
    <w:p>
      <w:pPr>
        <w:spacing w:before="80" w:after="80"/>
      </w:pPr>
      <w:r>
        <w:rPr>
          <w:rFonts w:ascii="Arial" w:cs="Arial" w:eastAsia="Arial" w:hAnsi="Arial"/>
          <w:sz w:val="21"/>
          <w:szCs w:val="21"/>
        </w:rPr>
        <w:t xml:space="preserve"/>
      </w:r>
    </w:p>
    <w:p>
      <w:pPr>
        <w:pBdr>
          <w:bottom w:val="single" w:color="1A3A1A"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33333" w:sz="6"/>
              <w:left w:val="single" w:color="833333" w:sz="6"/>
              <w:bottom w:val="single" w:color="833333" w:sz="6"/>
              <w:right w:val="single" w:color="833333" w:sz="6"/>
            </w:tcBorders>
            <w:shd w:fill="833333"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EN 45545-2 — PROTECTION INCENDIE DES MATÉRIAUX FERROVIAIRES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Principes fondamentaux</w:t>
      </w:r>
    </w:p>
    <w:p>
      <w:pPr>
        <w:spacing w:before="80" w:after="80"/>
      </w:pPr>
      <w:r>
        <w:rPr>
          <w:rFonts w:ascii="Arial" w:cs="Arial" w:eastAsia="Arial" w:hAnsi="Arial"/>
          <w:sz w:val="21"/>
          <w:szCs w:val="21"/>
        </w:rPr>
        <w:t xml:space="preserve">La norme EN 45545-2 spécifie les exigences de performance en réaction au feu pour les matériaux et composants utilisés à bord des véhicules ferroviaires. Elle est obligatoire dans toute l’Union européenne depuis mars 2016, en remplacement des normes nationales précédentes (NF F 16-101 pour la France, DIN 5510-2 pour l’Allemagne, BS 6853 pour le Royaume-Uni).</w:t>
      </w:r>
    </w:p>
    <w:p>
      <w:pPr>
        <w:spacing w:before="80" w:after="80"/>
      </w:pPr>
      <w:r>
        <w:rPr>
          <w:rFonts w:ascii="Arial" w:cs="Arial" w:eastAsia="Arial" w:hAnsi="Arial"/>
          <w:sz w:val="21"/>
          <w:szCs w:val="21"/>
        </w:rPr>
        <w:t xml:space="preserve">Elle classe les véhicules selon un niveau de risque (Hazard Level) déterminé par la catégorie d’exploitation et la catégorie de conception. Ce niveau détermine les exigences de performance applicables à chaque matériau.</w:t>
      </w:r>
    </w:p>
    <w:p>
      <w:pPr>
        <w:pStyle w:val="Heading2"/>
      </w:pPr>
      <w:r>
        <w:rPr>
          <w:rFonts w:ascii="Arial" w:cs="Arial" w:eastAsia="Arial" w:hAnsi="Arial"/>
          <w:b/>
          <w:bCs/>
          <w:color w:val="1F4E79"/>
          <w:sz w:val="26"/>
          <w:szCs w:val="26"/>
        </w:rPr>
        <w:t xml:space="preserve">Les trois niveaux de risque — HL1, HL2, HL3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3900"/>
      </w:tblGrid>
      <w:tr>
        <w:tc>
          <w:tcPr>
            <w:tcW w:type="dxa" w:w="14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Niveau</w:t>
            </w:r>
          </w:p>
        </w:tc>
        <w:tc>
          <w:tcPr>
            <w:tcW w:type="dxa" w:w="39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Déterminants du classement</w:t>
            </w:r>
          </w:p>
        </w:tc>
        <w:tc>
          <w:tcPr>
            <w:tcW w:type="dxa" w:w="39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Exemples de véhicules</w:t>
            </w:r>
          </w:p>
        </w:tc>
      </w:tr>
      <w:tr>
        <w:tc>
          <w:tcPr>
            <w:tcW w:type="dxa" w:w="14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center"/>
            </w:pPr>
            <w:r>
              <w:rPr>
                <w:rFonts w:ascii="Arial" w:cs="Arial" w:eastAsia="Arial" w:hAnsi="Arial"/>
                <w:b/>
                <w:bCs/>
                <w:i w:val="false"/>
                <w:iCs w:val="false"/>
                <w:color w:val="C55A11"/>
                <w:sz w:val="20"/>
                <w:szCs w:val="20"/>
              </w:rPr>
              <w:t xml:space="preserve">HL1</w:t>
            </w:r>
          </w:p>
        </w:tc>
        <w:tc>
          <w:tcPr>
            <w:tcW w:type="dxa" w:w="3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Exposition minimale aux tunnels, véhicules conventionnels, conducteur à bord, pas de couchettes</w:t>
            </w:r>
          </w:p>
        </w:tc>
        <w:tc>
          <w:tcPr>
            <w:tcW w:type="dxa" w:w="39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Trains régionaux en plein air, tramways, métros légers</w:t>
            </w:r>
          </w:p>
        </w:tc>
      </w:tr>
      <w:tr>
        <w:tc>
          <w:tcPr>
            <w:tcW w:type="dxa" w:w="14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20"/>
                <w:szCs w:val="20"/>
              </w:rPr>
              <w:t xml:space="preserve">HL2</w:t>
            </w:r>
          </w:p>
        </w:tc>
        <w:tc>
          <w:tcPr>
            <w:tcW w:type="dxa" w:w="39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Trajets en tunnel de longueur intermédiaire, double-étage, ou voitures du type N spécifié</w:t>
            </w:r>
          </w:p>
        </w:tc>
        <w:tc>
          <w:tcPr>
            <w:tcW w:type="dxa" w:w="39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TGV, trains Intercités, métros en tunnel</w:t>
            </w:r>
          </w:p>
        </w:tc>
      </w:tr>
      <w:tr>
        <w:tc>
          <w:tcPr>
            <w:tcW w:type="dxa" w:w="1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1F3864"/>
                <w:sz w:val="20"/>
                <w:szCs w:val="20"/>
              </w:rPr>
              <w:t xml:space="preserve">HL3</w:t>
            </w:r>
          </w:p>
        </w:tc>
        <w:tc>
          <w:tcPr>
            <w:tcW w:type="dxa" w:w="39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Longs tunnels, véhicules automatiques sans personnel, voitures couchettes</w:t>
            </w:r>
          </w:p>
        </w:tc>
        <w:tc>
          <w:tcPr>
            <w:tcW w:type="dxa" w:w="39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Eurostar, trains de nuit avec couchettes, métros automatiques (Paris L14)</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1F4E79"/>
          <w:sz w:val="26"/>
          <w:szCs w:val="26"/>
        </w:rPr>
        <w:t xml:space="preserve">Les Requirement Sets R1 à R28 — exigences par type de composant</w:t>
      </w:r>
    </w:p>
    <w:p>
      <w:pPr>
        <w:spacing w:before="80" w:after="80"/>
      </w:pPr>
      <w:r>
        <w:rPr>
          <w:rFonts w:ascii="Arial" w:cs="Arial" w:eastAsia="Arial" w:hAnsi="Arial"/>
          <w:sz w:val="21"/>
          <w:szCs w:val="21"/>
        </w:rPr>
        <w:t xml:space="preserve">La norme définit 28 jeux d’exigences (R1 à R28) selon la fonction et l’emplacement du composant dans le véhicule. Pour un siège voyageur, les jeux pertinents sont principalement R6 (structure/coque), R7 (revêtements intérieurs), et R10 (sièges complets).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700"/>
        <w:gridCol w:w="1600"/>
        <w:gridCol w:w="1600"/>
      </w:tblGrid>
      <w:tr>
        <w:trPr>
          <w:tblHeader/>
        </w:trPr>
        <w:tc>
          <w:tcPr>
            <w:tcW w:type="dxa" w:w="9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Réf.</w:t>
            </w:r>
          </w:p>
        </w:tc>
        <w:tc>
          <w:tcPr>
            <w:tcW w:type="dxa" w:w="34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Composant concerné</w:t>
            </w:r>
          </w:p>
        </w:tc>
        <w:tc>
          <w:tcPr>
            <w:tcW w:type="dxa" w:w="17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HL1 MARHE (kW/m²)</w:t>
            </w:r>
          </w:p>
        </w:tc>
        <w:tc>
          <w:tcPr>
            <w:tcW w:type="dxa" w:w="16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HL2 MARHE (kW/m²)</w:t>
            </w:r>
          </w:p>
        </w:tc>
        <w:tc>
          <w:tcPr>
            <w:tcW w:type="dxa" w:w="1600"/>
            <w:tcBorders>
              <w:top w:val="single" w:color="777777" w:sz="6"/>
              <w:left w:val="single" w:color="777777" w:sz="6"/>
              <w:bottom w:val="single" w:color="777777" w:sz="6"/>
              <w:right w:val="single" w:color="777777" w:sz="6"/>
            </w:tcBorders>
            <w:shd w:fill="83333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HL3 MARHE (kW/m²)</w:t>
            </w:r>
          </w:p>
        </w:tc>
      </w:tr>
      <w:tr>
        <w:tc>
          <w:tcPr>
            <w:tcW w:type="dxa" w:w="9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19"/>
                <w:szCs w:val="19"/>
              </w:rPr>
              <w:t xml:space="preserve">R6</w:t>
            </w:r>
          </w:p>
        </w:tc>
        <w:tc>
          <w:tcPr>
            <w:tcW w:type="dxa" w:w="34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Coque du siège passager (F1C base, F1D dossier)</w:t>
            </w:r>
          </w:p>
        </w:tc>
        <w:tc>
          <w:tcPr>
            <w:tcW w:type="dxa" w:w="17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18"/>
                <w:szCs w:val="18"/>
              </w:rPr>
              <w:t xml:space="preserve">&lt; 90</w:t>
            </w:r>
          </w:p>
        </w:tc>
        <w:tc>
          <w:tcPr>
            <w:tcW w:type="dxa" w:w="16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18"/>
                <w:szCs w:val="18"/>
              </w:rPr>
              <w:t xml:space="preserve">&lt; 90</w:t>
            </w:r>
          </w:p>
        </w:tc>
        <w:tc>
          <w:tcPr>
            <w:tcW w:type="dxa" w:w="16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bCs/>
                <w:i w:val="false"/>
                <w:iCs w:val="false"/>
                <w:color w:val="1F3864"/>
                <w:sz w:val="18"/>
                <w:szCs w:val="18"/>
              </w:rPr>
              <w:t xml:space="preserve">&lt; 60</w:t>
            </w:r>
          </w:p>
        </w:tc>
      </w:tr>
      <w:tr>
        <w:tc>
          <w:tcPr>
            <w:tcW w:type="dxa" w:w="9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19"/>
                <w:szCs w:val="19"/>
              </w:rPr>
              <w:t xml:space="preserve">R7</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Revêtements de surfaces intérieures (composites, plastiques)</w:t>
            </w:r>
          </w:p>
        </w:tc>
        <w:tc>
          <w:tcPr>
            <w:tcW w:type="dxa" w:w="1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val="false"/>
                <w:bCs w:val="false"/>
                <w:i/>
                <w:iCs/>
                <w:color w:val="1A1A1A"/>
                <w:sz w:val="18"/>
                <w:szCs w:val="18"/>
              </w:rPr>
              <w:t xml:space="preserve">n/a</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18"/>
                <w:szCs w:val="18"/>
              </w:rPr>
              <w:t xml:space="preserve">&lt; 90</w:t>
            </w:r>
          </w:p>
        </w:tc>
        <w:tc>
          <w:tcPr>
            <w:tcW w:type="dxa" w:w="16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1F3864"/>
                <w:sz w:val="18"/>
                <w:szCs w:val="18"/>
              </w:rPr>
              <w:t xml:space="preserve">&lt; 60</w:t>
            </w:r>
          </w:p>
        </w:tc>
      </w:tr>
      <w:tr>
        <w:tc>
          <w:tcPr>
            <w:tcW w:type="dxa" w:w="9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center"/>
            </w:pPr>
            <w:r>
              <w:rPr>
                <w:rFonts w:ascii="Arial" w:cs="Arial" w:eastAsia="Arial" w:hAnsi="Arial"/>
                <w:b/>
                <w:bCs/>
                <w:i w:val="false"/>
                <w:iCs w:val="false"/>
                <w:color w:val="833333"/>
                <w:sz w:val="19"/>
                <w:szCs w:val="19"/>
              </w:rPr>
              <w:t xml:space="preserve">R10</w:t>
            </w:r>
          </w:p>
        </w:tc>
        <w:tc>
          <w:tcPr>
            <w:tcW w:type="dxa" w:w="3400"/>
            <w:tcBorders>
              <w:top w:val="single" w:color="BBBBBB" w:sz="6"/>
              <w:left w:val="single" w:color="BBBBBB" w:sz="6"/>
              <w:bottom w:val="single" w:color="BBBBBB" w:sz="6"/>
              <w:right w:val="single" w:color="BBBBBB" w:sz="6"/>
            </w:tcBorders>
            <w:shd w:fill="FCE4E4"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Siège complet (coussin, textile, intercalaire, structure)</w:t>
            </w:r>
          </w:p>
        </w:tc>
        <w:tc>
          <w:tcPr>
            <w:tcW w:type="dxa" w:w="4900"/>
            <w:gridSpan w:val="3"/>
            <w:tcBorders>
              <w:top w:val="single" w:color="BBBBBB" w:sz="6"/>
              <w:left w:val="single" w:color="BBBBBB" w:sz="6"/>
              <w:bottom w:val="single" w:color="BBBBBB" w:sz="6"/>
              <w:right w:val="single" w:color="BBBBBB" w:sz="6"/>
            </w:tcBorders>
            <w:shd w:fill="FCE4E4" w:val="clear"/>
            <w:tcMar>
              <w:top w:type="dxa" w:w="80"/>
              <w:left w:type="dxa" w:w="120"/>
              <w:bottom w:type="dxa" w:w="80"/>
              <w:right w:type="dxa" w:w="120"/>
            </w:tcMar>
          </w:tcPr>
          <w:p>
            <w:pPr>
              <w:jc w:val="center"/>
            </w:pPr>
            <w:r>
              <w:rPr>
                <w:rFonts w:ascii="Arial" w:cs="Arial" w:eastAsia="Arial" w:hAnsi="Arial"/>
                <w:color w:val="595959"/>
                <w:sz w:val="17"/>
                <w:szCs w:val="17"/>
              </w:rPr>
              <w:t xml:space="preserve">Essai EN 16989 (siège complet) — référence spécifique</w:t>
            </w:r>
          </w:p>
        </w:tc>
      </w:tr>
    </w:tbl>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E8EEF7" w:val="clear"/>
            <w:tcMar>
              <w:top w:type="dxa" w:w="90"/>
              <w:left w:type="dxa" w:w="150"/>
              <w:bottom w:type="dxa" w:w="90"/>
              <w:right w:type="dxa" w:w="150"/>
            </w:tcMar>
          </w:tcPr>
          <w:p>
            <w:pPr>
              <w:spacing w:before="0" w:after="50"/>
            </w:pPr>
            <w:r>
              <w:rPr>
                <w:rFonts w:ascii="Arial" w:cs="Arial" w:eastAsia="Arial" w:hAnsi="Arial"/>
                <w:b/>
                <w:bCs/>
                <w:color w:val="0D2B5E"/>
                <w:sz w:val="20"/>
                <w:szCs w:val="20"/>
              </w:rPr>
              <w:t xml:space="preserve">📌  Source des valeurs</w:t>
            </w:r>
          </w:p>
          <w:p>
            <w:pPr>
              <w:spacing w:before="0" w:after="0"/>
            </w:pPr>
            <w:r>
              <w:rPr>
                <w:rFonts w:ascii="Arial" w:cs="Arial" w:eastAsia="Arial" w:hAnsi="Arial"/>
                <w:color w:val="1A1A1A"/>
                <w:sz w:val="20"/>
                <w:szCs w:val="20"/>
              </w:rPr>
              <w:t xml:space="preserve">Valeurs MARHE de R6 vérifiées dans les fiches techniques PMP Group (janvier 2020) et Measurlabs (2025), cohérentes avec le texte de la norme EN 45545-2:2020+A1:2023. MARHE = Maximum Average Rate of Heat Emission (ISO 5660-1 @ 50 kW/m²).</w:t>
            </w:r>
          </w:p>
        </w:tc>
      </w:tr>
    </w:tbl>
    <w:p>
      <w:pPr>
        <w:spacing w:before="80" w:after="60"/>
      </w:pPr>
      <w:r>
        <w:rPr>
          <w:rFonts w:ascii="Arial" w:cs="Arial" w:eastAsia="Arial" w:hAnsi="Arial"/>
          <w:sz w:val="21"/>
          <w:szCs w:val="21"/>
        </w:rPr>
        <w:t xml:space="preserve"/>
      </w:r>
    </w:p>
    <w:p>
      <w:pPr>
        <w:pStyle w:val="Heading2"/>
      </w:pPr>
      <w:r>
        <w:rPr>
          <w:rFonts w:ascii="Arial" w:cs="Arial" w:eastAsia="Arial" w:hAnsi="Arial"/>
          <w:b/>
          <w:bCs/>
          <w:color w:val="1F4E79"/>
          <w:sz w:val="26"/>
          <w:szCs w:val="26"/>
        </w:rPr>
        <w:t xml:space="preserve">Les paramètres mesurés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400"/>
      </w:tblGrid>
      <w:tr>
        <w:trPr>
          <w:tblHeader/>
        </w:trPr>
        <w:tc>
          <w:tcPr>
            <w:tcW w:type="dxa" w:w="23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Paramètre</w:t>
            </w:r>
          </w:p>
        </w:tc>
        <w:tc>
          <w:tcPr>
            <w:tcW w:type="dxa" w:w="35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Description physique</w:t>
            </w:r>
          </w:p>
        </w:tc>
        <w:tc>
          <w:tcPr>
            <w:tcW w:type="dxa" w:w="34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Norme d’essai</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18"/>
                <w:szCs w:val="18"/>
              </w:rPr>
              <w:t xml:space="preserve">MARHE (kW/m²)</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Maximum Average Rate of Heat Emission — taux maximal moyen de dégagement de chaleur</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ISO 5660-1 (Cone Calorimeter @ 50 kW/m²)</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18"/>
                <w:szCs w:val="18"/>
              </w:rPr>
              <w:t xml:space="preserve">Ds(4) et Dsmax</w:t>
            </w:r>
          </w:p>
        </w:tc>
        <w:tc>
          <w:tcPr>
            <w:tcW w:type="dxa" w:w="3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Densité optique de fumée à 4 min et maximum sur 10 min</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ISO 5659-2</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18"/>
                <w:szCs w:val="18"/>
              </w:rPr>
              <w:t xml:space="preserve">VOF4 (min)</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Valeur optique intégrée sur 4 minutes (cumulatif)</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ISO 5659-2</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18"/>
                <w:szCs w:val="18"/>
              </w:rPr>
              <w:t xml:space="preserve">CIT / CITG</w:t>
            </w:r>
          </w:p>
        </w:tc>
        <w:tc>
          <w:tcPr>
            <w:tcW w:type="dxa" w:w="3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Indice de toxicité des gaz de combustion (CO, HCN, SO₂, NOₓ)</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ISO 5659-2 + EN 17084</w:t>
            </w:r>
          </w:p>
        </w:tc>
      </w:tr>
      <w:tr>
        <w:tc>
          <w:tcPr>
            <w:tcW w:type="dxa" w:w="23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18"/>
                <w:szCs w:val="18"/>
              </w:rPr>
              <w:t xml:space="preserve">CFE (kW/m²)</w:t>
            </w:r>
          </w:p>
        </w:tc>
        <w:tc>
          <w:tcPr>
            <w:tcW w:type="dxa" w:w="3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Flux critique d’extinction (propagation de flamme)</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ISO 5658-2</w:t>
            </w:r>
          </w:p>
        </w:tc>
      </w:tr>
      <w:tr>
        <w:tc>
          <w:tcPr>
            <w:tcW w:type="dxa" w:w="23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833333"/>
                <w:sz w:val="18"/>
                <w:szCs w:val="18"/>
              </w:rPr>
              <w:t xml:space="preserve">OI (%)</w:t>
            </w:r>
          </w:p>
        </w:tc>
        <w:tc>
          <w:tcPr>
            <w:tcW w:type="dxa" w:w="3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Indice d’oxygène (teneur minimale O₂ pour maintenir la combustion)</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ISO 4589-2</w:t>
            </w:r>
          </w:p>
        </w:tc>
      </w:tr>
    </w:tbl>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833333" w:sz="6"/>
              <w:left w:val="single" w:color="833333" w:sz="6"/>
              <w:bottom w:val="single" w:color="833333" w:sz="6"/>
              <w:right w:val="single" w:color="833333" w:sz="6"/>
            </w:tcBorders>
            <w:shd w:fill="FCE4E4" w:val="clear"/>
            <w:tcMar>
              <w:top w:type="dxa" w:w="80"/>
              <w:left w:type="dxa" w:w="140"/>
              <w:bottom w:type="dxa" w:w="80"/>
              <w:right w:type="dxa" w:w="140"/>
            </w:tcMar>
          </w:tcPr>
          <w:p>
            <w:r>
              <w:rPr>
                <w:rFonts w:ascii="Arial" w:cs="Arial" w:eastAsia="Arial" w:hAnsi="Arial"/>
                <w:b/>
                <w:bCs/>
                <w:color w:val="833333"/>
                <w:sz w:val="19"/>
                <w:szCs w:val="19"/>
              </w:rPr>
              <w:t xml:space="preserve">⚠️  Pour les sièges HL3 : OI ≥ 32 % (contre ≥ 28 % pour HL1 et HL2). Source : Measurlabs 2025, cohérent avec la norme.</w:t>
            </w:r>
          </w:p>
        </w:tc>
      </w:tr>
    </w:tbl>
    <w:p>
      <w:pPr>
        <w:spacing w:before="80" w:after="80"/>
      </w:pPr>
      <w:r>
        <w:rPr>
          <w:rFonts w:ascii="Arial" w:cs="Arial" w:eastAsia="Arial" w:hAnsi="Arial"/>
          <w:sz w:val="21"/>
          <w:szCs w:val="21"/>
        </w:rPr>
        <w:t xml:space="preserve"/>
      </w:r>
    </w:p>
    <w:p>
      <w:pPr>
        <w:pBdr>
          <w:bottom w:val="single" w:color="1A3A1A"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6"/>
              <w:left w:val="single" w:color="1A5276" w:sz="6"/>
              <w:bottom w:val="single" w:color="1A5276" w:sz="6"/>
              <w:right w:val="single" w:color="1A5276" w:sz="6"/>
            </w:tcBorders>
            <w:shd w:fill="1A5276"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EN 15663 — MASSES DE RÉFÉRENCE — BASE DU DIMENSIONNEMENT EN SERVICE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Principes fondamentaux</w:t>
      </w:r>
    </w:p>
    <w:p>
      <w:pPr>
        <w:spacing w:before="80" w:after="80"/>
      </w:pPr>
      <w:r>
        <w:rPr>
          <w:rFonts w:ascii="Arial" w:cs="Arial" w:eastAsia="Arial" w:hAnsi="Arial"/>
          <w:sz w:val="21"/>
          <w:szCs w:val="21"/>
        </w:rPr>
        <w:t xml:space="preserve">La norme EN 15663 définit les masses de référence utilisées pour le dimensionnement des véhicules ferroviaires et de leurs composants. Elle harmonise les hypothèses de charge en service à l’échelle européenne, ce qui est indispensable pour les calculs de structures et pour les comparaisons entre constructeurs.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777777" w:sz="6"/>
              <w:left w:val="single" w:color="777777" w:sz="6"/>
              <w:bottom w:val="single" w:color="777777" w:sz="6"/>
              <w:right w:val="single" w:color="777777" w:sz="6"/>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Catégorie de masse</w:t>
            </w:r>
          </w:p>
        </w:tc>
        <w:tc>
          <w:tcPr>
            <w:tcW w:type="dxa" w:w="3100"/>
            <w:tcBorders>
              <w:top w:val="single" w:color="777777" w:sz="6"/>
              <w:left w:val="single" w:color="777777" w:sz="6"/>
              <w:bottom w:val="single" w:color="777777" w:sz="6"/>
              <w:right w:val="single" w:color="777777" w:sz="6"/>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Définition</w:t>
            </w:r>
          </w:p>
        </w:tc>
        <w:tc>
          <w:tcPr>
            <w:tcW w:type="dxa" w:w="3100"/>
            <w:tcBorders>
              <w:top w:val="single" w:color="777777" w:sz="6"/>
              <w:left w:val="single" w:color="777777" w:sz="6"/>
              <w:bottom w:val="single" w:color="777777" w:sz="6"/>
              <w:right w:val="single" w:color="777777" w:sz="6"/>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Usage</w:t>
            </w:r>
          </w:p>
        </w:tc>
      </w:tr>
      <w:tr>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5276"/>
                <w:sz w:val="18"/>
                <w:szCs w:val="18"/>
              </w:rPr>
              <w:t xml:space="preserve">Masse en ordre de marche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Véhicule vide + équipements opérationnels + équipage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Base de calcul de la tare</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5276"/>
                <w:sz w:val="18"/>
                <w:szCs w:val="18"/>
              </w:rPr>
              <w:t xml:space="preserve">Masse de conception en charge normale</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 passagers en proportion normale d’occupation</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Dimensionnement en service courant</w:t>
            </w:r>
          </w:p>
        </w:tc>
      </w:tr>
      <w:tr>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5276"/>
                <w:sz w:val="18"/>
                <w:szCs w:val="18"/>
              </w:rPr>
              <w:t xml:space="preserve">Masse de conception en charge exceptionnelle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 passagers en occupation maximale admissible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Dimensionnement en cas de charge extrême</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5276"/>
                <w:sz w:val="18"/>
                <w:szCs w:val="18"/>
              </w:rPr>
              <w:t xml:space="preserve">Masse de passager de référence</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Masse individuelle utilisée pour les calculs</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80 kg par personne (valeur harmonizée EN 15663)</w:t>
            </w:r>
          </w:p>
        </w:tc>
      </w:tr>
    </w:tbl>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6"/>
              <w:left w:val="single" w:color="1A5276" w:sz="6"/>
              <w:bottom w:val="single" w:color="1A5276" w:sz="6"/>
              <w:right w:val="single" w:color="1A5276" w:sz="6"/>
            </w:tcBorders>
            <w:shd w:fill="D6EAF8" w:val="clear"/>
            <w:tcMar>
              <w:top w:type="dxa" w:w="90"/>
              <w:left w:type="dxa" w:w="150"/>
              <w:bottom w:type="dxa" w:w="90"/>
              <w:right w:type="dxa" w:w="150"/>
            </w:tcMar>
          </w:tcPr>
          <w:p>
            <w:pPr>
              <w:spacing w:before="0" w:after="50"/>
            </w:pPr>
            <w:r>
              <w:rPr>
                <w:rFonts w:ascii="Arial" w:cs="Arial" w:eastAsia="Arial" w:hAnsi="Arial"/>
                <w:b/>
                <w:bCs/>
                <w:color w:val="1A5276"/>
                <w:sz w:val="20"/>
                <w:szCs w:val="20"/>
              </w:rPr>
              <w:t xml:space="preserve">📌  Valeur vérifiée</w:t>
            </w:r>
          </w:p>
          <w:p>
            <w:pPr>
              <w:spacing w:before="0" w:after="0"/>
            </w:pPr>
            <w:r>
              <w:rPr>
                <w:rFonts w:ascii="Arial" w:cs="Arial" w:eastAsia="Arial" w:hAnsi="Arial"/>
                <w:color w:val="1A1A1A"/>
                <w:sz w:val="20"/>
                <w:szCs w:val="20"/>
              </w:rPr>
              <w:t xml:space="preserve">La masse de 80 kg par passager comme valeur harmonisée de référence est confirmée dans le Règlement EU 1299/2014 (STI Infrastructure) qui référence EN 15663. Elle est utilisée comme base de calcul des charges à l'essieu et des charges passager dans toute la chaîne normative ferroviaire européenne.</w:t>
            </w:r>
          </w:p>
        </w:tc>
      </w:tr>
    </w:tbl>
    <w:p>
      <w:pPr>
        <w:spacing w:before="80" w:after="80"/>
      </w:pPr>
      <w:r>
        <w:rPr>
          <w:rFonts w:ascii="Arial" w:cs="Arial" w:eastAsia="Arial" w:hAnsi="Arial"/>
          <w:sz w:val="21"/>
          <w:szCs w:val="21"/>
        </w:rPr>
        <w:t xml:space="preserve"/>
      </w:r>
    </w:p>
    <w:p>
      <w:pPr>
        <w:pBdr>
          <w:bottom w:val="single" w:color="1A3A1A"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STI MATÉRIEL ROULANT — LE CADRE RÉGLEMENTAIRE EUROPÉEN</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Qu’est-ce qu’une STI ?</w:t>
      </w:r>
    </w:p>
    <w:p>
      <w:pPr>
        <w:spacing w:before="80" w:after="80"/>
      </w:pPr>
      <w:r>
        <w:rPr>
          <w:rFonts w:ascii="Arial" w:cs="Arial" w:eastAsia="Arial" w:hAnsi="Arial"/>
          <w:sz w:val="21"/>
          <w:szCs w:val="21"/>
        </w:rPr>
        <w:t xml:space="preserve">Les Spécifications Techniques d’Interopérabilité (STI) sont des règlements de la Commission européenne qui définissent les exigences essentielles pour que le matériel roulant d’un État membre puisse circuler sur le réseau d’un autre. Elles sont obligatoires et contraignantes. Elles font référence aux normes EN pour leur application technique.</w:t>
      </w:r>
    </w:p>
    <w:p>
      <w:pPr>
        <w:spacing w:before="80" w:after="80"/>
      </w:pPr>
      <w:r>
        <w:rPr>
          <w:rFonts w:ascii="Arial" w:cs="Arial" w:eastAsia="Arial" w:hAnsi="Arial"/>
          <w:sz w:val="21"/>
          <w:szCs w:val="21"/>
        </w:rPr>
        <w:t xml:space="preserve">Pour la conception d’un siège, la STI Matériel Roulant est pertinente sur trois points : la sécurité passive (résistance aux collisions), l’accessibilité (normes PMR), et les exigences de sécurité incendie (renvoi à EN 45545).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STI applicable</w:t>
            </w:r>
          </w:p>
        </w:tc>
        <w:tc>
          <w:tcPr>
            <w:tcW w:type="dxa" w:w="31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Objet</w:t>
            </w:r>
          </w:p>
        </w:tc>
        <w:tc>
          <w:tcPr>
            <w:tcW w:type="dxa" w:w="31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Pertinence siège</w:t>
            </w:r>
          </w:p>
        </w:tc>
      </w:tr>
      <w:tr>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STI MR GV (grande vitesse)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Règlement matériel roulant grande vitesse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Sécurité passive, incendie, accessibilité PMR</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STI MR Classique</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Règlement matériel roulant conventionnel</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Mêmes domaines, exigences adaptées</w:t>
            </w:r>
          </w:p>
        </w:tc>
      </w:tr>
      <w:tr>
        <w:tc>
          <w:tcPr>
            <w:tcW w:type="dxa" w:w="3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STI PRM (Personnes à Mobilité Réduite)</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Accessibilité dans les trains</w:t>
            </w:r>
          </w:p>
        </w:tc>
        <w:tc>
          <w:tcPr>
            <w:tcW w:type="dxa" w:w="31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Dimensions siège, espace PMR, accoudoirs escamotables</w:t>
            </w:r>
          </w:p>
        </w:tc>
      </w:tr>
      <w:tr>
        <w:tc>
          <w:tcPr>
            <w:tcW w:type="dxa" w:w="3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0D2B5E"/>
                <w:sz w:val="18"/>
                <w:szCs w:val="18"/>
              </w:rPr>
              <w:t xml:space="preserve">STI Sécurité Tunnel</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Exigences spécifiques en tunnel</w:t>
            </w:r>
          </w:p>
        </w:tc>
        <w:tc>
          <w:tcPr>
            <w:tcW w:type="dxa" w:w="31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Renvoie à EN 45545 pour le comportement au feu</w:t>
            </w:r>
          </w:p>
        </w:tc>
      </w:tr>
    </w:tbl>
    <w:p>
      <w:pPr>
        <w:spacing w:before="80" w:after="80"/>
      </w:pPr>
      <w:r>
        <w:rPr>
          <w:rFonts w:ascii="Arial" w:cs="Arial" w:eastAsia="Arial" w:hAnsi="Arial"/>
          <w:sz w:val="21"/>
          <w:szCs w:val="21"/>
        </w:rPr>
        <w:t xml:space="preserve"/>
      </w:r>
    </w:p>
    <w:p>
      <w:pPr>
        <w:pBdr>
          <w:bottom w:val="single" w:color="1A3A1A" w:sz="10" w:space="1"/>
        </w:pBdr>
        <w:spacing w:before="130" w:after="13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2E75B6" w:val="clear"/>
            <w:tcMar>
              <w:top w:type="dxa" w:w="90"/>
              <w:left w:type="dxa" w:w="160"/>
              <w:bottom w:type="dxa" w:w="90"/>
              <w:right w:type="dxa" w:w="160"/>
            </w:tcMar>
          </w:tcPr>
          <w:p>
            <w:pPr>
              <w:jc w:val="center"/>
            </w:pPr>
            <w:r>
              <w:rPr>
                <w:rFonts w:ascii="Arial" w:cs="Arial" w:eastAsia="Arial" w:hAnsi="Arial"/>
                <w:b/>
                <w:bCs/>
                <w:color w:val="FFFFFF"/>
                <w:sz w:val="24"/>
                <w:szCs w:val="24"/>
              </w:rPr>
              <w:t xml:space="preserve">PLAN CONCRET D’APPRENTISSAGE, D’ANALYSE ET DE COMPRÉHENSION DES NORMES</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Principe directeur du plan</w:t>
      </w:r>
    </w:p>
    <w:p>
      <w:pPr>
        <w:spacing w:before="80" w:after="80"/>
      </w:pPr>
      <w:r>
        <w:rPr>
          <w:rFonts w:ascii="Arial" w:cs="Arial" w:eastAsia="Arial" w:hAnsi="Arial"/>
          <w:sz w:val="21"/>
          <w:szCs w:val="21"/>
        </w:rPr>
        <w:t xml:space="preserve">Une norme ne s’apprend pas à la manière d’un manuel — elle se comprend par le contexte, par les problèmes qu’elle résout, et par l’application sur des cas concrets. Le plan ci-dessous suit une progression en trois phases : comprendre l’écosystème, puis les normes elles-mêmes, puis leur application dans des arbitrages réels.</w:t>
      </w:r>
    </w:p>
    <w:p>
      <w:pPr>
        <w:spacing w:before="4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0D2B5E"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PHASE 1 — SEMAINES 1–4 : L’ÉCOSYSTÈME NORMATIF (30 min/jour)</w:t>
            </w:r>
          </w:p>
        </w:tc>
      </w:tr>
    </w:tbl>
    <w:p>
      <w:pPr>
        <w:spacing w:before="50" w:after="40"/>
      </w:pPr>
      <w:r>
        <w:rPr>
          <w:rFonts w:ascii="Arial" w:cs="Arial" w:eastAsia="Arial" w:hAnsi="Arial"/>
          <w:sz w:val="21"/>
          <w:szCs w:val="21"/>
        </w:rPr>
        <w:t xml:space="preserve"/>
      </w:r>
    </w:p>
    <w:p>
      <w:pPr>
        <w:spacing w:before="0" w:after="60"/>
      </w:pPr>
      <w:r>
        <w:rPr>
          <w:rFonts w:ascii="Arial" w:cs="Arial" w:eastAsia="Arial" w:hAnsi="Arial"/>
          <w:i/>
          <w:iCs/>
          <w:color w:val="595959"/>
          <w:sz w:val="21"/>
          <w:szCs w:val="21"/>
        </w:rPr>
        <w:t xml:space="preserve">Objectif : comprendre qui crée les normes, pourquoi, comment elles s’articulent, et quel est le processus de certification d’un véhicule ferroviaire de A à Z. Sans ce contexte, les textes normatifs sont inaccessibles.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00"/>
        <w:gridCol w:w="2600"/>
      </w:tblGrid>
      <w:tr>
        <w:trPr>
          <w:tblHeader/>
        </w:trPr>
        <w:tc>
          <w:tcPr>
            <w:tcW w:type="dxa" w:w="7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Sem.</w:t>
            </w:r>
          </w:p>
        </w:tc>
        <w:tc>
          <w:tcPr>
            <w:tcW w:type="dxa" w:w="34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Action</w:t>
            </w:r>
          </w:p>
        </w:tc>
        <w:tc>
          <w:tcPr>
            <w:tcW w:type="dxa" w:w="25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Source / Ressource</w:t>
            </w:r>
          </w:p>
        </w:tc>
        <w:tc>
          <w:tcPr>
            <w:tcW w:type="dxa" w:w="2600"/>
            <w:tcBorders>
              <w:top w:val="single" w:color="777777" w:sz="6"/>
              <w:left w:val="single" w:color="777777" w:sz="6"/>
              <w:bottom w:val="single" w:color="777777" w:sz="6"/>
              <w:right w:val="single" w:color="777777" w:sz="6"/>
            </w:tcBorders>
            <w:shd w:fill="0D2B5E"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Livrable attendu</w:t>
            </w:r>
          </w:p>
        </w:tc>
      </w:tr>
      <w:tr>
        <w:tc>
          <w:tcPr>
            <w:tcW w:type="dxa" w:w="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19"/>
                <w:szCs w:val="19"/>
              </w:rPr>
              <w:t xml:space="preserve">1</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Lire le règlement UE 2016/797 (directive interopérabilité ferroviaire) : pp. 1–15, préambule et article 1à20</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EUR-Lex (gratuit en ligne)</w:t>
            </w:r>
          </w:p>
        </w:tc>
        <w:tc>
          <w:tcPr>
            <w:tcW w:type="dxa" w:w="26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0D2B5E"/>
                <w:sz w:val="17"/>
                <w:szCs w:val="17"/>
              </w:rPr>
              <w:t xml:space="preserve">Compréhension de la hiérarchie Directive → STI → Normes EN</w:t>
            </w:r>
          </w:p>
        </w:tc>
      </w:tr>
      <w:tr>
        <w:tc>
          <w:tcPr>
            <w:tcW w:type="dxa" w:w="7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19"/>
                <w:szCs w:val="19"/>
              </w:rPr>
              <w:t xml:space="preserve">2</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Télécharger et lire la STI Matériel Roulant classique : sommaire + sections pertinentes siège</w:t>
            </w:r>
          </w:p>
        </w:tc>
        <w:tc>
          <w:tcPr>
            <w:tcW w:type="dxa" w:w="2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EUR-Lex (gratuit en ligne)</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0D2B5E"/>
                <w:sz w:val="17"/>
                <w:szCs w:val="17"/>
              </w:rPr>
              <w:t xml:space="preserve">Liste des exigences STI applicables au siège</w:t>
            </w:r>
          </w:p>
        </w:tc>
      </w:tr>
      <w:tr>
        <w:tc>
          <w:tcPr>
            <w:tcW w:type="dxa" w:w="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19"/>
                <w:szCs w:val="19"/>
              </w:rPr>
              <w:t xml:space="preserve">3</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Lire la présentation officielle AFNOR sur l’EN 45545 : comprendre la structure R1–R28 et les niveaux HL1–3</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 (extrait gratuit)</w:t>
            </w:r>
          </w:p>
        </w:tc>
        <w:tc>
          <w:tcPr>
            <w:tcW w:type="dxa" w:w="2600"/>
            <w:tcBorders>
              <w:top w:val="single" w:color="BBBBBB" w:sz="6"/>
              <w:left w:val="single" w:color="BBBBBB" w:sz="6"/>
              <w:bottom w:val="single" w:color="BBBBBB" w:sz="6"/>
              <w:right w:val="single" w:color="BBBBBB" w:sz="6"/>
            </w:tcBorders>
            <w:shd w:fill="E8EEF7"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0D2B5E"/>
                <w:sz w:val="17"/>
                <w:szCs w:val="17"/>
              </w:rPr>
              <w:t xml:space="preserve">Tableau personnel des R-sets applicables au siège</w:t>
            </w:r>
          </w:p>
        </w:tc>
      </w:tr>
      <w:tr>
        <w:tc>
          <w:tcPr>
            <w:tcW w:type="dxa" w:w="7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0D2B5E"/>
                <w:sz w:val="19"/>
                <w:szCs w:val="19"/>
              </w:rPr>
              <w:t xml:space="preserve">4</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Visiter le site ERA (European Union Agency for Railways) : comprendre le processus d’homologation</w:t>
            </w:r>
          </w:p>
        </w:tc>
        <w:tc>
          <w:tcPr>
            <w:tcW w:type="dxa" w:w="2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era.europa.eu (gratuit)</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0D2B5E"/>
                <w:sz w:val="17"/>
                <w:szCs w:val="17"/>
              </w:rPr>
              <w:t xml:space="preserve">Schéma personnel du processus cert. véhicule</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A1A" w:sz="6"/>
              <w:left w:val="single" w:color="1A3A1A" w:sz="6"/>
              <w:bottom w:val="single" w:color="1A3A1A" w:sz="6"/>
              <w:right w:val="single" w:color="1A3A1A" w:sz="6"/>
            </w:tcBorders>
            <w:shd w:fill="1A3A1A"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PHASE 2 — SEMAINES 5–12 : LES NORMES EL LES-MÊMES (1h/jour)</w:t>
            </w:r>
          </w:p>
        </w:tc>
      </w:tr>
    </w:tbl>
    <w:p>
      <w:pPr>
        <w:spacing w:before="50" w:after="40"/>
      </w:pPr>
      <w:r>
        <w:rPr>
          <w:rFonts w:ascii="Arial" w:cs="Arial" w:eastAsia="Arial" w:hAnsi="Arial"/>
          <w:sz w:val="21"/>
          <w:szCs w:val="21"/>
        </w:rPr>
        <w:t xml:space="preserve"/>
      </w:r>
    </w:p>
    <w:p>
      <w:pPr>
        <w:spacing w:before="0" w:after="60"/>
      </w:pPr>
      <w:r>
        <w:rPr>
          <w:rFonts w:ascii="Arial" w:cs="Arial" w:eastAsia="Arial" w:hAnsi="Arial"/>
          <w:i/>
          <w:iCs/>
          <w:color w:val="595959"/>
          <w:sz w:val="21"/>
          <w:szCs w:val="21"/>
        </w:rPr>
        <w:t xml:space="preserve">Objectif : lire et annoter les normes elles-mêmes, identifier les clauses clés, comprendre les cas de charge et les critères. Cette phase nécessite l’achat des textes normatifs — investissement nécessaire.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single" w:color="E65100" w:sz="6"/>
              <w:bottom w:val="single" w:color="E65100" w:sz="6"/>
              <w:right w:val="single" w:color="E65100" w:sz="6"/>
            </w:tcBorders>
            <w:shd w:fill="FFF3E0" w:val="clear"/>
            <w:tcMar>
              <w:top w:type="dxa" w:w="80"/>
              <w:left w:type="dxa" w:w="140"/>
              <w:bottom w:type="dxa" w:w="80"/>
              <w:right w:type="dxa" w:w="140"/>
            </w:tcMar>
          </w:tcPr>
          <w:p>
            <w:r>
              <w:rPr>
                <w:rFonts w:ascii="Arial" w:cs="Arial" w:eastAsia="Arial" w:hAnsi="Arial"/>
                <w:b/>
                <w:bCs/>
                <w:color w:val="E65100"/>
                <w:sz w:val="19"/>
                <w:szCs w:val="19"/>
              </w:rPr>
              <w:t xml:space="preserve">⚠️  EN 12663-1, EN 45545-2 et EN 15663 sont des documents payants (AFNOR boutique, 100–200 € chacun). La STI est gratuite sur EUR-Lex. Certains employeurs prennent en charge l’achat dans le budget documentation technique — à demander.</w:t>
            </w:r>
          </w:p>
        </w:tc>
      </w:tr>
    </w:tbl>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00"/>
        <w:gridCol w:w="2600"/>
      </w:tblGrid>
      <w:tr>
        <w:trPr>
          <w:tblHeader/>
        </w:trPr>
        <w:tc>
          <w:tcPr>
            <w:tcW w:type="dxa" w:w="7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Sem.</w:t>
            </w:r>
          </w:p>
        </w:tc>
        <w:tc>
          <w:tcPr>
            <w:tcW w:type="dxa" w:w="34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Action</w:t>
            </w:r>
          </w:p>
        </w:tc>
        <w:tc>
          <w:tcPr>
            <w:tcW w:type="dxa" w:w="25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Source</w:t>
            </w:r>
          </w:p>
        </w:tc>
        <w:tc>
          <w:tcPr>
            <w:tcW w:type="dxa" w:w="2600"/>
            <w:tcBorders>
              <w:top w:val="single" w:color="777777" w:sz="6"/>
              <w:left w:val="single" w:color="777777" w:sz="6"/>
              <w:bottom w:val="single" w:color="777777" w:sz="6"/>
              <w:right w:val="single" w:color="777777" w:sz="6"/>
            </w:tcBorders>
            <w:shd w:fill="1A3A1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Livrable attendu</w:t>
            </w:r>
          </w:p>
        </w:tc>
      </w:tr>
      <w:tr>
        <w:tc>
          <w:tcPr>
            <w:tcW w:type="dxa" w:w="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1A3A1A"/>
                <w:sz w:val="19"/>
                <w:szCs w:val="19"/>
              </w:rPr>
              <w:t xml:space="preserve">5–6</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Lire EN 15663 : comprendre les définitions de masses, la masse de référence passager (80 kg), les catégories de charge</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w:t>
            </w:r>
          </w:p>
        </w:tc>
        <w:tc>
          <w:tcPr>
            <w:tcW w:type="dxa" w:w="26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3A1A"/>
                <w:sz w:val="17"/>
                <w:szCs w:val="17"/>
              </w:rPr>
              <w:t xml:space="preserve">Fiche synthèse personnelle des masses de référence</w:t>
            </w:r>
          </w:p>
        </w:tc>
      </w:tr>
      <w:tr>
        <w:tc>
          <w:tcPr>
            <w:tcW w:type="dxa" w:w="7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1A3A1A"/>
                <w:sz w:val="19"/>
                <w:szCs w:val="19"/>
              </w:rPr>
              <w:t xml:space="preserve">7–8</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Lire EN 12663-1 : sommaire, section 4 (catégories), section 5 (cas de charge), tableaux des accélérations</w:t>
            </w:r>
          </w:p>
        </w:tc>
        <w:tc>
          <w:tcPr>
            <w:tcW w:type="dxa" w:w="2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3A1A"/>
                <w:sz w:val="17"/>
                <w:szCs w:val="17"/>
              </w:rPr>
              <w:t xml:space="preserve">Tableau personnel des cas de charge applicables à notre siège</w:t>
            </w:r>
          </w:p>
        </w:tc>
      </w:tr>
      <w:tr>
        <w:tc>
          <w:tcPr>
            <w:tcW w:type="dxa" w:w="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1A3A1A"/>
                <w:sz w:val="19"/>
                <w:szCs w:val="19"/>
              </w:rPr>
              <w:t xml:space="preserve">9</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Lire EN 45545-2 : introduction, section 4 (classification HL), Tableaux R6, R7, R10</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w:t>
            </w:r>
          </w:p>
        </w:tc>
        <w:tc>
          <w:tcPr>
            <w:tcW w:type="dxa" w:w="26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3A1A"/>
                <w:sz w:val="17"/>
                <w:szCs w:val="17"/>
              </w:rPr>
              <w:t xml:space="preserve">Matrice HL × R-sets applicable à notre siège avec valeurs clés</w:t>
            </w:r>
          </w:p>
        </w:tc>
      </w:tr>
      <w:tr>
        <w:tc>
          <w:tcPr>
            <w:tcW w:type="dxa" w:w="7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1A3A1A"/>
                <w:sz w:val="19"/>
                <w:szCs w:val="19"/>
              </w:rPr>
              <w:t xml:space="preserve">10</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Identifier le level HL de notre véhicule cible : opérateur, tunnels, automation</w:t>
            </w:r>
          </w:p>
        </w:tc>
        <w:tc>
          <w:tcPr>
            <w:tcW w:type="dxa" w:w="2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Cahier des charges client + STI</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3A1A"/>
                <w:sz w:val="17"/>
                <w:szCs w:val="17"/>
              </w:rPr>
              <w:t xml:space="preserve">Décision documentée : notre véhicule est HL1 / HL2 / HL3</w:t>
            </w:r>
          </w:p>
        </w:tc>
      </w:tr>
      <w:tr>
        <w:tc>
          <w:tcPr>
            <w:tcW w:type="dxa" w:w="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1A3A1A"/>
                <w:sz w:val="19"/>
                <w:szCs w:val="19"/>
              </w:rPr>
              <w:t xml:space="preserve">11</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Relier EN 12663 et EN 15663 : calculer la force verticale sur un piéd de siège pour nos conditions de charge</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Notes de calcul personnelles</w:t>
            </w:r>
          </w:p>
        </w:tc>
        <w:tc>
          <w:tcPr>
            <w:tcW w:type="dxa" w:w="2600"/>
            <w:tcBorders>
              <w:top w:val="single" w:color="BBBBBB" w:sz="6"/>
              <w:left w:val="single" w:color="BBBBBB" w:sz="6"/>
              <w:bottom w:val="single" w:color="BBBBBB" w:sz="6"/>
              <w:right w:val="single" w:color="BBBBBB" w:sz="6"/>
            </w:tcBorders>
            <w:shd w:fill="E8F5E9"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3A1A"/>
                <w:sz w:val="17"/>
                <w:szCs w:val="17"/>
              </w:rPr>
              <w:t xml:space="preserve">Première note de calcul normative rédigée</w:t>
            </w:r>
          </w:p>
        </w:tc>
      </w:tr>
      <w:tr>
        <w:tc>
          <w:tcPr>
            <w:tcW w:type="dxa" w:w="7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1A3A1A"/>
                <w:sz w:val="19"/>
                <w:szCs w:val="19"/>
              </w:rPr>
              <w:t xml:space="preserve">12</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Relier EN 45545-2 et les matériaux de notre siège : lister chaque composant et son R-set</w:t>
            </w:r>
          </w:p>
        </w:tc>
        <w:tc>
          <w:tcPr>
            <w:tcW w:type="dxa" w:w="2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Notre BOM siège + EN 45545-2</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3A1A"/>
                <w:sz w:val="17"/>
                <w:szCs w:val="17"/>
              </w:rPr>
              <w:t xml:space="preserve">Matrice conformité matériaux vs. R-sets</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375623" w:val="clear"/>
            <w:tcMar>
              <w:top w:type="dxa" w:w="80"/>
              <w:left w:type="dxa" w:w="150"/>
              <w:bottom w:type="dxa" w:w="80"/>
              <w:right w:type="dxa" w:w="150"/>
            </w:tcMar>
          </w:tcPr>
          <w:p>
            <w:pPr>
              <w:jc w:val="center"/>
            </w:pPr>
            <w:r>
              <w:rPr>
                <w:rFonts w:ascii="Arial" w:cs="Arial" w:eastAsia="Arial" w:hAnsi="Arial"/>
                <w:b/>
                <w:bCs/>
                <w:color w:val="FFFFFF"/>
                <w:sz w:val="22"/>
                <w:szCs w:val="22"/>
              </w:rPr>
              <w:t xml:space="preserve">PHASE 3 — MOIS 3–6 : APPLICATION SUR CAS RÉELS (2h/semaine)</w:t>
            </w:r>
          </w:p>
        </w:tc>
      </w:tr>
    </w:tbl>
    <w:p>
      <w:pPr>
        <w:spacing w:before="50" w:after="40"/>
      </w:pPr>
      <w:r>
        <w:rPr>
          <w:rFonts w:ascii="Arial" w:cs="Arial" w:eastAsia="Arial" w:hAnsi="Arial"/>
          <w:sz w:val="21"/>
          <w:szCs w:val="21"/>
        </w:rPr>
        <w:t xml:space="preserve"/>
      </w:r>
    </w:p>
    <w:p>
      <w:pPr>
        <w:spacing w:before="0" w:after="60"/>
      </w:pPr>
      <w:r>
        <w:rPr>
          <w:rFonts w:ascii="Arial" w:cs="Arial" w:eastAsia="Arial" w:hAnsi="Arial"/>
          <w:i/>
          <w:iCs/>
          <w:color w:val="595959"/>
          <w:sz w:val="21"/>
          <w:szCs w:val="21"/>
        </w:rPr>
        <w:t xml:space="preserve">Objectif : appliquer les normes sur des cas concrets du projet en cours. C’est cette phase qui transforme la connaissance théorique en expertise opérationnelle.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00"/>
        <w:gridCol w:w="2600"/>
      </w:tblGrid>
      <w:tr>
        <w:trPr>
          <w:tblHeader/>
        </w:trPr>
        <w:tc>
          <w:tcPr>
            <w:tcW w:type="dxa" w:w="7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Mois</w:t>
            </w:r>
          </w:p>
        </w:tc>
        <w:tc>
          <w:tcPr>
            <w:tcW w:type="dxa" w:w="34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Action</w:t>
            </w:r>
          </w:p>
        </w:tc>
        <w:tc>
          <w:tcPr>
            <w:tcW w:type="dxa" w:w="25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Méthode</w:t>
            </w:r>
          </w:p>
        </w:tc>
        <w:tc>
          <w:tcPr>
            <w:tcW w:type="dxa" w:w="2600"/>
            <w:tcBorders>
              <w:top w:val="single" w:color="777777" w:sz="6"/>
              <w:left w:val="single" w:color="777777" w:sz="6"/>
              <w:bottom w:val="single" w:color="777777" w:sz="6"/>
              <w:right w:val="single" w:color="777777" w:sz="6"/>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Livrable attendu</w:t>
            </w:r>
          </w:p>
        </w:tc>
      </w:tr>
      <w:tr>
        <w:tc>
          <w:tcPr>
            <w:tcW w:type="dxa" w:w="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9"/>
                <w:szCs w:val="19"/>
              </w:rPr>
              <w:t xml:space="preserve">3</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Rédiger la première vérification normative complète du siège en cours de conception</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Appliquer EN 12663 + EN 15663 sur notre structure</w:t>
            </w:r>
          </w:p>
        </w:tc>
        <w:tc>
          <w:tcPr>
            <w:tcW w:type="dxa" w:w="2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Note de calcul normative structurée, validée en interne</w:t>
            </w:r>
          </w:p>
        </w:tc>
      </w:tr>
      <w:tr>
        <w:tc>
          <w:tcPr>
            <w:tcW w:type="dxa" w:w="7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9"/>
                <w:szCs w:val="19"/>
              </w:rPr>
              <w:t xml:space="preserve">4</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Constituer la FCIL (Fire Certificate Inventory List) de notre siège</w:t>
            </w:r>
          </w:p>
        </w:tc>
        <w:tc>
          <w:tcPr>
            <w:tcW w:type="dxa" w:w="2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Collecter les fiches matériaux + EN 45545-2</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FCIL complète — liste de conformité feu de chaque composant</w:t>
            </w:r>
          </w:p>
        </w:tc>
      </w:tr>
      <w:tr>
        <w:tc>
          <w:tcPr>
            <w:tcW w:type="dxa" w:w="7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9"/>
                <w:szCs w:val="19"/>
              </w:rPr>
              <w:t xml:space="preserve">5</w:t>
            </w:r>
          </w:p>
        </w:tc>
        <w:tc>
          <w:tcPr>
            <w:tcW w:type="dxa" w:w="3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Préparer un scenario d’essai structurel (plan d’essai EN 12663)</w:t>
            </w:r>
          </w:p>
        </w:tc>
        <w:tc>
          <w:tcPr>
            <w:tcW w:type="dxa" w:w="25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Lire une procédure d’essai existante + appliquer à notre cas</w:t>
            </w:r>
          </w:p>
        </w:tc>
        <w:tc>
          <w:tcPr>
            <w:tcW w:type="dxa" w:w="2600"/>
            <w:tcBorders>
              <w:top w:val="single" w:color="BBBBBB" w:sz="6"/>
              <w:left w:val="single" w:color="BBBBBB" w:sz="6"/>
              <w:bottom w:val="single" w:color="BBBBBB" w:sz="6"/>
              <w:right w:val="single" w:color="BBBBBB" w:sz="6"/>
            </w:tcBorders>
            <w:shd w:fill="E2EFDA"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Procédure d’essai rédigée prête pour soumission banc</w:t>
            </w:r>
          </w:p>
        </w:tc>
      </w:tr>
      <w:tr>
        <w:tc>
          <w:tcPr>
            <w:tcW w:type="dxa" w:w="7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375623"/>
                <w:sz w:val="19"/>
                <w:szCs w:val="19"/>
              </w:rPr>
              <w:t xml:space="preserve">6</w:t>
            </w:r>
          </w:p>
        </w:tc>
        <w:tc>
          <w:tcPr>
            <w:tcW w:type="dxa" w:w="3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1A1A1A"/>
                <w:sz w:val="18"/>
                <w:szCs w:val="18"/>
              </w:rPr>
              <w:t xml:space="preserve">Révision des notes et identification des lacunes persistantes</w:t>
            </w:r>
          </w:p>
        </w:tc>
        <w:tc>
          <w:tcPr>
            <w:tcW w:type="dxa" w:w="25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Relecture + entretien avec le responsable qualité</w:t>
            </w:r>
          </w:p>
        </w:tc>
        <w:tc>
          <w:tcPr>
            <w:tcW w:type="dxa" w:w="26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Plan de formation complémentaire cible</w:t>
            </w:r>
          </w:p>
        </w:tc>
      </w:tr>
    </w:tbl>
    <w:p>
      <w:pPr>
        <w:spacing w:before="80" w:after="60"/>
      </w:pPr>
      <w:r>
        <w:rPr>
          <w:rFonts w:ascii="Arial" w:cs="Arial" w:eastAsia="Arial" w:hAnsi="Arial"/>
          <w:sz w:val="21"/>
          <w:szCs w:val="21"/>
        </w:rPr>
        <w:t xml:space="preserve"/>
      </w:r>
    </w:p>
    <w:p>
      <w:pPr>
        <w:pStyle w:val="Heading1"/>
      </w:pPr>
      <w:r>
        <w:rPr>
          <w:rFonts w:ascii="Arial" w:cs="Arial" w:eastAsia="Arial" w:hAnsi="Arial"/>
          <w:b/>
          <w:bCs/>
          <w:color w:val="1F3864"/>
          <w:sz w:val="34"/>
          <w:szCs w:val="34"/>
        </w:rPr>
        <w:t xml:space="preserve">Ressources — accès et coûts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000"/>
      </w:tblGrid>
      <w:tr>
        <w:trPr>
          <w:tblHeader/>
        </w:trPr>
        <w:tc>
          <w:tcPr>
            <w:tcW w:type="dxa" w:w="28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Document</w:t>
            </w:r>
          </w:p>
        </w:tc>
        <w:tc>
          <w:tcPr>
            <w:tcW w:type="dxa" w:w="24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Source</w:t>
            </w:r>
          </w:p>
        </w:tc>
        <w:tc>
          <w:tcPr>
            <w:tcW w:type="dxa" w:w="20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Coût</w:t>
            </w:r>
          </w:p>
        </w:tc>
        <w:tc>
          <w:tcPr>
            <w:tcW w:type="dxa" w:w="2000"/>
            <w:tcBorders>
              <w:top w:val="single" w:color="777777" w:sz="6"/>
              <w:left w:val="single" w:color="777777" w:sz="6"/>
              <w:bottom w:val="single" w:color="777777" w:sz="6"/>
              <w:right w:val="single" w:color="777777" w:sz="6"/>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Priorité</w:t>
            </w:r>
          </w:p>
        </w:tc>
      </w:tr>
      <w:tr>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EN 45545-2:2020+A1:2023</w:t>
            </w:r>
          </w:p>
        </w:tc>
        <w:tc>
          <w:tcPr>
            <w:tcW w:type="dxa" w:w="2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 (boutique.afnor.org)</w:t>
            </w:r>
          </w:p>
        </w:tc>
        <w:tc>
          <w:tcPr>
            <w:tcW w:type="dxa" w:w="20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center"/>
            </w:pPr>
            <w:r>
              <w:rPr>
                <w:rFonts w:ascii="Arial" w:cs="Arial" w:eastAsia="Arial" w:hAnsi="Arial"/>
                <w:b/>
                <w:bCs/>
                <w:i w:val="false"/>
                <w:iCs w:val="false"/>
                <w:color w:val="C55A11"/>
                <w:sz w:val="18"/>
                <w:szCs w:val="18"/>
              </w:rPr>
              <w:t xml:space="preserve">~150–200 €</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P1 — immédiat</w:t>
            </w:r>
          </w:p>
        </w:tc>
      </w:tr>
      <w:tr>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EN 12663-1 + A1</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C55A11"/>
                <w:sz w:val="18"/>
                <w:szCs w:val="18"/>
              </w:rPr>
              <w:t xml:space="preserve">~120–180 €</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P1 — immédiat</w:t>
            </w:r>
          </w:p>
        </w:tc>
      </w:tr>
      <w:tr>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EN 15663</w:t>
            </w:r>
          </w:p>
        </w:tc>
        <w:tc>
          <w:tcPr>
            <w:tcW w:type="dxa" w:w="2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w:t>
            </w:r>
          </w:p>
        </w:tc>
        <w:tc>
          <w:tcPr>
            <w:tcW w:type="dxa" w:w="20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center"/>
            </w:pPr>
            <w:r>
              <w:rPr>
                <w:rFonts w:ascii="Arial" w:cs="Arial" w:eastAsia="Arial" w:hAnsi="Arial"/>
                <w:b/>
                <w:bCs/>
                <w:i w:val="false"/>
                <w:iCs w:val="false"/>
                <w:color w:val="C55A11"/>
                <w:sz w:val="18"/>
                <w:szCs w:val="18"/>
              </w:rPr>
              <w:t xml:space="preserve">~80–120 €</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P1 — immédiat</w:t>
            </w:r>
          </w:p>
        </w:tc>
      </w:tr>
      <w:tr>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STI Matériel Roulant</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EUR-Lex (eur-lex.europa.eu)</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C55A11"/>
                <w:sz w:val="18"/>
                <w:szCs w:val="18"/>
              </w:rPr>
              <w:t xml:space="preserve">GRATUIT</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P1 — immédiat</w:t>
            </w:r>
          </w:p>
        </w:tc>
      </w:tr>
      <w:tr>
        <w:tc>
          <w:tcPr>
            <w:tcW w:type="dxa" w:w="28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EN 14813 (ergonomie sièges)</w:t>
            </w:r>
          </w:p>
        </w:tc>
        <w:tc>
          <w:tcPr>
            <w:tcW w:type="dxa" w:w="24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w:t>
            </w:r>
          </w:p>
        </w:tc>
        <w:tc>
          <w:tcPr>
            <w:tcW w:type="dxa" w:w="2000"/>
            <w:tcBorders>
              <w:top w:val="single" w:color="BBBBBB" w:sz="6"/>
              <w:left w:val="single" w:color="BBBBBB" w:sz="6"/>
              <w:bottom w:val="single" w:color="BBBBBB" w:sz="6"/>
              <w:right w:val="single" w:color="BBBBBB" w:sz="6"/>
            </w:tcBorders>
            <w:shd w:fill="FCE4D6" w:val="clear"/>
            <w:tcMar>
              <w:top w:type="dxa" w:w="80"/>
              <w:left w:type="dxa" w:w="115"/>
              <w:bottom w:type="dxa" w:w="80"/>
              <w:right w:type="dxa" w:w="115"/>
            </w:tcMar>
            <w:vAlign w:val="top"/>
          </w:tcPr>
          <w:p>
            <w:pPr>
              <w:jc w:val="center"/>
            </w:pPr>
            <w:r>
              <w:rPr>
                <w:rFonts w:ascii="Arial" w:cs="Arial" w:eastAsia="Arial" w:hAnsi="Arial"/>
                <w:b/>
                <w:bCs/>
                <w:i w:val="false"/>
                <w:iCs w:val="false"/>
                <w:color w:val="C55A11"/>
                <w:sz w:val="18"/>
                <w:szCs w:val="18"/>
              </w:rPr>
              <w:t xml:space="preserve">~80 €</w:t>
            </w:r>
          </w:p>
        </w:tc>
        <w:tc>
          <w:tcPr>
            <w:tcW w:type="dxa" w:w="2000"/>
            <w:tcBorders>
              <w:top w:val="single" w:color="BBBBBB" w:sz="6"/>
              <w:left w:val="single" w:color="BBBBBB" w:sz="6"/>
              <w:bottom w:val="single" w:color="BBBBBB" w:sz="6"/>
              <w:right w:val="single" w:color="BBBBBB" w:sz="6"/>
            </w:tcBorders>
            <w:shd w:fill="F2F2F2"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P2 — horizon 3 mois</w:t>
            </w:r>
          </w:p>
        </w:tc>
      </w:tr>
      <w:tr>
        <w:tc>
          <w:tcPr>
            <w:tcW w:type="dxa" w:w="28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bCs/>
                <w:i w:val="false"/>
                <w:iCs w:val="false"/>
                <w:color w:val="1A1A1A"/>
                <w:sz w:val="18"/>
                <w:szCs w:val="18"/>
              </w:rPr>
              <w:t xml:space="preserve">EN 16989 (essai siège complet)</w:t>
            </w:r>
          </w:p>
        </w:tc>
        <w:tc>
          <w:tcPr>
            <w:tcW w:type="dxa" w:w="24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iCs/>
                <w:color w:val="1A1A1A"/>
                <w:sz w:val="17"/>
                <w:szCs w:val="17"/>
              </w:rPr>
              <w:t xml:space="preserve">AFNOR Boutique</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center"/>
            </w:pPr>
            <w:r>
              <w:rPr>
                <w:rFonts w:ascii="Arial" w:cs="Arial" w:eastAsia="Arial" w:hAnsi="Arial"/>
                <w:b/>
                <w:bCs/>
                <w:i w:val="false"/>
                <w:iCs w:val="false"/>
                <w:color w:val="C55A11"/>
                <w:sz w:val="18"/>
                <w:szCs w:val="18"/>
              </w:rPr>
              <w:t xml:space="preserve">~80 €</w:t>
            </w:r>
          </w:p>
        </w:tc>
        <w:tc>
          <w:tcPr>
            <w:tcW w:type="dxa" w:w="2000"/>
            <w:tcBorders>
              <w:top w:val="single" w:color="BBBBBB" w:sz="6"/>
              <w:left w:val="single" w:color="BBBBBB" w:sz="6"/>
              <w:bottom w:val="single" w:color="BBBBBB" w:sz="6"/>
              <w:right w:val="single" w:color="BBBBBB" w:sz="6"/>
            </w:tcBorders>
            <w:shd w:fill="FFFFFF" w:val="clear"/>
            <w:tcMar>
              <w:top w:type="dxa" w:w="80"/>
              <w:left w:type="dxa" w:w="115"/>
              <w:bottom w:type="dxa" w:w="80"/>
              <w:right w:type="dxa" w:w="115"/>
            </w:tcMar>
            <w:vAlign w:val="top"/>
          </w:tcPr>
          <w:p>
            <w:pPr>
              <w:jc w:val="left"/>
            </w:pPr>
            <w:r>
              <w:rPr>
                <w:rFonts w:ascii="Arial" w:cs="Arial" w:eastAsia="Arial" w:hAnsi="Arial"/>
                <w:b w:val="false"/>
                <w:bCs w:val="false"/>
                <w:i w:val="false"/>
                <w:iCs w:val="false"/>
                <w:color w:val="375623"/>
                <w:sz w:val="17"/>
                <w:szCs w:val="17"/>
              </w:rPr>
              <w:t xml:space="preserve">P2 — si essai prévu</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2B5E" w:sz="6"/>
              <w:left w:val="single" w:color="0D2B5E" w:sz="6"/>
              <w:bottom w:val="single" w:color="0D2B5E" w:sz="6"/>
              <w:right w:val="single" w:color="0D2B5E" w:sz="6"/>
            </w:tcBorders>
            <w:shd w:fill="E8EEF7" w:val="clear"/>
            <w:tcMar>
              <w:top w:type="dxa" w:w="90"/>
              <w:left w:type="dxa" w:w="150"/>
              <w:bottom w:type="dxa" w:w="90"/>
              <w:right w:type="dxa" w:w="150"/>
            </w:tcMar>
          </w:tcPr>
          <w:p>
            <w:pPr>
              <w:spacing w:before="0" w:after="50"/>
            </w:pPr>
            <w:r>
              <w:rPr>
                <w:rFonts w:ascii="Arial" w:cs="Arial" w:eastAsia="Arial" w:hAnsi="Arial"/>
                <w:b/>
                <w:bCs/>
                <w:color w:val="0D2B5E"/>
                <w:sz w:val="20"/>
                <w:szCs w:val="20"/>
              </w:rPr>
              <w:t xml:space="preserve">💡  Stratégie d’acquisition</w:t>
            </w:r>
          </w:p>
          <w:p>
            <w:pPr>
              <w:spacing w:before="0" w:after="0"/>
            </w:pPr>
            <w:r>
              <w:rPr>
                <w:rFonts w:ascii="Arial" w:cs="Arial" w:eastAsia="Arial" w:hAnsi="Arial"/>
                <w:color w:val="1A1A1A"/>
                <w:sz w:val="20"/>
                <w:szCs w:val="20"/>
              </w:rPr>
              <w:t xml:space="preserve">Demandez à votre employeur de prendre en charge l’achat des textes normatifs dans le budget documentation technique — c’est un investissement normal dans un bureau d’études qui travaille sur ces normes. Si refus : commencer par la STI (gratuite) et EN 45545-2 (la plus urgente pour la conception du siège ferro).</w:t>
            </w:r>
          </w:p>
        </w:tc>
      </w:tr>
    </w:tbl>
    <w:p>
      <w:pPr>
        <w:spacing w:before="80" w:after="80"/>
      </w:pPr>
      <w:r>
        <w:rPr>
          <w:rFonts w:ascii="Arial" w:cs="Arial" w:eastAsia="Arial" w:hAnsi="Arial"/>
          <w:sz w:val="21"/>
          <w:szCs w:val="21"/>
        </w:rPr>
        <w:t xml:space="preserve"/>
      </w:r>
    </w:p>
    <w:p>
      <w:pPr>
        <w:pBdr>
          <w:bottom w:val="single" w:color="1A3A1A" w:sz="10" w:space="1"/>
        </w:pBdr>
        <w:spacing w:before="130" w:after="130"/>
      </w:pPr>
      <w:r>
        <w:rPr>
          <w:rFonts w:ascii="Arial" w:cs="Arial" w:eastAsia="Arial" w:hAnsi="Arial"/>
          <w:sz w:val="21"/>
          <w:szCs w:val="21"/>
        </w:rPr>
        <w:t xml:space="preserve"/>
      </w:r>
    </w:p>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A1A" w:sz="6"/>
              <w:left w:val="single" w:color="1A3A1A" w:sz="6"/>
              <w:bottom w:val="single" w:color="1A3A1A" w:sz="6"/>
              <w:right w:val="single" w:color="1A3A1A" w:sz="6"/>
            </w:tcBorders>
            <w:shd w:fill="1A3A1A" w:val="clear"/>
            <w:tcMar>
              <w:top w:type="dxa" w:w="100"/>
              <w:left w:type="dxa" w:w="160"/>
              <w:bottom w:type="dxa" w:w="100"/>
              <w:right w:type="dxa" w:w="160"/>
            </w:tcMar>
          </w:tcPr>
          <w:p>
            <w:pPr>
              <w:spacing w:before="0" w:after="40"/>
              <w:jc w:val="center"/>
            </w:pPr>
            <w:r>
              <w:rPr>
                <w:rFonts w:ascii="Arial" w:cs="Arial" w:eastAsia="Arial" w:hAnsi="Arial"/>
                <w:b/>
                <w:bCs/>
                <w:color w:val="FFFFFF"/>
                <w:sz w:val="20"/>
                <w:szCs w:val="20"/>
              </w:rPr>
              <w:t xml:space="preserve">La règle fondamentale</w:t>
            </w:r>
          </w:p>
          <w:p>
            <w:pPr>
              <w:jc w:val="center"/>
            </w:pPr>
            <w:r>
              <w:rPr>
                <w:rFonts w:ascii="Arial" w:cs="Arial" w:eastAsia="Arial" w:hAnsi="Arial"/>
                <w:b/>
                <w:bCs/>
                <w:i/>
                <w:iCs/>
                <w:color w:val="FFFFFF"/>
                <w:sz w:val="22"/>
                <w:szCs w:val="22"/>
              </w:rPr>
              <w:t xml:space="preserve">Une norme se comprend par les problèmes qu’elle résout. Lisez-la avec un cas concret en tête — pas comme un texte abstrait. La clause que vous ne comprenez pas est celle que vous n’avez pas encore appliquée.</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1A" w:sz="6" w:space="1"/>
      </w:pBdr>
      <w:jc w:val="center"/>
    </w:pPr>
    <w:r>
      <w:rPr>
        <w:rFonts w:ascii="Arial" w:cs="Arial" w:eastAsia="Arial" w:hAnsi="Arial"/>
        <w:color w:val="888888"/>
        <w:sz w:val="15"/>
        <w:szCs w:val="15"/>
      </w:rPr>
      <w:t xml:space="preserve">Document personnel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1A" w:sz="8" w:space="1"/>
      </w:pBdr>
    </w:pPr>
    <w:r>
      <w:rPr>
        <w:rFonts w:ascii="Arial" w:cs="Arial" w:eastAsia="Arial" w:hAnsi="Arial"/>
        <w:b/>
        <w:bCs/>
        <w:color w:val="1A3A1A"/>
        <w:sz w:val="16"/>
        <w:szCs w:val="16"/>
      </w:rPr>
      <w:t xml:space="preserve">🚃  NORMES FERROVIAIRES — Synthèse &amp; Plan d’apprentissage  </w:t>
    </w:r>
    <w:r>
      <w:rPr>
        <w:rFonts w:ascii="Arial" w:cs="Arial" w:eastAsia="Arial" w:hAnsi="Arial"/>
        <w:color w:val="888888"/>
        <w:sz w:val="15"/>
        <w:szCs w:val="15"/>
      </w:rPr>
      <w:t xml:space="preserve">| EN 12663 — EN 45545 — EN 13979 — EN 15663 — STI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F3864"/>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2026-03-26T06:12:25.465Z</dcterms:created>
  <dcterms:modified xsi:type="dcterms:W3CDTF">2026-03-26T06:12:25.465Z</dcterms:modified>
</cp:coreProperties>
</file>

<file path=docProps/custom.xml><?xml version="1.0" encoding="utf-8"?>
<Properties xmlns="http://schemas.openxmlformats.org/officeDocument/2006/custom-properties" xmlns:vt="http://schemas.openxmlformats.org/officeDocument/2006/docPropsVTypes"/>
</file>