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0D2B5E"/>
          <w:sz w:val="48"/>
          <w:szCs w:val="48"/>
        </w:rPr>
        <w:t xml:space="preserve">STRATÉGIE DE RATTRAPAGE — GUIDE DÉTAILLÉ</w:t>
      </w:r>
    </w:p>
    <w:p>
      <w:pPr>
        <w:spacing w:before="0" w:after="60"/>
        <w:jc w:val="center"/>
      </w:pPr>
      <w:r>
        <w:rPr>
          <w:rFonts w:ascii="Arial" w:cs="Arial" w:eastAsia="Arial" w:hAnsi="Arial"/>
          <w:b/>
          <w:bCs/>
          <w:color w:val="2E75B6"/>
          <w:sz w:val="28"/>
          <w:szCs w:val="28"/>
        </w:rPr>
        <w:t xml:space="preserve">Mission siège ferroviaire innovant chez un fournisseur de sièges aéronautiques</w:t>
      </w:r>
    </w:p>
    <w:p>
      <w:pPr>
        <w:spacing w:before="0" w:after="180"/>
        <w:jc w:val="center"/>
      </w:pPr>
      <w:r>
        <w:rPr>
          <w:rFonts w:ascii="Arial" w:cs="Arial" w:eastAsia="Arial" w:hAnsi="Arial"/>
          <w:i/>
          <w:iCs/>
          <w:color w:val="595959"/>
          <w:sz w:val="20"/>
          <w:szCs w:val="20"/>
        </w:rPr>
        <w:t xml:space="preserve">40–42 K€ annoncé en premier — NAF 30.30Z — Paris 75 — Ingénieur Conception Mécanique 4 ans</w:t>
      </w:r>
    </w:p>
    <w:p>
      <w:pPr>
        <w:pBdr>
          <w:bottom w:val="single" w:color="0D2B5E" w:sz="10" w:space="1"/>
        </w:pBdr>
        <w:spacing w:before="130" w:after="13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B0000" w:sz="6"/>
              <w:left w:val="single" w:color="8B0000" w:sz="6"/>
              <w:bottom w:val="single" w:color="8B0000" w:sz="6"/>
              <w:right w:val="single" w:color="8B0000" w:sz="6"/>
            </w:tcBorders>
            <w:shd w:fill="FDECEA" w:val="clear"/>
            <w:tcMar>
              <w:top w:type="dxa" w:w="90"/>
              <w:left w:type="dxa" w:w="150"/>
              <w:bottom w:type="dxa" w:w="90"/>
              <w:right w:type="dxa" w:w="150"/>
            </w:tcMar>
          </w:tcPr>
          <w:p>
            <w:pPr>
              <w:spacing w:before="0" w:after="50"/>
            </w:pPr>
            <w:r>
              <w:rPr>
                <w:rFonts w:ascii="Arial" w:cs="Arial" w:eastAsia="Arial" w:hAnsi="Arial"/>
                <w:b/>
                <w:bCs/>
                <w:color w:val="8B0000"/>
                <w:sz w:val="20"/>
                <w:szCs w:val="20"/>
              </w:rPr>
              <w:t xml:space="preserve">⚠️  Situation de départ — Ce qui s’est passé</w:t>
            </w:r>
          </w:p>
          <w:p>
            <w:pPr>
              <w:spacing w:before="0" w:after="0"/>
            </w:pPr>
            <w:r>
              <w:rPr>
                <w:rFonts w:ascii="Arial" w:cs="Arial" w:eastAsia="Arial" w:hAnsi="Arial"/>
                <w:color w:val="1A1A1A"/>
                <w:sz w:val="20"/>
                <w:szCs w:val="20"/>
              </w:rPr>
              <w:t xml:space="preserve">40–42 K€ a été annoncé en premier. L’ancrage est posé sur la partie basse du marché (moyenne Glassdoor Paris = 45 500 €). La mission de prestation portait sur la conception d’un siège ferroviaire innovant — pas directement sur les sièges aéronautiques de l’entreprise. Cette double spécificité modifie l’argumentation : la faiblesse apparente de la mission « off-core » devient en réalité un argument de différenciation rare.</w:t>
            </w:r>
          </w:p>
        </w:tc>
      </w:tr>
    </w:tbl>
    <w:p>
      <w:pPr>
        <w:spacing w:before="100" w:after="8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B0000" w:sz="6"/>
              <w:left w:val="single" w:color="8B0000" w:sz="6"/>
              <w:bottom w:val="single" w:color="8B0000" w:sz="6"/>
              <w:right w:val="single" w:color="8B0000" w:sz="6"/>
            </w:tcBorders>
            <w:shd w:fill="8B0000"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POINT LIMINAIRE — EN 9100 LEAD IMPLEMENTER : CE QUE VOUS DEVEZ CORRIGER</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0.  Correction critique sur la certification EN 9100</w:t>
      </w:r>
    </w:p>
    <w:p>
      <w:pPr>
        <w:spacing w:before="80" w:after="80"/>
      </w:pPr>
      <w:r>
        <w:rPr>
          <w:rFonts w:ascii="Arial" w:cs="Arial" w:eastAsia="Arial" w:hAnsi="Arial"/>
          <w:sz w:val="21"/>
          <w:szCs w:val="21"/>
        </w:rPr>
        <w:t xml:space="preserve">Dans les documents précédents, « EN 9100 Lead Implementer » était cité comme certification cible pour un ingénieur conception. C’est inexact. Voici la réalité à comprendre avant tout entretien dans le secteur.</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 9100 — Certification d’ENTREPRISE</w:t>
            </w:r>
          </w:p>
        </w:tc>
        <w:tc>
          <w:tcPr>
            <w:tcW w:type="dxa" w:w="4600"/>
            <w:tcBorders>
              <w:top w:val="single" w:color="777777" w:sz="6"/>
              <w:left w:val="single" w:color="777777" w:sz="6"/>
              <w:bottom w:val="single" w:color="777777" w:sz="6"/>
              <w:right w:val="single" w:color="777777" w:sz="6"/>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 9100 Lead Implementer — Qualification INDIVIDUELLE</w:t>
            </w:r>
          </w:p>
        </w:tc>
      </w:tr>
      <w:tr>
        <w:tc>
          <w:tcPr>
            <w:tcW w:type="dxa" w:w="46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spacing w:before="0" w:after="50"/>
            </w:pPr>
            <w:r>
              <w:rPr>
                <w:rFonts w:ascii="Arial" w:cs="Arial" w:eastAsia="Arial" w:hAnsi="Arial"/>
                <w:b/>
                <w:bCs/>
                <w:color w:val="0D2B5E"/>
                <w:sz w:val="21"/>
                <w:szCs w:val="21"/>
              </w:rPr>
              <w:t xml:space="preserve">Ce que c’est :</w:t>
            </w:r>
          </w:p>
          <w:p>
            <w:pPr>
              <w:pStyle w:val="ListParagraph"/>
              <w:numPr>
                <w:ilvl w:val="0"/>
                <w:numId w:val="2"/>
              </w:numPr>
              <w:spacing w:before="60" w:after="60"/>
            </w:pPr>
            <w:r>
              <w:rPr>
                <w:rFonts w:ascii="Arial" w:cs="Arial" w:eastAsia="Arial" w:hAnsi="Arial"/>
                <w:sz w:val="21"/>
                <w:szCs w:val="21"/>
              </w:rPr>
              <w:t xml:space="preserve">Certification du système de management qualité de l’entreprise</w:t>
            </w:r>
          </w:p>
          <w:p>
            <w:pPr>
              <w:pStyle w:val="ListParagraph"/>
              <w:numPr>
                <w:ilvl w:val="0"/>
                <w:numId w:val="2"/>
              </w:numPr>
              <w:spacing w:before="60" w:after="60"/>
            </w:pPr>
            <w:r>
              <w:rPr>
                <w:rFonts w:ascii="Arial" w:cs="Arial" w:eastAsia="Arial" w:hAnsi="Arial"/>
                <w:sz w:val="21"/>
                <w:szCs w:val="21"/>
              </w:rPr>
              <w:t xml:space="preserve">Obligatoire pour être fournisseur de rang 1 (Airbus, Safran, Zodiac/Safran Seats, Dassault)</w:t>
            </w:r>
          </w:p>
          <w:p>
            <w:pPr>
              <w:pStyle w:val="ListParagraph"/>
              <w:numPr>
                <w:ilvl w:val="0"/>
                <w:numId w:val="2"/>
              </w:numPr>
              <w:spacing w:before="60" w:after="60"/>
            </w:pPr>
            <w:r>
              <w:rPr>
                <w:rFonts w:ascii="Arial" w:cs="Arial" w:eastAsia="Arial" w:hAnsi="Arial"/>
                <w:sz w:val="21"/>
                <w:szCs w:val="21"/>
              </w:rPr>
              <w:t xml:space="preserve">L’entreprise est certifiée — pas le salarié</w:t>
            </w:r>
          </w:p>
          <w:p>
            <w:pPr>
              <w:pStyle w:val="ListParagraph"/>
              <w:numPr>
                <w:ilvl w:val="0"/>
                <w:numId w:val="2"/>
              </w:numPr>
              <w:spacing w:before="60" w:after="60"/>
            </w:pPr>
            <w:r>
              <w:rPr>
                <w:rFonts w:ascii="Arial" w:cs="Arial" w:eastAsia="Arial" w:hAnsi="Arial"/>
                <w:sz w:val="21"/>
                <w:szCs w:val="21"/>
              </w:rPr>
              <w:t xml:space="preserve">Référencée dans la base OASIS mondiale</w:t>
            </w:r>
          </w:p>
          <w:p>
            <w:pPr>
              <w:spacing w:before="50" w:after="0"/>
            </w:pPr>
            <w:r>
              <w:rPr>
                <w:rFonts w:ascii="Arial" w:cs="Arial" w:eastAsia="Arial" w:hAnsi="Arial"/>
                <w:b/>
                <w:bCs/>
                <w:color w:val="0D2B5E"/>
                <w:sz w:val="21"/>
                <w:szCs w:val="21"/>
              </w:rPr>
              <w:t xml:space="preserve">Ce que ça signifie pour vous :</w:t>
            </w:r>
          </w:p>
          <w:p>
            <w:pPr>
              <w:pStyle w:val="ListParagraph"/>
              <w:numPr>
                <w:ilvl w:val="0"/>
                <w:numId w:val="2"/>
              </w:numPr>
              <w:spacing w:before="60" w:after="60"/>
            </w:pPr>
            <w:r>
              <w:rPr>
                <w:rFonts w:ascii="Arial" w:cs="Arial" w:eastAsia="Arial" w:hAnsi="Arial"/>
                <w:sz w:val="21"/>
                <w:szCs w:val="21"/>
              </w:rPr>
              <w:t xml:space="preserve">Vous avez travaillé DANS un système EN 9100 — c’est votre argument</w:t>
            </w:r>
          </w:p>
          <w:p>
            <w:pPr>
              <w:pStyle w:val="ListParagraph"/>
              <w:numPr>
                <w:ilvl w:val="0"/>
                <w:numId w:val="2"/>
              </w:numPr>
              <w:spacing w:before="60" w:after="60"/>
            </w:pPr>
            <w:r>
              <w:rPr>
                <w:rFonts w:ascii="Arial" w:cs="Arial" w:eastAsia="Arial" w:hAnsi="Arial"/>
                <w:sz w:val="21"/>
                <w:szCs w:val="21"/>
              </w:rPr>
              <w:t xml:space="preserve">Vous connaissez les processus, la rigueur documentaire, l’AMDEC, la gestion de configuration</w:t>
            </w:r>
          </w:p>
          <w:p>
            <w:pPr>
              <w:pStyle w:val="ListParagraph"/>
              <w:numPr>
                <w:ilvl w:val="0"/>
                <w:numId w:val="2"/>
              </w:numPr>
              <w:spacing w:before="60" w:after="60"/>
            </w:pPr>
            <w:r>
              <w:rPr>
                <w:rFonts w:ascii="Arial" w:cs="Arial" w:eastAsia="Arial" w:hAnsi="Arial"/>
                <w:sz w:val="21"/>
                <w:szCs w:val="21"/>
              </w:rPr>
              <w:t xml:space="preserve">C’est une valeur réelle — pas besoin d’une certification personnelle</w:t>
            </w:r>
          </w:p>
        </w:tc>
        <w:tc>
          <w:tcPr>
            <w:tcW w:type="dxa" w:w="4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spacing w:before="0" w:after="50"/>
            </w:pPr>
            <w:r>
              <w:rPr>
                <w:rFonts w:ascii="Arial" w:cs="Arial" w:eastAsia="Arial" w:hAnsi="Arial"/>
                <w:b/>
                <w:bCs/>
                <w:color w:val="595959"/>
                <w:sz w:val="21"/>
                <w:szCs w:val="21"/>
              </w:rPr>
              <w:t xml:space="preserve">Ce que c’est :</w:t>
            </w:r>
          </w:p>
          <w:p>
            <w:pPr>
              <w:pStyle w:val="ListParagraph"/>
              <w:numPr>
                <w:ilvl w:val="0"/>
                <w:numId w:val="2"/>
              </w:numPr>
              <w:spacing w:before="60" w:after="60"/>
            </w:pPr>
            <w:r>
              <w:rPr>
                <w:rFonts w:ascii="Arial" w:cs="Arial" w:eastAsia="Arial" w:hAnsi="Arial"/>
                <w:sz w:val="21"/>
                <w:szCs w:val="21"/>
              </w:rPr>
              <w:t xml:space="preserve">Qualification individuelle pour déployer et auditer un SMQ EN 9100 dans une organisation</w:t>
            </w:r>
          </w:p>
          <w:p>
            <w:pPr>
              <w:pStyle w:val="ListParagraph"/>
              <w:numPr>
                <w:ilvl w:val="0"/>
                <w:numId w:val="2"/>
              </w:numPr>
              <w:spacing w:before="60" w:after="60"/>
            </w:pPr>
            <w:r>
              <w:rPr>
                <w:rFonts w:ascii="Arial" w:cs="Arial" w:eastAsia="Arial" w:hAnsi="Arial"/>
                <w:sz w:val="21"/>
                <w:szCs w:val="21"/>
              </w:rPr>
              <w:t xml:space="preserve">Cible les responsables qualité, consultants QSE, auditeurs internes</w:t>
            </w:r>
          </w:p>
          <w:p>
            <w:pPr>
              <w:pStyle w:val="ListParagraph"/>
              <w:numPr>
                <w:ilvl w:val="0"/>
                <w:numId w:val="2"/>
              </w:numPr>
              <w:spacing w:before="60" w:after="60"/>
            </w:pPr>
            <w:r>
              <w:rPr>
                <w:rFonts w:ascii="Arial" w:cs="Arial" w:eastAsia="Arial" w:hAnsi="Arial"/>
                <w:sz w:val="21"/>
                <w:szCs w:val="21"/>
              </w:rPr>
              <w:t xml:space="preserve">PAS adaptée à un ingénieur conception — c’est un autre métier</w:t>
            </w:r>
          </w:p>
          <w:p>
            <w:pPr>
              <w:spacing w:before="50" w:after="0"/>
            </w:pPr>
            <w:r>
              <w:rPr>
                <w:rFonts w:ascii="Arial" w:cs="Arial" w:eastAsia="Arial" w:hAnsi="Arial"/>
                <w:b/>
                <w:bCs/>
                <w:color w:val="595959"/>
                <w:sz w:val="21"/>
                <w:szCs w:val="21"/>
              </w:rPr>
              <w:t xml:space="preserve">Ce qu’un ingénieur conception devrait viser :</w:t>
            </w:r>
          </w:p>
          <w:p>
            <w:pPr>
              <w:pStyle w:val="ListParagraph"/>
              <w:numPr>
                <w:ilvl w:val="0"/>
                <w:numId w:val="2"/>
              </w:numPr>
              <w:spacing w:before="60" w:after="60"/>
            </w:pPr>
            <w:r>
              <w:rPr>
                <w:rFonts w:ascii="Arial" w:cs="Arial" w:eastAsia="Arial" w:hAnsi="Arial"/>
                <w:sz w:val="21"/>
                <w:szCs w:val="21"/>
              </w:rPr>
              <w:t xml:space="preserve">Formation EN 9100 Awareness (1 jour, compréhension du référentiel)</w:t>
            </w:r>
          </w:p>
          <w:p>
            <w:pPr>
              <w:pStyle w:val="ListParagraph"/>
              <w:numPr>
                <w:ilvl w:val="0"/>
                <w:numId w:val="2"/>
              </w:numPr>
              <w:spacing w:before="60" w:after="60"/>
            </w:pPr>
            <w:r>
              <w:rPr>
                <w:rFonts w:ascii="Arial" w:cs="Arial" w:eastAsia="Arial" w:hAnsi="Arial"/>
                <w:sz w:val="21"/>
                <w:szCs w:val="21"/>
              </w:rPr>
              <w:t xml:space="preserve">Formation Auditeur Interne EN 9100 (2–03 jours, applicable en entreprise)</w:t>
            </w:r>
          </w:p>
          <w:p>
            <w:pPr>
              <w:pStyle w:val="ListParagraph"/>
              <w:numPr>
                <w:ilvl w:val="0"/>
                <w:numId w:val="2"/>
              </w:numPr>
              <w:spacing w:before="60" w:after="60"/>
            </w:pPr>
            <w:r>
              <w:rPr>
                <w:rFonts w:ascii="Arial" w:cs="Arial" w:eastAsia="Arial" w:hAnsi="Arial"/>
                <w:sz w:val="21"/>
                <w:szCs w:val="21"/>
              </w:rPr>
              <w:t xml:space="preserve">AMDEC système / Gestion de configuration / Contrôle des procédés spéciaux</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0D2B5E" w:sz="4"/>
              <w:left w:val="none" w:color="FFFFFF" w:sz="0"/>
              <w:bottom w:val="single" w:color="0D2B5E" w:sz="4"/>
              <w:right w:val="single" w:color="0D2B5E" w:sz="4"/>
            </w:tcBorders>
            <w:shd w:fill="E8EEF7"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Comment recadrer si la RH mentionne EN 9100 comme exigence :</w:t>
            </w:r>
          </w:p>
          <w:p>
            <w:pPr>
              <w:spacing w:before="0" w:after="0"/>
            </w:pPr>
            <w:r>
              <w:rPr>
                <w:rFonts w:ascii="Arial" w:cs="Arial" w:eastAsia="Arial" w:hAnsi="Arial"/>
                <w:b/>
                <w:bCs/>
                <w:color w:val="0D2B5E"/>
                <w:sz w:val="22"/>
                <w:szCs w:val="22"/>
              </w:rPr>
              <w:t xml:space="preserve">“</w:t>
            </w:r>
            <w:r>
              <w:rPr>
                <w:rFonts w:ascii="Arial" w:cs="Arial" w:eastAsia="Arial" w:hAnsi="Arial"/>
                <w:i/>
                <w:iCs/>
                <w:color w:val="1F3864"/>
                <w:sz w:val="20"/>
                <w:szCs w:val="20"/>
              </w:rPr>
              <w:t xml:space="preserve">J’ai travaillé trois mois dans votre environnement EN 9100 — j’ai produit des livrables dans votre système qualité, avec vos processus d’approbation, vos AMDEC et votre gestion documentaire. Je ne suis pas responsable qualité — mais je connais votre système de l’intérieur, ce qu’aucun candidat externe ne peut dire.</w:t>
            </w:r>
            <w:r>
              <w:rPr>
                <w:rFonts w:ascii="Arial" w:cs="Arial" w:eastAsia="Arial" w:hAnsi="Arial"/>
                <w:b/>
                <w:bCs/>
                <w:color w:val="0D2B5E"/>
                <w:sz w:val="22"/>
                <w:szCs w:val="22"/>
              </w:rPr>
              <w:t xml:space="preserve">”</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1 — LE CONTEXTE SPÉCIFIQUE : POURQUOI LA MISSION FERROVIAIRE EST UN ATOUT</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1.  La double culture normative — L’argument qui n’existe pas chez les autres candidats</w:t>
      </w:r>
    </w:p>
    <w:p>
      <w:pPr>
        <w:spacing w:before="80" w:after="80"/>
      </w:pPr>
      <w:r>
        <w:rPr>
          <w:rFonts w:ascii="Arial" w:cs="Arial" w:eastAsia="Arial" w:hAnsi="Arial"/>
          <w:sz w:val="21"/>
          <w:szCs w:val="21"/>
        </w:rPr>
        <w:t xml:space="preserve">La réaction première d’une RH sera : « vous avez travaillé sur un siège ferroviaire, pas sur nos sièges aéronautiques ». C’est l’objection à prévoir en premier. Voici pourquoi elle est en réalité fausse sur le fond.</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Normes SIÈGE AÉRO (cabin seats)</w:t>
            </w:r>
          </w:p>
        </w:tc>
        <w:tc>
          <w:tcPr>
            <w:tcW w:type="dxa" w:w="4600"/>
            <w:tcBorders>
              <w:top w:val="single" w:color="777777" w:sz="6"/>
              <w:left w:val="single" w:color="777777" w:sz="6"/>
              <w:bottom w:val="single" w:color="777777" w:sz="6"/>
              <w:right w:val="single" w:color="777777" w:sz="6"/>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Normes SIÈGE FERROVIAIRE (passenger rolling stock)</w:t>
            </w:r>
          </w:p>
        </w:tc>
      </w:tr>
      <w:tr>
        <w:tc>
          <w:tcPr>
            <w:tcW w:type="dxa" w:w="46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pStyle w:val="ListParagraph"/>
              <w:numPr>
                <w:ilvl w:val="0"/>
                <w:numId w:val="2"/>
              </w:numPr>
              <w:spacing w:before="60" w:after="60"/>
            </w:pPr>
            <w:r>
              <w:rPr>
                <w:rFonts w:ascii="Arial" w:cs="Arial" w:eastAsia="Arial" w:hAnsi="Arial"/>
                <w:sz w:val="21"/>
                <w:szCs w:val="21"/>
              </w:rPr>
              <w:t xml:space="preserve">CS 25.562 — Crashworthiness (essais de choc dynamique 16G)</w:t>
            </w:r>
          </w:p>
          <w:p>
            <w:pPr>
              <w:pStyle w:val="ListParagraph"/>
              <w:numPr>
                <w:ilvl w:val="0"/>
                <w:numId w:val="2"/>
              </w:numPr>
              <w:spacing w:before="60" w:after="60"/>
            </w:pPr>
            <w:r>
              <w:rPr>
                <w:rFonts w:ascii="Arial" w:cs="Arial" w:eastAsia="Arial" w:hAnsi="Arial"/>
                <w:sz w:val="21"/>
                <w:szCs w:val="21"/>
              </w:rPr>
              <w:t xml:space="preserve">CS 25.785 — Fixations sièges, ceintures, intégration cabine</w:t>
            </w:r>
          </w:p>
          <w:p>
            <w:pPr>
              <w:pStyle w:val="ListParagraph"/>
              <w:numPr>
                <w:ilvl w:val="0"/>
                <w:numId w:val="2"/>
              </w:numPr>
              <w:spacing w:before="60" w:after="60"/>
            </w:pPr>
            <w:r>
              <w:rPr>
                <w:rFonts w:ascii="Arial" w:cs="Arial" w:eastAsia="Arial" w:hAnsi="Arial"/>
                <w:sz w:val="21"/>
                <w:szCs w:val="21"/>
              </w:rPr>
              <w:t xml:space="preserve">TSO-C127b / FAR 25 — Qualification pour la mise en service</w:t>
            </w:r>
          </w:p>
          <w:p>
            <w:pPr>
              <w:pStyle w:val="ListParagraph"/>
              <w:numPr>
                <w:ilvl w:val="0"/>
                <w:numId w:val="2"/>
              </w:numPr>
              <w:spacing w:before="60" w:after="60"/>
            </w:pPr>
            <w:r>
              <w:rPr>
                <w:rFonts w:ascii="Arial" w:cs="Arial" w:eastAsia="Arial" w:hAnsi="Arial"/>
                <w:sz w:val="21"/>
                <w:szCs w:val="21"/>
              </w:rPr>
              <w:t xml:space="preserve">DO-160 — Environnement (vibrations, température, EMC)</w:t>
            </w:r>
          </w:p>
          <w:p>
            <w:pPr>
              <w:pStyle w:val="ListParagraph"/>
              <w:numPr>
                <w:ilvl w:val="0"/>
                <w:numId w:val="2"/>
              </w:numPr>
              <w:spacing w:before="60" w:after="60"/>
            </w:pPr>
            <w:r>
              <w:rPr>
                <w:rFonts w:ascii="Arial" w:cs="Arial" w:eastAsia="Arial" w:hAnsi="Arial"/>
                <w:sz w:val="21"/>
                <w:szCs w:val="21"/>
              </w:rPr>
              <w:t xml:space="preserve">REACH / RoHS — Substances chimiques dans les matériaux</w:t>
            </w:r>
          </w:p>
          <w:p>
            <w:pPr>
              <w:pStyle w:val="ListParagraph"/>
              <w:numPr>
                <w:ilvl w:val="0"/>
                <w:numId w:val="2"/>
              </w:numPr>
              <w:spacing w:before="60" w:after="60"/>
            </w:pPr>
            <w:r>
              <w:rPr>
                <w:rFonts w:ascii="Arial" w:cs="Arial" w:eastAsia="Arial" w:hAnsi="Arial"/>
                <w:sz w:val="21"/>
                <w:szCs w:val="21"/>
              </w:rPr>
              <w:t xml:space="preserve">EN 9100 — Système qualité tout au long de la chaîne</w:t>
            </w:r>
          </w:p>
        </w:tc>
        <w:tc>
          <w:tcPr>
            <w:tcW w:type="dxa" w:w="4600"/>
            <w:tcBorders>
              <w:top w:val="single" w:color="BBBBBB" w:sz="6"/>
              <w:left w:val="single" w:color="BBBBBB" w:sz="6"/>
              <w:bottom w:val="single" w:color="BBBBBB" w:sz="6"/>
              <w:right w:val="single" w:color="BBBBBB" w:sz="6"/>
            </w:tcBorders>
            <w:shd w:fill="D6EAF8" w:val="clear"/>
            <w:tcMar>
              <w:top w:type="dxa" w:w="80"/>
              <w:left w:type="dxa" w:w="115"/>
              <w:bottom w:type="dxa" w:w="80"/>
              <w:right w:type="dxa" w:w="115"/>
            </w:tcMar>
            <w:vAlign w:val="top"/>
          </w:tcPr>
          <w:p>
            <w:pPr>
              <w:pStyle w:val="ListParagraph"/>
              <w:numPr>
                <w:ilvl w:val="0"/>
                <w:numId w:val="2"/>
              </w:numPr>
              <w:spacing w:before="60" w:after="60"/>
            </w:pPr>
            <w:r>
              <w:rPr>
                <w:rFonts w:ascii="Arial" w:cs="Arial" w:eastAsia="Arial" w:hAnsi="Arial"/>
                <w:sz w:val="21"/>
                <w:szCs w:val="21"/>
              </w:rPr>
              <w:t xml:space="preserve">EN 12663-1 — Exigences structurelles (charges, caisses, sièges)</w:t>
            </w:r>
          </w:p>
          <w:p>
            <w:pPr>
              <w:pStyle w:val="ListParagraph"/>
              <w:numPr>
                <w:ilvl w:val="0"/>
                <w:numId w:val="2"/>
              </w:numPr>
              <w:spacing w:before="60" w:after="60"/>
            </w:pPr>
            <w:r>
              <w:rPr>
                <w:rFonts w:ascii="Arial" w:cs="Arial" w:eastAsia="Arial" w:hAnsi="Arial"/>
                <w:sz w:val="21"/>
                <w:szCs w:val="21"/>
              </w:rPr>
              <w:t xml:space="preserve">EN 45545-2 — Réaction au feu (matériaux composites, mousses, textiles)</w:t>
            </w:r>
          </w:p>
          <w:p>
            <w:pPr>
              <w:pStyle w:val="ListParagraph"/>
              <w:numPr>
                <w:ilvl w:val="0"/>
                <w:numId w:val="2"/>
              </w:numPr>
              <w:spacing w:before="60" w:after="60"/>
            </w:pPr>
            <w:r>
              <w:rPr>
                <w:rFonts w:ascii="Arial" w:cs="Arial" w:eastAsia="Arial" w:hAnsi="Arial"/>
                <w:sz w:val="21"/>
                <w:szCs w:val="21"/>
              </w:rPr>
              <w:t xml:space="preserve">EN 14813 / EN 14752 — Ergonomie et dimensions sièges voyageurs</w:t>
            </w:r>
          </w:p>
          <w:p>
            <w:pPr>
              <w:pStyle w:val="ListParagraph"/>
              <w:numPr>
                <w:ilvl w:val="0"/>
                <w:numId w:val="2"/>
              </w:numPr>
              <w:spacing w:before="60" w:after="60"/>
            </w:pPr>
            <w:r>
              <w:rPr>
                <w:rFonts w:ascii="Arial" w:cs="Arial" w:eastAsia="Arial" w:hAnsi="Arial"/>
                <w:sz w:val="21"/>
                <w:szCs w:val="21"/>
              </w:rPr>
              <w:t xml:space="preserve">EN 15663 — Masses de référence (optimisation poids)</w:t>
            </w:r>
          </w:p>
          <w:p>
            <w:pPr>
              <w:pStyle w:val="ListParagraph"/>
              <w:numPr>
                <w:ilvl w:val="0"/>
                <w:numId w:val="2"/>
              </w:numPr>
              <w:spacing w:before="60" w:after="60"/>
            </w:pPr>
            <w:r>
              <w:rPr>
                <w:rFonts w:ascii="Arial" w:cs="Arial" w:eastAsia="Arial" w:hAnsi="Arial"/>
                <w:sz w:val="21"/>
                <w:szCs w:val="21"/>
              </w:rPr>
              <w:t xml:space="preserve">Directive 2008/57/CE (STI) — Interopérabilité européenne</w:t>
            </w:r>
          </w:p>
          <w:p>
            <w:pPr>
              <w:pStyle w:val="ListParagraph"/>
              <w:numPr>
                <w:ilvl w:val="0"/>
                <w:numId w:val="2"/>
              </w:numPr>
              <w:spacing w:before="60" w:after="60"/>
            </w:pPr>
            <w:r>
              <w:rPr>
                <w:rFonts w:ascii="Arial" w:cs="Arial" w:eastAsia="Arial" w:hAnsi="Arial"/>
                <w:sz w:val="21"/>
                <w:szCs w:val="21"/>
              </w:rPr>
              <w:t xml:space="preserve">EN 13979 — Procédures d’approbation de type</w:t>
            </w:r>
          </w:p>
        </w:tc>
      </w:tr>
      <w:tr>
        <w:tc>
          <w:tcPr>
            <w:tcW w:type="dxa" w:w="9200"/>
            <w:gridSpan w:val="2"/>
            <w:tcBorders>
              <w:top w:val="single" w:color="0D2B5E" w:sz="6"/>
              <w:left w:val="single" w:color="0D2B5E" w:sz="6"/>
              <w:bottom w:val="single" w:color="0D2B5E" w:sz="6"/>
              <w:right w:val="single" w:color="0D2B5E" w:sz="6"/>
            </w:tcBorders>
            <w:shd w:fill="E8EEF7" w:val="clear"/>
            <w:tcMar>
              <w:top w:type="dxa" w:w="90"/>
              <w:left w:type="dxa" w:w="130"/>
              <w:bottom w:type="dxa" w:w="90"/>
              <w:right w:type="dxa" w:w="130"/>
            </w:tcMar>
          </w:tcPr>
          <w:p>
            <w:pPr>
              <w:spacing w:before="0" w:after="50"/>
            </w:pPr>
            <w:r>
              <w:rPr>
                <w:rFonts w:ascii="Arial" w:cs="Arial" w:eastAsia="Arial" w:hAnsi="Arial"/>
                <w:b/>
                <w:bCs/>
                <w:color w:val="0D2B5E"/>
                <w:sz w:val="19"/>
                <w:szCs w:val="19"/>
              </w:rPr>
              <w:t xml:space="preserve">⚡  CE QUI EST COMMUN AUX DEUX — C’est votre capital de compétences transverse</w:t>
            </w:r>
          </w:p>
          <w:p>
            <w:r>
              <w:rPr>
                <w:rFonts w:ascii="Arial" w:cs="Arial" w:eastAsia="Arial" w:hAnsi="Arial"/>
                <w:color w:val="1A1A1A"/>
                <w:sz w:val="19"/>
                <w:szCs w:val="19"/>
              </w:rPr>
              <w:t xml:space="preserve">Optimisation masse/structure • Conception sous contraintes réglementaires multi-normes • Matériaux composites et alliages légers • Interfaces mécaniques de fixation • Essais de qualification (dynamiques, fatigue) • Ergonomie et confort passager • Fabricabilité et DFMA • Boucle de révision documentaire EN 9100</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1F4E79"/>
          <w:sz w:val="26"/>
          <w:szCs w:val="26"/>
        </w:rPr>
        <w:t xml:space="preserve">Pourquoi « siège ferroviaire innovant » est plus fort que « modification de siège existant »</w:t>
      </w:r>
    </w:p>
    <w:p>
      <w:pPr>
        <w:spacing w:before="80" w:after="80"/>
      </w:pPr>
      <w:r>
        <w:rPr>
          <w:rFonts w:ascii="Arial" w:cs="Arial" w:eastAsia="Arial" w:hAnsi="Arial"/>
          <w:sz w:val="21"/>
          <w:szCs w:val="21"/>
        </w:rPr>
        <w:t xml:space="preserve">Le mot « innovant » change tout. Il ne s’agissait pas d’adapter un produit existant — il s’agissait de concevoir un nouveau produit de zéro, avec une contrainte de performance (l’innovation), dans un environnement de production certifié EN 9100. C’est de la conception niveau G13 minimum, pas de la modification niveau F11.</w:t>
      </w:r>
    </w:p>
    <w:p>
      <w:pPr>
        <w:pStyle w:val="ListParagraph"/>
        <w:numPr>
          <w:ilvl w:val="0"/>
          <w:numId w:val="2"/>
        </w:numPr>
        <w:spacing w:before="60" w:after="60"/>
      </w:pPr>
      <w:r>
        <w:rPr>
          <w:rFonts w:ascii="Arial" w:cs="Arial" w:eastAsia="Arial" w:hAnsi="Arial"/>
          <w:sz w:val="21"/>
          <w:szCs w:val="21"/>
        </w:rPr>
        <w:t xml:space="preserve">Conception de zéro : cahier des charges fonctionnel, recherche de concepts, évaluation multicritères, choix de solutions</w:t>
      </w:r>
    </w:p>
    <w:p>
      <w:pPr>
        <w:pStyle w:val="ListParagraph"/>
        <w:numPr>
          <w:ilvl w:val="0"/>
          <w:numId w:val="2"/>
        </w:numPr>
        <w:spacing w:before="60" w:after="60"/>
      </w:pPr>
      <w:r>
        <w:rPr>
          <w:rFonts w:ascii="Arial" w:cs="Arial" w:eastAsia="Arial" w:hAnsi="Arial"/>
          <w:sz w:val="21"/>
          <w:szCs w:val="21"/>
        </w:rPr>
        <w:t xml:space="preserve">Innovation : contrainte de performance au-delà de l’état de l’art — nécessite de sortir des standards connus</w:t>
      </w:r>
    </w:p>
    <w:p>
      <w:pPr>
        <w:pStyle w:val="ListParagraph"/>
        <w:numPr>
          <w:ilvl w:val="0"/>
          <w:numId w:val="2"/>
        </w:numPr>
        <w:spacing w:before="60" w:after="60"/>
      </w:pPr>
      <w:r>
        <w:rPr>
          <w:rFonts w:ascii="Arial" w:cs="Arial" w:eastAsia="Arial" w:hAnsi="Arial"/>
          <w:sz w:val="21"/>
          <w:szCs w:val="21"/>
        </w:rPr>
        <w:t xml:space="preserve">Contexte double : bénéficier de la culture qualité aéro tout en intégrant les contraintes normatives ferroviaires</w:t>
      </w:r>
    </w:p>
    <w:p>
      <w:pPr>
        <w:pStyle w:val="ListParagraph"/>
        <w:numPr>
          <w:ilvl w:val="0"/>
          <w:numId w:val="2"/>
        </w:numPr>
        <w:spacing w:before="60" w:after="60"/>
      </w:pPr>
      <w:r>
        <w:rPr>
          <w:rFonts w:ascii="Arial" w:cs="Arial" w:eastAsia="Arial" w:hAnsi="Arial"/>
          <w:sz w:val="21"/>
          <w:szCs w:val="21"/>
        </w:rPr>
        <w:t xml:space="preserve">Livrable réel : une pièce ou sous-ensemble conçu, calculé, validé — pas un rapport d’étude</w:t>
      </w:r>
    </w:p>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0D2B5E" w:sz="4"/>
              <w:left w:val="none" w:color="FFFFFF" w:sz="0"/>
              <w:bottom w:val="single" w:color="0D2B5E" w:sz="4"/>
              <w:right w:val="single" w:color="0D2B5E" w:sz="4"/>
            </w:tcBorders>
            <w:shd w:fill="E8EEF7"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Pour retourner l’objection « vous n’avez pas travaillé sur nos sièges aéro » :</w:t>
            </w:r>
          </w:p>
          <w:p>
            <w:pPr>
              <w:spacing w:before="0" w:after="0"/>
            </w:pPr>
            <w:r>
              <w:rPr>
                <w:rFonts w:ascii="Arial" w:cs="Arial" w:eastAsia="Arial" w:hAnsi="Arial"/>
                <w:b/>
                <w:bCs/>
                <w:color w:val="0D2B5E"/>
                <w:sz w:val="22"/>
                <w:szCs w:val="22"/>
              </w:rPr>
              <w:t xml:space="preserve">“</w:t>
            </w:r>
            <w:r>
              <w:rPr>
                <w:rFonts w:ascii="Arial" w:cs="Arial" w:eastAsia="Arial" w:hAnsi="Arial"/>
                <w:i/>
                <w:iCs/>
                <w:color w:val="1F3864"/>
                <w:sz w:val="20"/>
                <w:szCs w:val="20"/>
              </w:rPr>
              <w:t xml:space="preserve">C’est exact — et c’est précisément ce qui rend mon profil différent. J’ai conçu un siège innovant dans votre environnement EN 9100, en appliquant vos processus qualité, avec vos outils. Simultanément, j’ai acquis une maîtrise des contraintes normatives ferroviaires — EN 12663, EN 45545 — que peu d’ingénieurs du siège aéronautique possèdent. Sur un marché où vous développez des produits pour les deux modes de transport, c’est une double compétence rare.</w:t>
            </w:r>
            <w:r>
              <w:rPr>
                <w:rFonts w:ascii="Arial" w:cs="Arial" w:eastAsia="Arial" w:hAnsi="Arial"/>
                <w:b/>
                <w:bCs/>
                <w:color w:val="0D2B5E"/>
                <w:sz w:val="22"/>
                <w:szCs w:val="22"/>
              </w:rPr>
              <w:t xml:space="preserve">”</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2E75B6"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2 — LES LEVIERS DE NÉGOCIATION RECALIBRÉS — Tous les atouts disponibles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2.  Les 7 leviers de négociation dans cette situation spécifique</w:t>
      </w:r>
    </w:p>
    <w:p>
      <w:pPr>
        <w:pStyle w:val="Heading2"/>
      </w:pPr>
      <w:r>
        <w:rPr>
          <w:rFonts w:ascii="Arial" w:cs="Arial" w:eastAsia="Arial" w:hAnsi="Arial"/>
          <w:b/>
          <w:bCs/>
          <w:color w:val="2E75B6"/>
          <w:sz w:val="26"/>
          <w:szCs w:val="26"/>
        </w:rPr>
        <w:t xml:space="preserve">Levier 1 — Le recadrage factuel : Glassdoor + contexte normatif double</w:t>
      </w:r>
    </w:p>
    <w:p>
      <w:pPr>
        <w:spacing w:before="80" w:after="80"/>
      </w:pPr>
      <w:r>
        <w:rPr>
          <w:rFonts w:ascii="Arial" w:cs="Arial" w:eastAsia="Arial" w:hAnsi="Arial"/>
          <w:sz w:val="21"/>
          <w:szCs w:val="21"/>
        </w:rPr>
        <w:t xml:space="preserve">Ce levier est le plus urgent s’il n’y a pas encore d’offre écrite. Le recadrage n’est plus seulement salarial — il est aussi contextuel : vous recadrez simultanément votre chiffre ET votre valeur spécifique.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0D2B5E" w:sz="4"/>
              <w:left w:val="none" w:color="FFFFFF" w:sz="0"/>
              <w:bottom w:val="single" w:color="0D2B5E" w:sz="4"/>
              <w:right w:val="single" w:color="0D2B5E" w:sz="4"/>
            </w:tcBorders>
            <w:shd w:fill="E8EEF7"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Recadrage combiné chiffre + valeur (avant offre écrite) :</w:t>
            </w:r>
          </w:p>
          <w:p>
            <w:pPr>
              <w:spacing w:before="0" w:after="0"/>
            </w:pPr>
            <w:r>
              <w:rPr>
                <w:rFonts w:ascii="Arial" w:cs="Arial" w:eastAsia="Arial" w:hAnsi="Arial"/>
                <w:b/>
                <w:bCs/>
                <w:color w:val="0D2B5E"/>
                <w:sz w:val="22"/>
                <w:szCs w:val="22"/>
              </w:rPr>
              <w:t xml:space="preserve">“</w:t>
            </w:r>
            <w:r>
              <w:rPr>
                <w:rFonts w:ascii="Arial" w:cs="Arial" w:eastAsia="Arial" w:hAnsi="Arial"/>
                <w:i/>
                <w:iCs/>
                <w:color w:val="1F3864"/>
                <w:sz w:val="20"/>
                <w:szCs w:val="20"/>
              </w:rPr>
              <w:t xml:space="preserve">En préparant cet entretien, j’ai approfondi deux choses. D’abord les benchmarks marché : Glassdoor Paris place ce profil à 45 500 € en moyenne — ma fourchette initiale était sous le marché. Ensuite la valeur spécifique de ma mission : concevoir un siège ferroviaire innovant dans un environnement EN 9100 implique une double culture normative — ferroviaire et aéronautique — que très peu de profils sur Paris possèdent. Ma cible réelle est entre 44 000 et 47 000 euros.</w:t>
            </w:r>
            <w:r>
              <w:rPr>
                <w:rFonts w:ascii="Arial" w:cs="Arial" w:eastAsia="Arial" w:hAnsi="Arial"/>
                <w:b/>
                <w:bCs/>
                <w:color w:val="0D2B5E"/>
                <w:sz w:val="22"/>
                <w:szCs w:val="22"/>
              </w:rPr>
              <w:t xml:space="preserv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2E75B6"/>
          <w:sz w:val="26"/>
          <w:szCs w:val="26"/>
        </w:rPr>
        <w:t xml:space="preserve">Levier 2 — La double culture normative comme rareté sectorielle</w:t>
      </w:r>
    </w:p>
    <w:p>
      <w:pPr>
        <w:spacing w:before="80" w:after="80"/>
      </w:pPr>
      <w:r>
        <w:rPr>
          <w:rFonts w:ascii="Arial" w:cs="Arial" w:eastAsia="Arial" w:hAnsi="Arial"/>
          <w:sz w:val="21"/>
          <w:szCs w:val="21"/>
        </w:rPr>
        <w:t xml:space="preserve">Les fournisseurs de sièges qui travaillent pour l’aéronautique ET pour le ferroviaire ont un besoin structurel de profils qui comprennent les deux écosystèmes normatifs. Ce profil est rare — pas parce que les compétences techniques sont introuvables, mais parce que l’exposition simultanée aux deux secteurs est très peu fréquente dans une carrière de 4 ans.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1A5276" w:sz="4"/>
              <w:left w:val="none" w:color="FFFFFF" w:sz="0"/>
              <w:bottom w:val="single" w:color="1A5276" w:sz="4"/>
              <w:right w:val="single" w:color="1A5276" w:sz="4"/>
            </w:tcBorders>
            <w:shd w:fill="D6EAF8"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Pour valoriser la double exposition normative :</w:t>
            </w:r>
          </w:p>
          <w:p>
            <w:pPr>
              <w:spacing w:before="0" w:after="0"/>
            </w:pPr>
            <w:r>
              <w:rPr>
                <w:rFonts w:ascii="Arial" w:cs="Arial" w:eastAsia="Arial" w:hAnsi="Arial"/>
                <w:b/>
                <w:bCs/>
                <w:color w:val="1A5276"/>
                <w:sz w:val="22"/>
                <w:szCs w:val="22"/>
              </w:rPr>
              <w:t xml:space="preserve">“</w:t>
            </w:r>
            <w:r>
              <w:rPr>
                <w:rFonts w:ascii="Arial" w:cs="Arial" w:eastAsia="Arial" w:hAnsi="Arial"/>
                <w:i/>
                <w:iCs/>
                <w:color w:val="1F3864"/>
                <w:sz w:val="20"/>
                <w:szCs w:val="20"/>
              </w:rPr>
              <w:t xml:space="preserve">Ma mission m’a donné une exposition simultanée à deux écosystèmes normatifs : le ferroviaire (EN 12663, EN 45545) et l’aéronautique (processus EN 9100, culture qualité et documentation de votre organisation). Sur un marché parisien où les fournisseurs de sièges livrent souvent pour les deux modes, ce profil est structurellement rare. Aucun ingénieur venant uniquement du ferroviaire ou uniquement de l’aéro ne peut revendiquer les deux.</w:t>
            </w:r>
            <w:r>
              <w:rPr>
                <w:rFonts w:ascii="Arial" w:cs="Arial" w:eastAsia="Arial" w:hAnsi="Arial"/>
                <w:b/>
                <w:bCs/>
                <w:color w:val="1A5276"/>
                <w:sz w:val="22"/>
                <w:szCs w:val="22"/>
              </w:rPr>
              <w:t xml:space="preserv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2E75B6"/>
          <w:sz w:val="26"/>
          <w:szCs w:val="26"/>
        </w:rPr>
        <w:t xml:space="preserve">Levier 3 — La valeur du siège innovant : conception de haut niveau prouvée</w:t>
      </w:r>
    </w:p>
    <w:p>
      <w:pPr>
        <w:spacing w:before="80" w:after="80"/>
      </w:pPr>
      <w:r>
        <w:rPr>
          <w:rFonts w:ascii="Arial" w:cs="Arial" w:eastAsia="Arial" w:hAnsi="Arial"/>
          <w:sz w:val="21"/>
          <w:szCs w:val="21"/>
        </w:rPr>
        <w:t xml:space="preserve">Le mot « innovant » dans la description de la mission est un signal de niveau. Concevoir de zéro un produit innovant dans un environnement industriel certifié, c’est exactement le niveau G13 de la CCN. Cela doit être argumenté avec des faits concrets, pas des généralités.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6"/>
              <w:left w:val="single" w:color="7F6000" w:sz="6"/>
              <w:bottom w:val="single" w:color="7F6000" w:sz="6"/>
              <w:right w:val="single" w:color="7F6000" w:sz="6"/>
            </w:tcBorders>
            <w:shd w:fill="FFF2CC" w:val="clear"/>
            <w:tcMar>
              <w:top w:type="dxa" w:w="90"/>
              <w:left w:type="dxa" w:w="150"/>
              <w:bottom w:type="dxa" w:w="90"/>
              <w:right w:type="dxa" w:w="150"/>
            </w:tcMar>
          </w:tcPr>
          <w:p>
            <w:pPr>
              <w:spacing w:before="0" w:after="50"/>
            </w:pPr>
            <w:r>
              <w:rPr>
                <w:rFonts w:ascii="Arial" w:cs="Arial" w:eastAsia="Arial" w:hAnsi="Arial"/>
                <w:b/>
                <w:bCs/>
                <w:color w:val="7F6000"/>
                <w:sz w:val="20"/>
                <w:szCs w:val="20"/>
              </w:rPr>
              <w:t xml:space="preserve">📌  Avant l’entretien — Préparer votre bilan de mission</w:t>
            </w:r>
          </w:p>
          <w:p>
            <w:pPr>
              <w:spacing w:before="0" w:after="0"/>
            </w:pPr>
            <w:r>
              <w:rPr>
                <w:rFonts w:ascii="Arial" w:cs="Arial" w:eastAsia="Arial" w:hAnsi="Arial"/>
                <w:color w:val="1A1A1A"/>
                <w:sz w:val="20"/>
                <w:szCs w:val="20"/>
              </w:rPr>
              <w:t xml:space="preserve">Listez précisément : quels aspects étaient innovants (nouveau système de fixation ? matériau composite non standard ? architecture cinématique ? ergonomie avancée ?) / quel problème technique a été résolu / quelle méthode de validation a été appliquée / quel livrables (plans CAO, note de calcul, résultat d’essai) ont été produits. Une page maximum, trois colonnes : Livrable / Défi technique / Impact.</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C55A11" w:sz="4"/>
              <w:left w:val="none" w:color="FFFFFF" w:sz="0"/>
              <w:bottom w:val="single" w:color="C55A11" w:sz="4"/>
              <w:right w:val="single" w:color="C55A11" w:sz="4"/>
            </w:tcBorders>
            <w:shd w:fill="FCE4D6"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Pour valoriser la nature innovante de la mission :</w:t>
            </w:r>
          </w:p>
          <w:p>
            <w:pPr>
              <w:spacing w:before="0" w:after="0"/>
            </w:pPr>
            <w:r>
              <w:rPr>
                <w:rFonts w:ascii="Arial" w:cs="Arial" w:eastAsia="Arial" w:hAnsi="Arial"/>
                <w:b/>
                <w:bCs/>
                <w:color w:val="C55A11"/>
                <w:sz w:val="22"/>
                <w:szCs w:val="22"/>
              </w:rPr>
              <w:t xml:space="preserve">“</w:t>
            </w:r>
            <w:r>
              <w:rPr>
                <w:rFonts w:ascii="Arial" w:cs="Arial" w:eastAsia="Arial" w:hAnsi="Arial"/>
                <w:i/>
                <w:iCs/>
                <w:color w:val="1F3864"/>
                <w:sz w:val="20"/>
                <w:szCs w:val="20"/>
              </w:rPr>
              <w:t xml:space="preserve">Ma mission ne portait pas sur la modification d’un siège existant — elle portait sur la conception de zéro d’un siège innovant avec des contraintes de performance que les solutions standards ne satisfaisaient pas. J’ai mené la boucle complète : analyse fonctionnelle, définition des concepts, calculs de dimensionnement, arbitrages matériaux sous contraintes EN 45545 et EN 12663, et premier livrable validé par l’équipe. C’est le niveau G13, pas F11.</w:t>
            </w:r>
            <w:r>
              <w:rPr>
                <w:rFonts w:ascii="Arial" w:cs="Arial" w:eastAsia="Arial" w:hAnsi="Arial"/>
                <w:b/>
                <w:bCs/>
                <w:color w:val="C55A11"/>
                <w:sz w:val="22"/>
                <w:szCs w:val="22"/>
              </w:rPr>
              <w:t xml:space="preserv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2E75B6"/>
          <w:sz w:val="26"/>
          <w:szCs w:val="26"/>
        </w:rPr>
        <w:t xml:space="preserve">Levier 4 — La connaissance du terrain interne : l’actif invisible</w:t>
      </w:r>
    </w:p>
    <w:p>
      <w:pPr>
        <w:spacing w:before="80" w:after="80"/>
      </w:pPr>
      <w:r>
        <w:rPr>
          <w:rFonts w:ascii="Arial" w:cs="Arial" w:eastAsia="Arial" w:hAnsi="Arial"/>
          <w:sz w:val="21"/>
          <w:szCs w:val="21"/>
        </w:rPr>
        <w:t xml:space="preserve">Même si la mission portait sur le ferroviaire, trois mois chez ce fournisseur ont produit une connaissance interne que zéro candidat externe ne possède : les outils PLM utilisés, les processus d’approbation des plans, les personnes clés, les conventions de nomenclature, la culture qualité spécifique à cet acteur.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2E75B6" w:sz="4"/>
              <w:left w:val="none" w:color="FFFFFF" w:sz="0"/>
              <w:bottom w:val="single" w:color="2E75B6" w:sz="4"/>
              <w:right w:val="single" w:color="2E75B6" w:sz="4"/>
            </w:tcBorders>
            <w:shd w:fill="DEEAF1"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Pour quantifier le coût d’intégration nul :</w:t>
            </w:r>
          </w:p>
          <w:p>
            <w:pPr>
              <w:spacing w:before="0" w:after="0"/>
            </w:pPr>
            <w:r>
              <w:rPr>
                <w:rFonts w:ascii="Arial" w:cs="Arial" w:eastAsia="Arial" w:hAnsi="Arial"/>
                <w:b/>
                <w:bCs/>
                <w:color w:val="2E75B6"/>
                <w:sz w:val="22"/>
                <w:szCs w:val="22"/>
              </w:rPr>
              <w:t xml:space="preserve">“</w:t>
            </w:r>
            <w:r>
              <w:rPr>
                <w:rFonts w:ascii="Arial" w:cs="Arial" w:eastAsia="Arial" w:hAnsi="Arial"/>
                <w:i/>
                <w:iCs/>
                <w:color w:val="1F3864"/>
                <w:sz w:val="20"/>
                <w:szCs w:val="20"/>
              </w:rPr>
              <w:t xml:space="preserve">Un ingénieur externe recruté sur ce poste passera 6 à 9 mois à comprendre vos outils, vos processus EN 9100, votre organisation et vos produits. Cette rampe d’intégration représente environ 12 à 18 000 euros de valeur non produite. Je l’ai déjà faite — pendant la prestation, à vos frais. Ce coût est nul pour vous dès le premier jour.</w:t>
            </w:r>
            <w:r>
              <w:rPr>
                <w:rFonts w:ascii="Arial" w:cs="Arial" w:eastAsia="Arial" w:hAnsi="Arial"/>
                <w:b/>
                <w:bCs/>
                <w:color w:val="2E75B6"/>
                <w:sz w:val="22"/>
                <w:szCs w:val="22"/>
              </w:rPr>
              <w:t xml:space="preserv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2E75B6"/>
          <w:sz w:val="26"/>
          <w:szCs w:val="26"/>
        </w:rPr>
        <w:t xml:space="preserve">Levier 5 — La contre-offre groupée : package total à 45–47 K€</w:t>
      </w:r>
    </w:p>
    <w:p>
      <w:pPr>
        <w:spacing w:before="80" w:after="80"/>
      </w:pPr>
      <w:r>
        <w:rPr>
          <w:rFonts w:ascii="Arial" w:cs="Arial" w:eastAsia="Arial" w:hAnsi="Arial"/>
          <w:sz w:val="21"/>
          <w:szCs w:val="21"/>
        </w:rPr>
        <w:t xml:space="preserve">L’ancrage bas étant posé, le fixe seul est difficile à déplacer. La stratégie : construire un package total qui atteint la valeur marché par superposition de composantes.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000"/>
      </w:tblGrid>
      <w:tr>
        <w:trPr>
          <w:tblHeader/>
        </w:trPr>
        <w:tc>
          <w:tcPr>
            <w:tcW w:type="dxa" w:w="22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Composante</w:t>
            </w:r>
          </w:p>
        </w:tc>
        <w:tc>
          <w:tcPr>
            <w:tcW w:type="dxa" w:w="30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Détail</w:t>
            </w:r>
          </w:p>
        </w:tc>
        <w:tc>
          <w:tcPr>
            <w:tcW w:type="dxa" w:w="20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Montant annuel</w:t>
            </w:r>
          </w:p>
        </w:tc>
        <w:tc>
          <w:tcPr>
            <w:tcW w:type="dxa" w:w="20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Argument</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F3864"/>
                <w:sz w:val="20"/>
                <w:szCs w:val="20"/>
              </w:rPr>
              <w:t xml:space="preserve">Fixe de base</w:t>
            </w:r>
          </w:p>
        </w:tc>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Négocié à 40 500 € minimum (plancher)</w:t>
            </w:r>
          </w:p>
        </w:tc>
        <w:tc>
          <w:tcPr>
            <w:tcW w:type="dxa" w:w="20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40 500 €</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Ancre le contrat</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F3864"/>
                <w:sz w:val="20"/>
                <w:szCs w:val="20"/>
              </w:rPr>
              <w:t xml:space="preserve">Variable 8 %</w:t>
            </w:r>
          </w:p>
        </w:tc>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Sur 3 jalons techniques définis à la signature</w:t>
            </w:r>
          </w:p>
        </w:tc>
        <w:tc>
          <w:tcPr>
            <w:tcW w:type="dxa" w:w="20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3 240 €</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Conditionnel — acceptable pour la RH</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F3864"/>
                <w:sz w:val="20"/>
                <w:szCs w:val="20"/>
              </w:rPr>
              <w:t xml:space="preserve">Budget formation</w:t>
            </w:r>
          </w:p>
        </w:tc>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EN 9100 Awareness + Auditeur Interne — PAS Lead Implementer</w:t>
            </w:r>
          </w:p>
        </w:tc>
        <w:tc>
          <w:tcPr>
            <w:tcW w:type="dxa" w:w="20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2 500 €</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ROI direct sur audits clients</w:t>
            </w:r>
          </w:p>
        </w:tc>
      </w:tr>
      <w:tr>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F3864"/>
                <w:sz w:val="20"/>
                <w:szCs w:val="20"/>
              </w:rPr>
              <w:t xml:space="preserve">Prime fidélité</w:t>
            </w:r>
          </w:p>
        </w:tc>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18 mois en poste — 1 mois de salaire</w:t>
            </w:r>
          </w:p>
        </w:tc>
        <w:tc>
          <w:tcPr>
            <w:tcW w:type="dxa" w:w="20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3 400 €</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Différé — coût faible à court terme</w:t>
            </w:r>
          </w:p>
        </w:tc>
      </w:tr>
      <w:tr>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F3864"/>
                <w:sz w:val="20"/>
                <w:szCs w:val="20"/>
              </w:rPr>
              <w:t xml:space="preserve">Revoyure 6 mois</w:t>
            </w:r>
          </w:p>
        </w:tc>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+8 % garantis si jalons atteints — inscrit au contrat</w:t>
            </w:r>
          </w:p>
        </w:tc>
        <w:tc>
          <w:tcPr>
            <w:tcW w:type="dxa" w:w="20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43 740 € (an 2)</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Mécanisme de rattrapage obligàtoire</w:t>
            </w:r>
          </w:p>
        </w:tc>
      </w:tr>
    </w:tbl>
    <w:p>
      <w:pPr>
        <w:spacing w:before="60" w:after="0"/>
      </w:pPr>
      <w:r>
        <w:rPr>
          <w:rFonts w:ascii="Arial" w:cs="Arial" w:eastAsia="Arial" w:hAnsi="Arial"/>
          <w:b/>
          <w:bCs/>
          <w:i/>
          <w:iCs/>
          <w:color w:val="375623"/>
          <w:sz w:val="18"/>
          <w:szCs w:val="18"/>
        </w:rPr>
        <w:t xml:space="preserve">Total package an 1 : ≈ 49 640 € valeur totale  —  An 2 après revoyure : ≈ 52–54 K€</w:t>
      </w:r>
    </w:p>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r>
              <w:rPr>
                <w:rFonts w:ascii="Arial" w:cs="Arial" w:eastAsia="Arial" w:hAnsi="Arial"/>
                <w:sz w:val="21"/>
                <w:szCs w:val="21"/>
              </w:rPr>
              <w:t xml:space="preserve"/>
            </w:r>
          </w:p>
        </w:tc>
        <w:tc>
          <w:tcPr>
            <w:tcW w:type="dxa" w:w="9000"/>
            <w:tcBorders>
              <w:top w:val="single" w:color="C55A11" w:sz="4"/>
              <w:left w:val="none" w:color="FFFFFF" w:sz="0"/>
              <w:bottom w:val="single" w:color="C55A11" w:sz="4"/>
              <w:right w:val="single" w:color="C55A11" w:sz="4"/>
            </w:tcBorders>
            <w:shd w:fill="FCE4D6"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La contre-offre groupée — formulation complète :</w:t>
            </w:r>
          </w:p>
          <w:p>
            <w:pPr>
              <w:spacing w:before="0" w:after="0"/>
            </w:pPr>
            <w:r>
              <w:rPr>
                <w:rFonts w:ascii="Arial" w:cs="Arial" w:eastAsia="Arial" w:hAnsi="Arial"/>
                <w:b/>
                <w:bCs/>
                <w:color w:val="C55A11"/>
                <w:sz w:val="22"/>
                <w:szCs w:val="22"/>
              </w:rPr>
              <w:t xml:space="preserve">“</w:t>
            </w:r>
            <w:r>
              <w:rPr>
                <w:rFonts w:ascii="Arial" w:cs="Arial" w:eastAsia="Arial" w:hAnsi="Arial"/>
                <w:i/>
                <w:iCs/>
                <w:color w:val="1F3864"/>
                <w:sz w:val="20"/>
                <w:szCs w:val="20"/>
              </w:rPr>
              <w:t xml:space="preserve">Le fixe à 40 500 euros est en dessous de ce que le marché indique pour ce profil à Paris. Je suis prêt à avancer si on intègre quatre éléments au contrat : un variable de 8 % sur trois jalons techniques définis ensemble, un budget formations de 2 500 euros par an orienté EN 9100 Awareness et Auditeur Interne, une prime de fidélité à 18 mois, et une clause de revoyure à six mois écrite avec les critères et le pourcentage garanti. Ce package représente la valeur totale du marché.</w:t>
            </w:r>
            <w:r>
              <w:rPr>
                <w:rFonts w:ascii="Arial" w:cs="Arial" w:eastAsia="Arial" w:hAnsi="Arial"/>
                <w:b/>
                <w:bCs/>
                <w:color w:val="C55A11"/>
                <w:sz w:val="22"/>
                <w:szCs w:val="22"/>
              </w:rPr>
              <w:t xml:space="preserv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2E75B6"/>
          <w:sz w:val="26"/>
          <w:szCs w:val="26"/>
        </w:rPr>
        <w:t xml:space="preserve">Levier 6 — La clause de revoyure à 6 mois : la pièce centrale</w:t>
      </w:r>
    </w:p>
    <w:p>
      <w:pPr>
        <w:spacing w:before="80" w:after="80"/>
      </w:pPr>
      <w:r>
        <w:rPr>
          <w:rFonts w:ascii="Arial" w:cs="Arial" w:eastAsia="Arial" w:hAnsi="Arial"/>
          <w:sz w:val="21"/>
          <w:szCs w:val="21"/>
        </w:rPr>
        <w:t xml:space="preserve">Dans cette situation spécifique, la revoyure a un argument supplémentaire : vous avez travaillé sur un produit « adjacent » (ferroviaire) et non directement sur les sièges aéronautiques. La revoyure à 6 mois est le moyen de dire : « donnez-moi 6 mois pour prouver sur vos sièges aéro ce que j’ai prouvé sur le ferroviaire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Ce que la clause doit contenir (obligatoire)</w:t>
            </w:r>
          </w:p>
        </w:tc>
        <w:tc>
          <w:tcPr>
            <w:tcW w:type="dxa" w:w="46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Ce qui la rend impossible à refuser</w:t>
            </w:r>
          </w:p>
        </w:tc>
      </w:tr>
      <w:tr>
        <w:tc>
          <w:tcPr>
            <w:tcW w:type="dxa" w:w="46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pStyle w:val="ListParagraph"/>
              <w:numPr>
                <w:ilvl w:val="0"/>
                <w:numId w:val="2"/>
              </w:numPr>
              <w:spacing w:before="60" w:after="60"/>
            </w:pPr>
            <w:r>
              <w:rPr>
                <w:rFonts w:ascii="Arial" w:cs="Arial" w:eastAsia="Arial" w:hAnsi="Arial"/>
                <w:sz w:val="21"/>
                <w:szCs w:val="21"/>
              </w:rPr>
              <w:t xml:space="preserve">Date exacte : 1er jour du 7e mois après prise de poste</w:t>
            </w:r>
          </w:p>
          <w:p>
            <w:pPr>
              <w:pStyle w:val="ListParagraph"/>
              <w:numPr>
                <w:ilvl w:val="0"/>
                <w:numId w:val="2"/>
              </w:numPr>
              <w:spacing w:before="60" w:after="60"/>
            </w:pPr>
            <w:r>
              <w:rPr>
                <w:rFonts w:ascii="Arial" w:cs="Arial" w:eastAsia="Arial" w:hAnsi="Arial"/>
                <w:sz w:val="21"/>
                <w:szCs w:val="21"/>
              </w:rPr>
              <w:t xml:space="preserve">3 jalons techniques binaires (oui/non) — ex : livraison validée d’un sous-ensemble aéro, première revue de conception menée, référentiel qualité maîtrisé</w:t>
            </w:r>
          </w:p>
          <w:p>
            <w:pPr>
              <w:pStyle w:val="ListParagraph"/>
              <w:numPr>
                <w:ilvl w:val="0"/>
                <w:numId w:val="2"/>
              </w:numPr>
              <w:spacing w:before="60" w:after="60"/>
            </w:pPr>
            <w:r>
              <w:rPr>
                <w:rFonts w:ascii="Arial" w:cs="Arial" w:eastAsia="Arial" w:hAnsi="Arial"/>
                <w:sz w:val="21"/>
                <w:szCs w:val="21"/>
              </w:rPr>
              <w:t xml:space="preserve">Pourcentage garanti écrit : +8 % si les 3 jalons sont atteints</w:t>
            </w:r>
          </w:p>
          <w:p>
            <w:pPr>
              <w:pStyle w:val="ListParagraph"/>
              <w:numPr>
                <w:ilvl w:val="0"/>
                <w:numId w:val="2"/>
              </w:numPr>
              <w:spacing w:before="60" w:after="60"/>
            </w:pPr>
            <w:r>
              <w:rPr>
                <w:rFonts w:ascii="Arial" w:cs="Arial" w:eastAsia="Arial" w:hAnsi="Arial"/>
                <w:sz w:val="21"/>
                <w:szCs w:val="21"/>
              </w:rPr>
              <w:t xml:space="preserve">Conséquence si jalons non atteints : maintien du fixe — pas de baisse</w:t>
            </w:r>
          </w:p>
        </w:tc>
        <w:tc>
          <w:tcPr>
            <w:tcW w:type="dxa" w:w="4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pStyle w:val="ListParagraph"/>
              <w:numPr>
                <w:ilvl w:val="0"/>
                <w:numId w:val="2"/>
              </w:numPr>
              <w:spacing w:before="60" w:after="60"/>
            </w:pPr>
            <w:r>
              <w:rPr>
                <w:rFonts w:ascii="Arial" w:cs="Arial" w:eastAsia="Arial" w:hAnsi="Arial"/>
                <w:sz w:val="21"/>
                <w:szCs w:val="21"/>
              </w:rPr>
              <w:t xml:space="preserve">Coût nul à court terme pour l’entreprise : elle ne paie que si vous performez</w:t>
            </w:r>
          </w:p>
          <w:p>
            <w:pPr>
              <w:pStyle w:val="ListParagraph"/>
              <w:numPr>
                <w:ilvl w:val="0"/>
                <w:numId w:val="2"/>
              </w:numPr>
              <w:spacing w:before="60" w:after="60"/>
            </w:pPr>
            <w:r>
              <w:rPr>
                <w:rFonts w:ascii="Arial" w:cs="Arial" w:eastAsia="Arial" w:hAnsi="Arial"/>
                <w:sz w:val="21"/>
                <w:szCs w:val="21"/>
              </w:rPr>
              <w:t xml:space="preserve">Aligne vos intérêts : vous avez toutes les raisons d’atteindre les jalons</w:t>
            </w:r>
          </w:p>
          <w:p>
            <w:pPr>
              <w:pStyle w:val="ListParagraph"/>
              <w:numPr>
                <w:ilvl w:val="0"/>
                <w:numId w:val="2"/>
              </w:numPr>
              <w:spacing w:before="60" w:after="60"/>
            </w:pPr>
            <w:r>
              <w:rPr>
                <w:rFonts w:ascii="Arial" w:cs="Arial" w:eastAsia="Arial" w:hAnsi="Arial"/>
                <w:sz w:val="21"/>
                <w:szCs w:val="21"/>
              </w:rPr>
              <w:t xml:space="preserve">Si elle refuse d’écrire la revoyure : signal fort que les promesses verbales ne seront pas tenues</w:t>
            </w:r>
          </w:p>
          <w:p>
            <w:pPr>
              <w:pStyle w:val="ListParagraph"/>
              <w:numPr>
                <w:ilvl w:val="0"/>
                <w:numId w:val="2"/>
              </w:numPr>
              <w:spacing w:before="60" w:after="60"/>
            </w:pPr>
            <w:r>
              <w:rPr>
                <w:rFonts w:ascii="Arial" w:cs="Arial" w:eastAsia="Arial" w:hAnsi="Arial"/>
                <w:sz w:val="21"/>
                <w:szCs w:val="21"/>
              </w:rPr>
              <w:t xml:space="preserve">Argument final : vous avez prouvé votre capacité sur le ferroviaire — 6 mois pour prouver la même chose sur l’aéro est un pari très faible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2E75B6"/>
          <w:sz w:val="26"/>
          <w:szCs w:val="26"/>
        </w:rPr>
        <w:t xml:space="preserve">Levier 7 — La temporalité : utiliser le temps comme outil</w:t>
      </w:r>
    </w:p>
    <w:p>
      <w:pPr>
        <w:spacing w:before="80" w:after="80"/>
      </w:pPr>
      <w:r>
        <w:rPr>
          <w:rFonts w:ascii="Arial" w:cs="Arial" w:eastAsia="Arial" w:hAnsi="Arial"/>
          <w:sz w:val="21"/>
          <w:szCs w:val="21"/>
        </w:rPr>
        <w:t xml:space="preserve">Il existe une fenêtre spécifique pour chaque levier. Comprendre laquelle est encore ouverte à ce stade de la négociation évite de gaspiller de l’énergie sur des leviers déjà fermés.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400"/>
      </w:tblGrid>
      <w:tr>
        <w:trPr>
          <w:tblHeader/>
        </w:trPr>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Stade</w:t>
            </w:r>
          </w:p>
        </w:tc>
        <w:tc>
          <w:tcPr>
            <w:tcW w:type="dxa" w:w="35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Leviers encore ouverts</w:t>
            </w:r>
          </w:p>
        </w:tc>
        <w:tc>
          <w:tcPr>
            <w:tcW w:type="dxa" w:w="34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Levier fermé</w:t>
            </w:r>
          </w:p>
        </w:tc>
      </w:tr>
      <w:tr>
        <w:tc>
          <w:tcPr>
            <w:tcW w:type="dxa" w:w="23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20"/>
                <w:szCs w:val="20"/>
              </w:rPr>
              <w:t xml:space="preserve">Avant offre écrite</w:t>
            </w:r>
          </w:p>
        </w:tc>
        <w:tc>
          <w:tcPr>
            <w:tcW w:type="dxa" w:w="35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TOUS les leviers — recadrage du fixe encore possible, recadrage du contexte, package complet</w:t>
            </w:r>
          </w:p>
        </w:tc>
        <w:tc>
          <w:tcPr>
            <w:tcW w:type="dxa" w:w="34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iCs/>
                <w:color w:val="833333"/>
                <w:sz w:val="20"/>
                <w:szCs w:val="20"/>
              </w:rPr>
              <w:t xml:space="preserve">— rien de fermé</w:t>
            </w:r>
          </w:p>
        </w:tc>
      </w:tr>
      <w:tr>
        <w:tc>
          <w:tcPr>
            <w:tcW w:type="dxa" w:w="2300"/>
            <w:tcBorders>
              <w:top w:val="single" w:color="BBBBBB" w:sz="6"/>
              <w:left w:val="single" w:color="BBBBBB" w:sz="6"/>
              <w:bottom w:val="single" w:color="BBBBBB" w:sz="6"/>
              <w:right w:val="single" w:color="BBBBBB" w:sz="6"/>
            </w:tcBorders>
            <w:shd w:fill="FFF2CC" w:val="clear"/>
            <w:tcMar>
              <w:top w:type="dxa" w:w="80"/>
              <w:left w:type="dxa" w:w="115"/>
              <w:bottom w:type="dxa" w:w="80"/>
              <w:right w:type="dxa" w:w="115"/>
            </w:tcMar>
            <w:vAlign w:val="top"/>
          </w:tcPr>
          <w:p>
            <w:pPr>
              <w:jc w:val="left"/>
            </w:pPr>
            <w:r>
              <w:rPr>
                <w:rFonts w:ascii="Arial" w:cs="Arial" w:eastAsia="Arial" w:hAnsi="Arial"/>
                <w:b/>
                <w:bCs/>
                <w:i w:val="false"/>
                <w:iCs w:val="false"/>
                <w:color w:val="7F6000"/>
                <w:sz w:val="20"/>
                <w:szCs w:val="20"/>
              </w:rPr>
              <w:t xml:space="preserve">Offre écrite reçue</w:t>
            </w:r>
          </w:p>
        </w:tc>
        <w:tc>
          <w:tcPr>
            <w:tcW w:type="dxa" w:w="3500"/>
            <w:tcBorders>
              <w:top w:val="single" w:color="BBBBBB" w:sz="6"/>
              <w:left w:val="single" w:color="BBBBBB" w:sz="6"/>
              <w:bottom w:val="single" w:color="BBBBBB" w:sz="6"/>
              <w:right w:val="single" w:color="BBBBBB" w:sz="6"/>
            </w:tcBorders>
            <w:shd w:fill="FFF2CC"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Package total (variable, certif, prime fidélité, revoyure 6 mois)</w:t>
            </w:r>
          </w:p>
        </w:tc>
        <w:tc>
          <w:tcPr>
            <w:tcW w:type="dxa" w:w="34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iCs/>
                <w:color w:val="833333"/>
                <w:sz w:val="20"/>
                <w:szCs w:val="20"/>
              </w:rPr>
              <w:t xml:space="preserve">Fixe difficile à déplacer significativement</w:t>
            </w:r>
          </w:p>
        </w:tc>
      </w:tr>
      <w:tr>
        <w:tc>
          <w:tcPr>
            <w:tcW w:type="dxa" w:w="23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20"/>
                <w:szCs w:val="20"/>
              </w:rPr>
              <w:t xml:space="preserve">Après signature</w:t>
            </w:r>
          </w:p>
        </w:tc>
        <w:tc>
          <w:tcPr>
            <w:tcW w:type="dxa" w:w="35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20"/>
                <w:szCs w:val="20"/>
              </w:rPr>
              <w:t xml:space="preserve">Revoyure écrite (si inscrite au contrat) — c’est votre seul recours</w:t>
            </w:r>
          </w:p>
        </w:tc>
        <w:tc>
          <w:tcPr>
            <w:tcW w:type="dxa" w:w="34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iCs/>
                <w:color w:val="833333"/>
                <w:sz w:val="20"/>
                <w:szCs w:val="20"/>
              </w:rPr>
              <w:t xml:space="preserve">Fixe, variable, tout le reste est informel</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6"/>
              <w:left w:val="single" w:color="C55A11" w:sz="6"/>
              <w:bottom w:val="single" w:color="C55A11" w:sz="6"/>
              <w:right w:val="single" w:color="C55A11" w:sz="6"/>
            </w:tcBorders>
            <w:shd w:fill="C55A11"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3 — OBJECTIONS SPÉCIFIQUES ET LEURS RÉPONSES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3.  Les objections prévisibles et leurs réponses précises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Objection</w:t>
            </w:r>
          </w:p>
        </w:tc>
        <w:tc>
          <w:tcPr>
            <w:tcW w:type="dxa" w:w="6200"/>
            <w:tcBorders>
              <w:top w:val="single" w:color="777777" w:sz="6"/>
              <w:left w:val="single" w:color="777777" w:sz="6"/>
              <w:bottom w:val="single" w:color="777777" w:sz="6"/>
              <w:right w:val="single" w:color="777777" w:sz="6"/>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Réponse — verbatim</w:t>
            </w:r>
          </w:p>
        </w:tc>
      </w:tr>
      <w:tr>
        <w:tc>
          <w:tcPr>
            <w:tcW w:type="dxa" w:w="30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left"/>
            </w:pPr>
            <w:r>
              <w:rPr>
                <w:rFonts w:ascii="Arial" w:cs="Arial" w:eastAsia="Arial" w:hAnsi="Arial"/>
                <w:b/>
                <w:bCs/>
                <w:i w:val="false"/>
                <w:iCs w:val="false"/>
                <w:color w:val="C55A11"/>
                <w:sz w:val="20"/>
                <w:szCs w:val="20"/>
              </w:rPr>
              <w:t xml:space="preserve">« Vous avez travaillé sur un siège ferroviaire, pas aéro »</w:t>
            </w:r>
          </w:p>
        </w:tc>
        <w:tc>
          <w:tcPr>
            <w:tcW w:type="dxa" w:w="6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spacing w:before="0" w:after="0"/>
            </w:pPr>
            <w:r>
              <w:rPr>
                <w:rFonts w:ascii="Arial" w:cs="Arial" w:eastAsia="Arial" w:hAnsi="Arial"/>
                <w:b/>
                <w:bCs/>
                <w:color w:val="C55A11"/>
                <w:sz w:val="20"/>
                <w:szCs w:val="20"/>
              </w:rPr>
              <w:t xml:space="preserve">“</w:t>
            </w:r>
            <w:r>
              <w:rPr>
                <w:rFonts w:ascii="Arial" w:cs="Arial" w:eastAsia="Arial" w:hAnsi="Arial"/>
                <w:i/>
                <w:iCs/>
                <w:color w:val="1F3864"/>
                <w:sz w:val="19"/>
                <w:szCs w:val="19"/>
              </w:rPr>
              <w:t xml:space="preserve">C’est exact — et c’est ce qui rend mon profil différent. J’ai conçu ce siège ferroviaire dans votre environnement EN 9100, avec vos processus qualité. J’ai simultément acquis une maîtrise des normes ferroviaires (EN 12663, EN 45545) que très peu d’ingénieurs du siège aéro possèdent. Sur un marché où vous livrez pour les deux secteurs, cette double culture est un atout, pas un manque.</w:t>
            </w:r>
            <w:r>
              <w:rPr>
                <w:rFonts w:ascii="Arial" w:cs="Arial" w:eastAsia="Arial" w:hAnsi="Arial"/>
                <w:b/>
                <w:bCs/>
                <w:color w:val="C55A11"/>
                <w:sz w:val="20"/>
                <w:szCs w:val="20"/>
              </w:rPr>
              <w:t xml:space="preserve">”</w:t>
            </w:r>
          </w:p>
        </w:tc>
      </w:tr>
      <w:tr>
        <w:tc>
          <w:tcPr>
            <w:tcW w:type="dxa" w:w="3000"/>
            <w:tcBorders>
              <w:top w:val="single" w:color="BBBBBB" w:sz="6"/>
              <w:left w:val="single" w:color="BBBBBB" w:sz="6"/>
              <w:bottom w:val="single" w:color="BBBBBB" w:sz="6"/>
              <w:right w:val="single" w:color="BBBBBB" w:sz="6"/>
            </w:tcBorders>
            <w:shd w:fill="FDECEA" w:val="clear"/>
            <w:tcMar>
              <w:top w:type="dxa" w:w="80"/>
              <w:left w:type="dxa" w:w="115"/>
              <w:bottom w:type="dxa" w:w="80"/>
              <w:right w:type="dxa" w:w="115"/>
            </w:tcMar>
            <w:vAlign w:val="top"/>
          </w:tcPr>
          <w:p>
            <w:pPr>
              <w:jc w:val="left"/>
            </w:pPr>
            <w:r>
              <w:rPr>
                <w:rFonts w:ascii="Arial" w:cs="Arial" w:eastAsia="Arial" w:hAnsi="Arial"/>
                <w:b/>
                <w:bCs/>
                <w:i w:val="false"/>
                <w:iCs w:val="false"/>
                <w:color w:val="8B0000"/>
                <w:sz w:val="20"/>
                <w:szCs w:val="20"/>
              </w:rPr>
              <w:t xml:space="preserve">« Vous avez dit 40–42 K€ vous-même »</w:t>
            </w:r>
          </w:p>
        </w:tc>
        <w:tc>
          <w:tcPr>
            <w:tcW w:type="dxa" w:w="6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spacing w:before="0" w:after="0"/>
            </w:pPr>
            <w:r>
              <w:rPr>
                <w:rFonts w:ascii="Arial" w:cs="Arial" w:eastAsia="Arial" w:hAnsi="Arial"/>
                <w:b/>
                <w:bCs/>
                <w:color w:val="8B0000"/>
                <w:sz w:val="20"/>
                <w:szCs w:val="20"/>
              </w:rPr>
              <w:t xml:space="preserve">“</w:t>
            </w:r>
            <w:r>
              <w:rPr>
                <w:rFonts w:ascii="Arial" w:cs="Arial" w:eastAsia="Arial" w:hAnsi="Arial"/>
                <w:i/>
                <w:iCs/>
                <w:color w:val="1F3864"/>
                <w:sz w:val="19"/>
                <w:szCs w:val="19"/>
              </w:rPr>
              <w:t xml:space="preserve">J’ai donné une fourchette de départ avant d’avoir finalisé mon analyse du marché. Depuis, j’ai vérifié les données Glassdoor pour ce profil à Paris : la moyenne est à 45 500 euros. Ma fourchette initiale était sous le marché. Je préfère être transparent maintenant plutôt qu’insatisfait après six mois.</w:t>
            </w:r>
            <w:r>
              <w:rPr>
                <w:rFonts w:ascii="Arial" w:cs="Arial" w:eastAsia="Arial" w:hAnsi="Arial"/>
                <w:b/>
                <w:bCs/>
                <w:color w:val="8B0000"/>
                <w:sz w:val="20"/>
                <w:szCs w:val="20"/>
              </w:rPr>
              <w:t xml:space="preserve">”</w:t>
            </w:r>
          </w:p>
        </w:tc>
      </w:tr>
      <w:tr>
        <w:tc>
          <w:tcPr>
            <w:tcW w:type="dxa" w:w="30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20"/>
                <w:szCs w:val="20"/>
              </w:rPr>
              <w:t xml:space="preserve">« Votre mission était une prestation, pas un vrai poste »</w:t>
            </w:r>
          </w:p>
        </w:tc>
        <w:tc>
          <w:tcPr>
            <w:tcW w:type="dxa" w:w="6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spacing w:before="0" w:after="0"/>
            </w:pPr>
            <w:r>
              <w:rPr>
                <w:rFonts w:ascii="Arial" w:cs="Arial" w:eastAsia="Arial" w:hAnsi="Arial"/>
                <w:b/>
                <w:bCs/>
                <w:color w:val="833333"/>
                <w:sz w:val="20"/>
                <w:szCs w:val="20"/>
              </w:rPr>
              <w:t xml:space="preserve">“</w:t>
            </w:r>
            <w:r>
              <w:rPr>
                <w:rFonts w:ascii="Arial" w:cs="Arial" w:eastAsia="Arial" w:hAnsi="Arial"/>
                <w:i/>
                <w:iCs/>
                <w:color w:val="1F3864"/>
                <w:sz w:val="19"/>
                <w:szCs w:val="19"/>
              </w:rPr>
              <w:t xml:space="preserve">Trois mois de prestation sur un siège innovant en conditions réelles, c’est l’équivalent d’une période d’essai longue durée. Vous avez pu observer mes livrables, ma rigueur, ma façon de travailler avec vos équipes. Je suis le seul candidat pour ce poste que vous connaissez déjà — c’est une garantie que vous n’avez avec personne d’autre.</w:t>
            </w:r>
            <w:r>
              <w:rPr>
                <w:rFonts w:ascii="Arial" w:cs="Arial" w:eastAsia="Arial" w:hAnsi="Arial"/>
                <w:b/>
                <w:bCs/>
                <w:color w:val="833333"/>
                <w:sz w:val="20"/>
                <w:szCs w:val="20"/>
              </w:rPr>
              <w:t xml:space="preserve">”</w:t>
            </w:r>
          </w:p>
        </w:tc>
      </w:tr>
      <w:tr>
        <w:tc>
          <w:tcPr>
            <w:tcW w:type="dxa" w:w="3000"/>
            <w:tcBorders>
              <w:top w:val="single" w:color="BBBBBB" w:sz="6"/>
              <w:left w:val="single" w:color="BBBBBB" w:sz="6"/>
              <w:bottom w:val="single" w:color="BBBBBB" w:sz="6"/>
              <w:right w:val="single" w:color="BBBBBB" w:sz="6"/>
            </w:tcBorders>
            <w:shd w:fill="FFF2CC" w:val="clear"/>
            <w:tcMar>
              <w:top w:type="dxa" w:w="80"/>
              <w:left w:type="dxa" w:w="115"/>
              <w:bottom w:type="dxa" w:w="80"/>
              <w:right w:type="dxa" w:w="115"/>
            </w:tcMar>
            <w:vAlign w:val="top"/>
          </w:tcPr>
          <w:p>
            <w:pPr>
              <w:jc w:val="left"/>
            </w:pPr>
            <w:r>
              <w:rPr>
                <w:rFonts w:ascii="Arial" w:cs="Arial" w:eastAsia="Arial" w:hAnsi="Arial"/>
                <w:b/>
                <w:bCs/>
                <w:i w:val="false"/>
                <w:iCs w:val="false"/>
                <w:color w:val="7F6000"/>
                <w:sz w:val="20"/>
                <w:szCs w:val="20"/>
              </w:rPr>
              <w:t xml:space="preserve">« La grille interne est bloquée »</w:t>
            </w:r>
          </w:p>
        </w:tc>
        <w:tc>
          <w:tcPr>
            <w:tcW w:type="dxa" w:w="6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spacing w:before="0" w:after="0"/>
            </w:pPr>
            <w:r>
              <w:rPr>
                <w:rFonts w:ascii="Arial" w:cs="Arial" w:eastAsia="Arial" w:hAnsi="Arial"/>
                <w:b/>
                <w:bCs/>
                <w:color w:val="7F6000"/>
                <w:sz w:val="20"/>
                <w:szCs w:val="20"/>
              </w:rPr>
              <w:t xml:space="preserve">“</w:t>
            </w:r>
            <w:r>
              <w:rPr>
                <w:rFonts w:ascii="Arial" w:cs="Arial" w:eastAsia="Arial" w:hAnsi="Arial"/>
                <w:i/>
                <w:iCs/>
                <w:color w:val="1F3864"/>
                <w:sz w:val="19"/>
                <w:szCs w:val="19"/>
              </w:rPr>
              <w:t xml:space="preserve">Je comprends la contrainte. Ma condition minimale pour signer est alors une clause de revoyure à six mois écrite avec les critères et le pourcentage. Cette clause ne coûte rien à court terme et aligne nos intérêts. Si vous refusez de l’écrire, c’est le signal que nous ne parlons pas de la même chose.</w:t>
            </w:r>
            <w:r>
              <w:rPr>
                <w:rFonts w:ascii="Arial" w:cs="Arial" w:eastAsia="Arial" w:hAnsi="Arial"/>
                <w:b/>
                <w:bCs/>
                <w:color w:val="7F6000"/>
                <w:sz w:val="20"/>
                <w:szCs w:val="20"/>
              </w:rPr>
              <w:t xml:space="preserve">”</w:t>
            </w:r>
          </w:p>
        </w:tc>
      </w:tr>
      <w:tr>
        <w:tc>
          <w:tcPr>
            <w:tcW w:type="dxa" w:w="3000"/>
            <w:tcBorders>
              <w:top w:val="single" w:color="BBBBBB" w:sz="6"/>
              <w:left w:val="single" w:color="BBBBBB" w:sz="6"/>
              <w:bottom w:val="single" w:color="BBBBBB" w:sz="6"/>
              <w:right w:val="single" w:color="BBBBBB" w:sz="6"/>
            </w:tcBorders>
            <w:shd w:fill="F4ECF7" w:val="clear"/>
            <w:tcMar>
              <w:top w:type="dxa" w:w="80"/>
              <w:left w:type="dxa" w:w="115"/>
              <w:bottom w:type="dxa" w:w="80"/>
              <w:right w:type="dxa" w:w="115"/>
            </w:tcMar>
            <w:vAlign w:val="top"/>
          </w:tcPr>
          <w:p>
            <w:pPr>
              <w:jc w:val="left"/>
            </w:pPr>
            <w:r>
              <w:rPr>
                <w:rFonts w:ascii="Arial" w:cs="Arial" w:eastAsia="Arial" w:hAnsi="Arial"/>
                <w:b/>
                <w:bCs/>
                <w:i w:val="false"/>
                <w:iCs w:val="false"/>
                <w:color w:val="4A235A"/>
                <w:sz w:val="20"/>
                <w:szCs w:val="20"/>
              </w:rPr>
              <w:t xml:space="preserve">« Pas de BSPCE / equity disponibles »</w:t>
            </w:r>
          </w:p>
        </w:tc>
        <w:tc>
          <w:tcPr>
            <w:tcW w:type="dxa" w:w="6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spacing w:before="0" w:after="0"/>
            </w:pPr>
            <w:r>
              <w:rPr>
                <w:rFonts w:ascii="Arial" w:cs="Arial" w:eastAsia="Arial" w:hAnsi="Arial"/>
                <w:b/>
                <w:bCs/>
                <w:color w:val="4A235A"/>
                <w:sz w:val="20"/>
                <w:szCs w:val="20"/>
              </w:rPr>
              <w:t xml:space="preserve">“</w:t>
            </w:r>
            <w:r>
              <w:rPr>
                <w:rFonts w:ascii="Arial" w:cs="Arial" w:eastAsia="Arial" w:hAnsi="Arial"/>
                <w:i/>
                <w:iCs/>
                <w:color w:val="1F3864"/>
                <w:sz w:val="19"/>
                <w:szCs w:val="19"/>
              </w:rPr>
              <w:t xml:space="preserve">Je comprends. Fixe et equity sont deux sujets distincts. Sans equity, le fixe doit compenser : je me repositionne à 43 000 euros minimum, avec le variable de 8 % et la revoyure écrite à six mois. C’est la valeur totale qui doit atteindre le marché, quelle qu’en soit la composition.</w:t>
            </w:r>
            <w:r>
              <w:rPr>
                <w:rFonts w:ascii="Arial" w:cs="Arial" w:eastAsia="Arial" w:hAnsi="Arial"/>
                <w:b/>
                <w:bCs/>
                <w:color w:val="4A235A"/>
                <w:sz w:val="20"/>
                <w:szCs w:val="20"/>
              </w:rPr>
              <w:t xml:space="preserve">”</w:t>
            </w:r>
          </w:p>
        </w:tc>
      </w:tr>
    </w:tbl>
    <w:p>
      <w:pPr>
        <w:spacing w:before="80" w:after="8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37562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PARTIE 4 — LE CALCUL FINANCIER SUR 3 ANS — Ce que la stratégie vaut réellement</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4.  Impact financier de la stratégie sur 3 ans</w:t>
      </w:r>
    </w:p>
    <w:p>
      <w:pPr>
        <w:spacing w:before="80" w:after="80"/>
      </w:pPr>
      <w:r>
        <w:rPr>
          <w:rFonts w:ascii="Arial" w:cs="Arial" w:eastAsia="Arial" w:hAnsi="Arial"/>
          <w:sz w:val="21"/>
          <w:szCs w:val="21"/>
        </w:rPr>
        <w:t xml:space="preserve">La comparaison ci-dessous montre pourquoi la stratégie de rattrapage par le package produit un résultat financier supérieur à un accord « salarial pur » non négocié.</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Scénario</w:t>
            </w:r>
          </w:p>
        </w:tc>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 1</w:t>
            </w:r>
          </w:p>
        </w:tc>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 2</w:t>
            </w:r>
          </w:p>
        </w:tc>
        <w:tc>
          <w:tcPr>
            <w:tcW w:type="dxa" w:w="23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 3</w:t>
            </w:r>
          </w:p>
        </w:tc>
      </w:tr>
      <w:tr>
        <w:tc>
          <w:tcPr>
            <w:tcW w:type="dxa" w:w="23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20"/>
                <w:szCs w:val="20"/>
              </w:rPr>
              <w:t xml:space="preserve">Sans rattrapage
41 K€ fixe, +3 %/an, aucune clause</w:t>
            </w:r>
          </w:p>
        </w:tc>
        <w:tc>
          <w:tcPr>
            <w:tcW w:type="dxa" w:w="23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833333"/>
                <w:sz w:val="20"/>
                <w:szCs w:val="20"/>
              </w:rPr>
              <w:t xml:space="preserve">41 000 €</w:t>
            </w:r>
          </w:p>
        </w:tc>
        <w:tc>
          <w:tcPr>
            <w:tcW w:type="dxa" w:w="23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833333"/>
                <w:sz w:val="20"/>
                <w:szCs w:val="20"/>
              </w:rPr>
              <w:t xml:space="preserve">42 230 €</w:t>
            </w:r>
          </w:p>
        </w:tc>
        <w:tc>
          <w:tcPr>
            <w:tcW w:type="dxa" w:w="23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val="false"/>
                <w:bCs w:val="false"/>
                <w:i w:val="false"/>
                <w:iCs w:val="false"/>
                <w:color w:val="833333"/>
                <w:sz w:val="20"/>
                <w:szCs w:val="20"/>
              </w:rPr>
              <w:t xml:space="preserve">43 497 €</w:t>
            </w:r>
          </w:p>
        </w:tc>
      </w:tr>
      <w:tr>
        <w:tc>
          <w:tcPr>
            <w:tcW w:type="dxa" w:w="23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bCs/>
                <w:i w:val="false"/>
                <w:iCs w:val="false"/>
                <w:color w:val="375623"/>
                <w:sz w:val="20"/>
                <w:szCs w:val="20"/>
              </w:rPr>
              <w:t xml:space="preserve">Stratégie rattrapage
40 500 + variable + certif + prime + revoyure</w:t>
            </w:r>
          </w:p>
        </w:tc>
        <w:tc>
          <w:tcPr>
            <w:tcW w:type="dxa" w:w="23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49 640 €*</w:t>
            </w:r>
          </w:p>
        </w:tc>
        <w:tc>
          <w:tcPr>
            <w:tcW w:type="dxa" w:w="23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52 000 €**</w:t>
            </w:r>
          </w:p>
        </w:tc>
        <w:tc>
          <w:tcPr>
            <w:tcW w:type="dxa" w:w="23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20"/>
                <w:szCs w:val="20"/>
              </w:rPr>
              <w:t xml:space="preserve">54 000 €</w:t>
            </w:r>
          </w:p>
        </w:tc>
      </w:tr>
      <w:tr>
        <w:tc>
          <w:tcPr>
            <w:tcW w:type="dxa" w:w="23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20"/>
                <w:szCs w:val="20"/>
              </w:rPr>
              <w:t xml:space="preserve">Différence cumulée sur 3 ans</w:t>
            </w:r>
          </w:p>
        </w:tc>
        <w:tc>
          <w:tcPr>
            <w:tcW w:type="dxa" w:w="6900"/>
            <w:gridSpan w:val="3"/>
            <w:tcBorders>
              <w:top w:val="single" w:color="BBBBBB" w:sz="6"/>
              <w:left w:val="single" w:color="BBBBBB" w:sz="6"/>
              <w:bottom w:val="single" w:color="BBBBBB" w:sz="6"/>
              <w:right w:val="single" w:color="BBBBBB" w:sz="6"/>
            </w:tcBorders>
            <w:shd w:fill="E8EEF7" w:val="clear"/>
            <w:tcMar>
              <w:top w:type="dxa" w:w="80"/>
              <w:left w:type="dxa" w:w="120"/>
              <w:bottom w:type="dxa" w:w="80"/>
              <w:right w:type="dxa" w:w="120"/>
            </w:tcMar>
          </w:tcPr>
          <w:p>
            <w:pPr>
              <w:jc w:val="center"/>
            </w:pPr>
            <w:r>
              <w:rPr>
                <w:rFonts w:ascii="Arial" w:cs="Arial" w:eastAsia="Arial" w:hAnsi="Arial"/>
                <w:b/>
                <w:bCs/>
                <w:color w:val="0D2B5E"/>
                <w:sz w:val="24"/>
                <w:szCs w:val="24"/>
              </w:rPr>
              <w:t xml:space="preserve">+ 22 000 à + 25 000 € bruts sur 3 ans</w:t>
            </w:r>
          </w:p>
        </w:tc>
      </w:tr>
    </w:tbl>
    <w:p>
      <w:pPr>
        <w:spacing w:before="60" w:after="0"/>
      </w:pPr>
      <w:r>
        <w:rPr>
          <w:rFonts w:ascii="Arial" w:cs="Arial" w:eastAsia="Arial" w:hAnsi="Arial"/>
          <w:i/>
          <w:iCs/>
          <w:color w:val="595959"/>
          <w:sz w:val="17"/>
          <w:szCs w:val="17"/>
        </w:rPr>
        <w:t xml:space="preserve">* An 1 : 40 500 + 3 240 (variable) + 2 500 (certif) + 3 400/18 mois (prime) = 49 640 € valeur totale</w:t>
      </w:r>
    </w:p>
    <w:p>
      <w:pPr>
        <w:spacing w:before="20" w:after="60"/>
      </w:pPr>
      <w:r>
        <w:rPr>
          <w:rFonts w:ascii="Arial" w:cs="Arial" w:eastAsia="Arial" w:hAnsi="Arial"/>
          <w:i/>
          <w:iCs/>
          <w:color w:val="595959"/>
          <w:sz w:val="17"/>
          <w:szCs w:val="17"/>
        </w:rPr>
        <w:t xml:space="preserve">** An 2 : après revoyure +8 % = 43 740 € fixe + variable + certif = ≈ 52 000 €</w:t>
      </w:r>
    </w:p>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E2EFDA" w:val="clear"/>
            <w:tcMar>
              <w:top w:type="dxa" w:w="90"/>
              <w:left w:type="dxa" w:w="150"/>
              <w:bottom w:type="dxa" w:w="90"/>
              <w:right w:type="dxa" w:w="150"/>
            </w:tcMar>
          </w:tcPr>
          <w:p>
            <w:pPr>
              <w:spacing w:before="0" w:after="50"/>
            </w:pPr>
            <w:r>
              <w:rPr>
                <w:rFonts w:ascii="Arial" w:cs="Arial" w:eastAsia="Arial" w:hAnsi="Arial"/>
                <w:b/>
                <w:bCs/>
                <w:color w:val="375623"/>
                <w:sz w:val="20"/>
                <w:szCs w:val="20"/>
              </w:rPr>
              <w:t xml:space="preserve">🎯  La conclusion stratégique</w:t>
            </w:r>
          </w:p>
          <w:p>
            <w:pPr>
              <w:spacing w:before="0" w:after="0"/>
            </w:pPr>
            <w:r>
              <w:rPr>
                <w:rFonts w:ascii="Arial" w:cs="Arial" w:eastAsia="Arial" w:hAnsi="Arial"/>
                <w:color w:val="1A1A1A"/>
                <w:sz w:val="20"/>
                <w:szCs w:val="20"/>
              </w:rPr>
              <w:t xml:space="preserve">L’ancrage bas est un handicap tactique sur le fixe — pas une défaite stratégique sur le package. Un accord à 40 500 € avec variable, revoyure écrite, budget formation et prime fidélité produit une valeur totale de 49–54 K€ sur 3 ans — supérieure à ce qu’un fixe à 41 K€ sans clause aurait produit même avec des augmentations régulières. La revoyure écrite à 6 mois avec critères et pourcentage gravé au contrat reste la pièce centrale et non négociable de toute la stratégie.</w:t>
            </w:r>
          </w:p>
        </w:tc>
      </w:tr>
    </w:tbl>
    <w:p>
      <w:pPr>
        <w:spacing w:before="80" w:after="60"/>
      </w:pPr>
      <w:r>
        <w:rPr>
          <w:rFonts w:ascii="Arial" w:cs="Arial" w:eastAsia="Arial" w:hAnsi="Arial"/>
          <w:sz w:val="21"/>
          <w:szCs w:val="21"/>
        </w:rPr>
        <w:t xml:space="preserve"/>
      </w:r>
    </w:p>
    <w:p>
      <w:pPr>
        <w:pBdr>
          <w:bottom w:val="single" w:color="0D2B5E" w:sz="10" w:space="1"/>
        </w:pBdr>
        <w:spacing w:before="130" w:after="130"/>
      </w:pPr>
      <w:r>
        <w:rPr>
          <w:rFonts w:ascii="Arial" w:cs="Arial" w:eastAsia="Arial" w:hAnsi="Arial"/>
          <w:sz w:val="21"/>
          <w:szCs w:val="21"/>
        </w:rPr>
        <w:t xml:space="preserve"/>
      </w:r>
    </w:p>
    <w:p>
      <w:pPr>
        <w:spacing w:before="40" w:after="40"/>
      </w:pPr>
      <w:r>
        <w:rPr>
          <w:rFonts w:ascii="Arial" w:cs="Arial" w:eastAsia="Arial" w:hAnsi="Arial"/>
          <w:sz w:val="21"/>
          <w:szCs w:val="21"/>
        </w:rPr>
        <w:t xml:space="preserve"/>
      </w:r>
    </w:p>
    <w:p>
      <w:pPr>
        <w:spacing w:before="60" w:after="40"/>
        <w:jc w:val="center"/>
      </w:pPr>
      <w:r>
        <w:rPr>
          <w:rFonts w:ascii="Arial" w:cs="Arial" w:eastAsia="Arial" w:hAnsi="Arial"/>
          <w:b/>
          <w:bCs/>
          <w:i/>
          <w:iCs/>
          <w:color w:val="0D2B5E"/>
          <w:sz w:val="24"/>
          <w:szCs w:val="24"/>
        </w:rPr>
        <w:t xml:space="preserve">L’ancrage bas n’est pas une fatalité. C’est une contrainte tactique — et les contraintes se contournent.</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B5E" w:sz="6" w:space="1"/>
      </w:pBdr>
      <w:jc w:val="center"/>
    </w:pPr>
    <w:r>
      <w:rPr>
        <w:rFonts w:ascii="Arial" w:cs="Arial" w:eastAsia="Arial" w:hAnsi="Arial"/>
        <w:color w:val="888888"/>
        <w:sz w:val="15"/>
        <w:szCs w:val="15"/>
      </w:rPr>
      <w:t xml:space="preserve">Document confidentiel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E" w:sz="8" w:space="1"/>
      </w:pBdr>
    </w:pPr>
    <w:r>
      <w:rPr>
        <w:rFonts w:ascii="Arial" w:cs="Arial" w:eastAsia="Arial" w:hAnsi="Arial"/>
        <w:b/>
        <w:bCs/>
        <w:color w:val="8B0000"/>
        <w:sz w:val="16"/>
        <w:szCs w:val="16"/>
      </w:rPr>
      <w:t xml:space="preserve">✈  STRATÉGIE DÉTAILLÉE DE RATTRAPAGE  </w:t>
    </w:r>
    <w:r>
      <w:rPr>
        <w:rFonts w:ascii="Arial" w:cs="Arial" w:eastAsia="Arial" w:hAnsi="Arial"/>
        <w:color w:val="888888"/>
        <w:sz w:val="15"/>
        <w:szCs w:val="15"/>
      </w:rPr>
      <w:t xml:space="preserve">|  Mission siège ferroviaire chez fournisseur siège aéro  |  40–42 K€ annoncé  |  NAF 30.30Z — Paris 75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0D2B5E"/>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2026-03-25T18:47:45.120Z</dcterms:created>
  <dcterms:modified xsi:type="dcterms:W3CDTF">2026-03-25T18:47:45.122Z</dcterms:modified>
</cp:coreProperties>
</file>

<file path=docProps/custom.xml><?xml version="1.0" encoding="utf-8"?>
<Properties xmlns="http://schemas.openxmlformats.org/officeDocument/2006/custom-properties" xmlns:vt="http://schemas.openxmlformats.org/officeDocument/2006/docPropsVTypes"/>
</file>