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20" w:before="480"/>
        <w:jc w:val="center"/>
      </w:pPr>
      <w:r>
        <w:rPr>
          <w:rFonts w:ascii="Arial" w:cs="Arial" w:eastAsia="Arial" w:hAnsi="Arial"/>
          <w:b/>
          <w:bCs/>
          <w:color w:val="FFFFFF"/>
          <w:sz w:val="52"/>
          <w:szCs w:val="52"/>
        </w:rPr>
        <w:t xml:space="preserve">COURS INTENSIF D'ACOUSTIQUE</w:t>
      </w:r>
    </w:p>
    <w:p>
      <w:pPr>
        <w:shd w:fill="1F4E79" w:val="clear"/>
        <w:spacing w:after="200"/>
        <w:jc w:val="center"/>
      </w:pPr>
      <w:r>
        <w:rPr>
          <w:rFonts w:ascii="Arial" w:cs="Arial" w:eastAsia="Arial" w:hAnsi="Arial"/>
          <w:b/>
          <w:bCs/>
          <w:color w:val="FFFFFF"/>
          <w:sz w:val="52"/>
          <w:szCs w:val="52"/>
        </w:rPr>
        <w:t xml:space="preserve">ET TRAITEMENT DU SON</w:t>
      </w:r>
    </w:p>
    <w:p>
      <w:pPr>
        <w:shd w:fill="1F4E79" w:val="clear"/>
        <w:spacing w:after="80"/>
        <w:jc w:val="center"/>
      </w:pPr>
      <w:r>
        <w:rPr>
          <w:rFonts w:ascii="Arial" w:cs="Arial" w:eastAsia="Arial" w:hAnsi="Arial"/>
          <w:i/>
          <w:iCs/>
          <w:color w:val="D6E4F0"/>
          <w:sz w:val="24"/>
          <w:szCs w:val="24"/>
        </w:rPr>
        <w:t xml:space="preserve">Fondements scientifiques  ·  Perception  ·  Pratique  ·  Conception acoustique</w:t>
      </w:r>
    </w:p>
    <w:p>
      <w:pPr>
        <w:shd w:fill="1F4E79" w:val="clear"/>
        <w:spacing w:after="120"/>
        <w:jc w:val="center"/>
      </w:pPr>
      <w:r>
        <w:rPr>
          <w:rFonts w:ascii="Arial" w:cs="Arial" w:eastAsia="Arial" w:hAnsi="Arial"/>
          <w:color w:val="D6E4F0"/>
          <w:sz w:val="20"/>
          <w:szCs w:val="20"/>
        </w:rPr>
        <w:t xml:space="preserve">Basé sur : RWTH Aachen — Communication Acoustics (edX) &amp; Intensivkurs Raumakustik (IHA)</w:t>
      </w:r>
    </w:p>
    <w:p>
      <w:pPr>
        <w:shd w:fill="1F4E79" w:val="clear"/>
        <w:spacing w:after="480"/>
        <w:jc w:val="center"/>
      </w:pPr>
      <w:r>
        <w:rPr>
          <w:rFonts w:ascii="Arial" w:cs="Arial" w:eastAsia="Arial" w:hAnsi="Arial"/>
          <w:i/>
          <w:iCs/>
          <w:color w:val="D6E4F0"/>
          <w:sz w:val="18"/>
          <w:szCs w:val="18"/>
        </w:rPr>
        <w:t xml:space="preserve">Version vérifiée et corrigée — toutes formules auditées</w:t>
      </w:r>
    </w:p>
    <w:p>
      <w:r>
        <w:br w:type="page"/>
      </w:r>
    </w:p>
    <w:p>
      <w:pPr>
        <w:spacing w:after="200" w:before="200"/>
      </w:pPr>
      <w:r>
        <w:rPr>
          <w:rFonts w:ascii="Arial" w:cs="Arial" w:eastAsia="Arial" w:hAnsi="Arial"/>
          <w:b/>
          <w:bCs/>
          <w:color w:val="2E75B6"/>
          <w:sz w:val="28"/>
          <w:szCs w:val="28"/>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hd w:fill="1F4E79" w:val="clear"/>
        <w:spacing w:after="240" w:before="360"/>
      </w:pPr>
      <w:r>
        <w:rPr>
          <w:rFonts w:ascii="Arial" w:cs="Arial" w:eastAsia="Arial" w:hAnsi="Arial"/>
          <w:b/>
          <w:bCs/>
          <w:color w:val="FFFFFF"/>
          <w:sz w:val="32"/>
          <w:szCs w:val="32"/>
        </w:rPr>
        <w:t xml:space="preserve">MODULE 1 — FONDAMENTAUX DE L'ACOUSTIQUE</w:t>
      </w:r>
    </w:p>
    <w:p>
      <w:pPr>
        <w:pStyle w:val="Heading2"/>
        <w:pBdr>
          <w:bottom w:val="single" w:color="2E75B6" w:sz="4" w:space="1"/>
        </w:pBdr>
        <w:spacing w:after="160" w:before="280"/>
      </w:pPr>
      <w:r>
        <w:rPr>
          <w:rFonts w:ascii="Arial" w:cs="Arial" w:eastAsia="Arial" w:hAnsi="Arial"/>
          <w:b/>
          <w:bCs/>
          <w:color w:val="2E75B6"/>
          <w:sz w:val="26"/>
          <w:szCs w:val="26"/>
        </w:rPr>
        <w:t xml:space="preserve">1.1 Qu'est-ce que l'acoustique ?</w:t>
      </w:r>
    </w:p>
    <w:p>
      <w:pPr>
        <w:spacing w:after="160"/>
        <w:jc w:val="both"/>
      </w:pPr>
      <w:r>
        <w:rPr>
          <w:rFonts w:ascii="Arial" w:cs="Arial" w:eastAsia="Arial" w:hAnsi="Arial"/>
          <w:color w:val="000000"/>
          <w:sz w:val="22"/>
          <w:szCs w:val="22"/>
        </w:rPr>
        <w:t xml:space="preserve">L'acoustique est la science qui étudie la génération, la propagation et la réception des ondes sonores. Elle est fondamentalement interdisciplinaire : physique des ondes, ingénierie du son, architecture, psychologie de la perception, musicologie et technologie auditive. Le programme RWTH Aachen en Communication Acoustics illustre parfaitement cette transversalité.</w:t>
      </w:r>
    </w:p>
    <w:p>
      <w:pPr>
        <w:spacing w:after="160"/>
        <w:jc w:val="both"/>
      </w:pPr>
      <w:r>
        <w:rPr>
          <w:rFonts w:ascii="Arial" w:cs="Arial" w:eastAsia="Arial" w:hAnsi="Arial"/>
          <w:color w:val="000000"/>
          <w:sz w:val="22"/>
          <w:szCs w:val="22"/>
        </w:rPr>
        <w:t xml:space="preserve">On distingue plusieurs branches principales :</w:t>
      </w:r>
    </w:p>
    <w:p>
      <w:pPr>
        <w:pStyle w:val="ListParagraph"/>
        <w:numPr>
          <w:ilvl w:val="0"/>
          <w:numId w:val="2"/>
        </w:numPr>
        <w:spacing w:after="80"/>
      </w:pPr>
      <w:r>
        <w:rPr>
          <w:rFonts w:ascii="Arial" w:cs="Arial" w:eastAsia="Arial" w:hAnsi="Arial"/>
          <w:color w:val="000000"/>
          <w:sz w:val="22"/>
          <w:szCs w:val="22"/>
        </w:rPr>
        <w:t xml:space="preserve">Acoustique physique : propagation des ondes dans les milieux, théorie des ondes.</w:t>
      </w:r>
    </w:p>
    <w:p>
      <w:pPr>
        <w:pStyle w:val="ListParagraph"/>
        <w:numPr>
          <w:ilvl w:val="0"/>
          <w:numId w:val="2"/>
        </w:numPr>
        <w:spacing w:after="80"/>
      </w:pPr>
      <w:r>
        <w:rPr>
          <w:rFonts w:ascii="Arial" w:cs="Arial" w:eastAsia="Arial" w:hAnsi="Arial"/>
          <w:color w:val="000000"/>
          <w:sz w:val="22"/>
          <w:szCs w:val="22"/>
        </w:rPr>
        <w:t xml:space="preserve">Acoustique des salles (room acoustics) : comportement du son dans les espaces clos.</w:t>
      </w:r>
    </w:p>
    <w:p>
      <w:pPr>
        <w:pStyle w:val="ListParagraph"/>
        <w:numPr>
          <w:ilvl w:val="0"/>
          <w:numId w:val="2"/>
        </w:numPr>
        <w:spacing w:after="80"/>
      </w:pPr>
      <w:r>
        <w:rPr>
          <w:rFonts w:ascii="Arial" w:cs="Arial" w:eastAsia="Arial" w:hAnsi="Arial"/>
          <w:color w:val="000000"/>
          <w:sz w:val="22"/>
          <w:szCs w:val="22"/>
        </w:rPr>
        <w:t xml:space="preserve">Acoustique architecturale : conception acoustique des bâtiments.</w:t>
      </w:r>
    </w:p>
    <w:p>
      <w:pPr>
        <w:pStyle w:val="ListParagraph"/>
        <w:numPr>
          <w:ilvl w:val="0"/>
          <w:numId w:val="2"/>
        </w:numPr>
        <w:spacing w:after="80"/>
      </w:pPr>
      <w:r>
        <w:rPr>
          <w:rFonts w:ascii="Arial" w:cs="Arial" w:eastAsia="Arial" w:hAnsi="Arial"/>
          <w:color w:val="000000"/>
          <w:sz w:val="22"/>
          <w:szCs w:val="22"/>
        </w:rPr>
        <w:t xml:space="preserve">Électroacoustique : transducteurs, microphones, haut-parleurs, systèmes de sonorisation.</w:t>
      </w:r>
    </w:p>
    <w:p>
      <w:pPr>
        <w:pStyle w:val="ListParagraph"/>
        <w:numPr>
          <w:ilvl w:val="0"/>
          <w:numId w:val="2"/>
        </w:numPr>
        <w:spacing w:after="80"/>
      </w:pPr>
      <w:r>
        <w:rPr>
          <w:rFonts w:ascii="Arial" w:cs="Arial" w:eastAsia="Arial" w:hAnsi="Arial"/>
          <w:color w:val="000000"/>
          <w:sz w:val="22"/>
          <w:szCs w:val="22"/>
        </w:rPr>
        <w:t xml:space="preserve">Psychoacoustique : perception auditive humaine du son.</w:t>
      </w:r>
    </w:p>
    <w:p>
      <w:pPr>
        <w:pStyle w:val="ListParagraph"/>
        <w:numPr>
          <w:ilvl w:val="0"/>
          <w:numId w:val="2"/>
        </w:numPr>
        <w:spacing w:after="80"/>
      </w:pPr>
      <w:r>
        <w:rPr>
          <w:rFonts w:ascii="Arial" w:cs="Arial" w:eastAsia="Arial" w:hAnsi="Arial"/>
          <w:color w:val="000000"/>
          <w:sz w:val="22"/>
          <w:szCs w:val="22"/>
        </w:rPr>
        <w:t xml:space="preserve">Acoustique musicale : interaction instruments – salle – auditeur.</w:t>
      </w:r>
    </w:p>
    <w:p>
      <w:pPr>
        <w:pStyle w:val="ListParagraph"/>
        <w:numPr>
          <w:ilvl w:val="0"/>
          <w:numId w:val="2"/>
        </w:numPr>
        <w:spacing w:after="80"/>
      </w:pPr>
      <w:r>
        <w:rPr>
          <w:rFonts w:ascii="Arial" w:cs="Arial" w:eastAsia="Arial" w:hAnsi="Arial"/>
          <w:color w:val="000000"/>
          <w:sz w:val="22"/>
          <w:szCs w:val="22"/>
        </w:rPr>
        <w:t xml:space="preserve">Technologie auditive (Hörtechnik) : prothèses auditives, audiologie, aides à l'écoute.</w:t>
      </w:r>
    </w:p>
    <w:p>
      <w:pPr>
        <w:pStyle w:val="Heading2"/>
        <w:pBdr>
          <w:bottom w:val="single" w:color="2E75B6" w:sz="4" w:space="1"/>
        </w:pBdr>
        <w:spacing w:after="160" w:before="280"/>
      </w:pPr>
      <w:r>
        <w:rPr>
          <w:rFonts w:ascii="Arial" w:cs="Arial" w:eastAsia="Arial" w:hAnsi="Arial"/>
          <w:b/>
          <w:bCs/>
          <w:color w:val="2E75B6"/>
          <w:sz w:val="26"/>
          <w:szCs w:val="26"/>
        </w:rPr>
        <w:t xml:space="preserve">1.2 La nature physique du son</w:t>
      </w:r>
    </w:p>
    <w:p>
      <w:pPr>
        <w:spacing w:after="160"/>
        <w:jc w:val="both"/>
      </w:pPr>
      <w:r>
        <w:rPr>
          <w:rFonts w:ascii="Arial" w:cs="Arial" w:eastAsia="Arial" w:hAnsi="Arial"/>
          <w:color w:val="000000"/>
          <w:sz w:val="22"/>
          <w:szCs w:val="22"/>
        </w:rPr>
        <w:t xml:space="preserve">Le son est une perturbation mécanique de pression qui se propage dans un milieu élastique (air, eau, solide) sous forme d'ondes longitudinales. La variation de pression autour de la pression atmosphérique statique est appelée pression acoustique (Pa).</w:t>
      </w:r>
    </w:p>
    <w:p>
      <w:pPr>
        <w:pStyle w:val="Heading3"/>
        <w:spacing w:after="120" w:before="200"/>
      </w:pPr>
      <w:r>
        <w:rPr>
          <w:rFonts w:ascii="Arial" w:cs="Arial" w:eastAsia="Arial" w:hAnsi="Arial"/>
          <w:b/>
          <w:bCs/>
          <w:color w:val="2E4057"/>
          <w:sz w:val="24"/>
          <w:szCs w:val="24"/>
        </w:rPr>
        <w:t xml:space="preserve">1.2.1 Paramètres fondamentaux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52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Grandeur</w:t>
            </w:r>
          </w:p>
        </w:tc>
        <w:tc>
          <w:tcPr>
            <w:tcW w:type="dxa" w:w="10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Symbole</w:t>
            </w:r>
          </w:p>
        </w:tc>
        <w:tc>
          <w:tcPr>
            <w:tcW w:type="dxa" w:w="9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Unité</w:t>
            </w:r>
          </w:p>
        </w:tc>
        <w:tc>
          <w:tcPr>
            <w:tcW w:type="dxa" w:w="52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Description</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Pression acoustique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w:t>
            </w:r>
          </w:p>
        </w:tc>
        <w:tc>
          <w:tcPr>
            <w:tcW w:type="dxa" w:w="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Pa</w:t>
            </w:r>
          </w:p>
        </w:tc>
        <w:tc>
          <w:tcPr>
            <w:tcW w:type="dxa" w:w="52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Variation locale de pression par rapport à P_atm</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Fréquence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w:t>
            </w:r>
          </w:p>
        </w:tc>
        <w:tc>
          <w:tcPr>
            <w:tcW w:type="dxa" w:w="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Hz</w:t>
            </w:r>
          </w:p>
        </w:tc>
        <w:tc>
          <w:tcPr>
            <w:tcW w:type="dxa" w:w="52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Nombre d'oscillations par seconde</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Longueur d'onde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λ</w:t>
            </w:r>
          </w:p>
        </w:tc>
        <w:tc>
          <w:tcPr>
            <w:tcW w:type="dxa" w:w="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m</w:t>
            </w:r>
          </w:p>
        </w:tc>
        <w:tc>
          <w:tcPr>
            <w:tcW w:type="dxa" w:w="52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λ = c / f  (distance entre deux compressions consécutives)</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Vitesse du son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w:t>
            </w:r>
          </w:p>
        </w:tc>
        <w:tc>
          <w:tcPr>
            <w:tcW w:type="dxa" w:w="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m/s</w:t>
            </w:r>
          </w:p>
        </w:tc>
        <w:tc>
          <w:tcPr>
            <w:tcW w:type="dxa" w:w="52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 343 m/s dans l'air à 20 °C</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Période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w:t>
            </w:r>
          </w:p>
        </w:tc>
        <w:tc>
          <w:tcPr>
            <w:tcW w:type="dxa" w:w="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w:t>
            </w:r>
          </w:p>
        </w:tc>
        <w:tc>
          <w:tcPr>
            <w:tcW w:type="dxa" w:w="52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 = 1/f</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Intensité acoustique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w:t>
            </w:r>
          </w:p>
        </w:tc>
        <w:tc>
          <w:tcPr>
            <w:tcW w:type="dxa" w:w="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W/m²</w:t>
            </w:r>
          </w:p>
        </w:tc>
        <w:tc>
          <w:tcPr>
            <w:tcW w:type="dxa" w:w="52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Flux d'énergie par unité de surface</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Puissance acoustique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W</w:t>
            </w:r>
          </w:p>
        </w:tc>
        <w:tc>
          <w:tcPr>
            <w:tcW w:type="dxa" w:w="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W</w:t>
            </w:r>
          </w:p>
        </w:tc>
        <w:tc>
          <w:tcPr>
            <w:tcW w:type="dxa" w:w="52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Énergie totale rayonnée par la source par unité de temps</w:t>
            </w:r>
          </w:p>
        </w:tc>
      </w:tr>
    </w:tbl>
    <w:p>
      <w:pPr>
        <w:spacing w:after="100"/>
      </w:pPr>
      <w:r>
        <w:t xml:space="preserve"/>
      </w:r>
    </w:p>
    <w:p>
      <w:pPr>
        <w:spacing w:after="160"/>
        <w:jc w:val="both"/>
      </w:pPr>
      <w:r>
        <w:rPr>
          <w:rFonts w:ascii="Arial" w:cs="Arial" w:eastAsia="Arial" w:hAnsi="Arial"/>
          <w:color w:val="000000"/>
          <w:sz w:val="22"/>
          <w:szCs w:val="22"/>
        </w:rPr>
        <w:t xml:space="preserve">La vitesse du son dans l'air dépend de la température selon :</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c = 331.3 + 0.6 × T(°C)   [m/s]      Exemple : 20 °C → c = 343.3 m/s</w:t>
      </w:r>
    </w:p>
    <w:p>
      <w:pPr>
        <w:shd w:fill="D6EAD8" w:val="clear"/>
        <w:spacing w:after="80" w:before="80"/>
        <w:ind w:left="360" w:right="360"/>
      </w:pPr>
      <w:r>
        <w:rPr>
          <w:rFonts w:ascii="Arial" w:cs="Arial" w:eastAsia="Arial" w:hAnsi="Arial"/>
          <w:b/>
          <w:bCs/>
          <w:color w:val="1E5C2E"/>
          <w:sz w:val="20"/>
          <w:szCs w:val="20"/>
        </w:rPr>
        <w:t xml:space="preserve">✓ VÉRIFIÉ  </w:t>
      </w:r>
      <w:r>
        <w:rPr>
          <w:rFonts w:ascii="Arial" w:cs="Arial" w:eastAsia="Arial" w:hAnsi="Arial"/>
          <w:color w:val="1E5C2E"/>
          <w:sz w:val="20"/>
          <w:szCs w:val="20"/>
        </w:rPr>
        <w:t xml:space="preserve">Formule vérifiée. À 20 °C : 331.3 + 12 = 343.3 m/s. Conforme à la littérature standard.</w:t>
      </w:r>
    </w:p>
    <w:p>
      <w:pPr>
        <w:spacing w:after="160"/>
        <w:jc w:val="both"/>
      </w:pPr>
      <w:r>
        <w:rPr>
          <w:rFonts w:ascii="Arial" w:cs="Arial" w:eastAsia="Arial" w:hAnsi="Arial"/>
          <w:color w:val="000000"/>
          <w:sz w:val="22"/>
          <w:szCs w:val="22"/>
        </w:rPr>
        <w:t xml:space="preserve">L'ouïe humaine couvre approximativement de 20 Hz à 20 000 Hz. En dessous : infrasons ; au-delà : ultrasons.</w:t>
      </w:r>
    </w:p>
    <w:p>
      <w:pPr>
        <w:pStyle w:val="Heading3"/>
        <w:spacing w:after="120" w:before="200"/>
      </w:pPr>
      <w:r>
        <w:rPr>
          <w:rFonts w:ascii="Arial" w:cs="Arial" w:eastAsia="Arial" w:hAnsi="Arial"/>
          <w:b/>
          <w:bCs/>
          <w:color w:val="2E4057"/>
          <w:sz w:val="24"/>
          <w:szCs w:val="24"/>
        </w:rPr>
        <w:t xml:space="preserve">1.2.2 Le décibel — échelle logarithmique</w:t>
      </w:r>
    </w:p>
    <w:p>
      <w:pPr>
        <w:spacing w:after="160"/>
        <w:jc w:val="both"/>
      </w:pPr>
      <w:r>
        <w:rPr>
          <w:rFonts w:ascii="Arial" w:cs="Arial" w:eastAsia="Arial" w:hAnsi="Arial"/>
          <w:color w:val="000000"/>
          <w:sz w:val="22"/>
          <w:szCs w:val="22"/>
        </w:rPr>
        <w:t xml:space="preserve">La gamme de pressions acoustiques perçues par l'oreille est extrêmement large (de 20 µPa au seuil d'audition jusqu'à 200 Pa au seuil de douleur, soit un rapport de 10 millions). On utilise donc une échelle logarithmique.</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Niveau de pression acoustique : L_p = 20 × log₁₀ (p / p_réf)   [dB SPL]</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p_réf = 20 × 10⁻⁶ Pa    (seuil d'audition conventionnel à 1 kHz)</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Niveau d'intensité : L_I = 10 × log₁₀ (I / I_réf)   [dB]     I_réf = 10⁻¹² W/m²</w:t>
      </w:r>
    </w:p>
    <w:p>
      <w:pPr>
        <w:shd w:fill="D6EAD8" w:val="clear"/>
        <w:spacing w:after="80" w:before="80"/>
        <w:ind w:left="360" w:right="360"/>
      </w:pPr>
      <w:r>
        <w:rPr>
          <w:rFonts w:ascii="Arial" w:cs="Arial" w:eastAsia="Arial" w:hAnsi="Arial"/>
          <w:b/>
          <w:bCs/>
          <w:color w:val="1E5C2E"/>
          <w:sz w:val="20"/>
          <w:szCs w:val="20"/>
        </w:rPr>
        <w:t xml:space="preserve">✓ VÉRIFIÉ  </w:t>
      </w:r>
      <w:r>
        <w:rPr>
          <w:rFonts w:ascii="Arial" w:cs="Arial" w:eastAsia="Arial" w:hAnsi="Arial"/>
          <w:color w:val="1E5C2E"/>
          <w:sz w:val="20"/>
          <w:szCs w:val="20"/>
        </w:rPr>
        <w:t xml:space="preserve">Formules vérifiées. Conformes à IEC 61672 et à la définition ISO 1683.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Source sonore</w:t>
            </w:r>
          </w:p>
        </w:tc>
        <w:tc>
          <w:tcPr>
            <w:tcW w:type="dxa" w:w="43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SPL typique (dB)</w:t>
            </w:r>
          </w:p>
        </w:tc>
      </w:tr>
      <w:tr>
        <w:trPr>
          <w:tblHeader w:val="false"/>
        </w:trPr>
        <w:tc>
          <w:tcPr>
            <w:tcW w:type="dxa" w:w="5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Seuil d'audition (1 kHz)</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 dB</w:t>
            </w:r>
          </w:p>
        </w:tc>
      </w:tr>
      <w:tr>
        <w:trPr>
          <w:tblHeader w:val="false"/>
        </w:trPr>
        <w:tc>
          <w:tcPr>
            <w:tcW w:type="dxa" w:w="5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Studio d'enregistrement haute qualité (fond de bruit)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15–25 dB</w:t>
            </w:r>
          </w:p>
        </w:tc>
      </w:tr>
      <w:tr>
        <w:trPr>
          <w:tblHeader w:val="false"/>
        </w:trPr>
        <w:tc>
          <w:tcPr>
            <w:tcW w:type="dxa" w:w="5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Conversation normale à 1 m</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60 dB</w:t>
            </w:r>
          </w:p>
        </w:tc>
      </w:tr>
      <w:tr>
        <w:trPr>
          <w:tblHeader w:val="false"/>
        </w:trPr>
        <w:tc>
          <w:tcPr>
            <w:tcW w:type="dxa" w:w="5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Trafic urbain dense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75–85 dB</w:t>
            </w:r>
          </w:p>
        </w:tc>
      </w:tr>
      <w:tr>
        <w:trPr>
          <w:tblHeader w:val="false"/>
        </w:trPr>
        <w:tc>
          <w:tcPr>
            <w:tcW w:type="dxa" w:w="5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Concert de rock (1 m de la scène)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110–120 dB</w:t>
            </w:r>
          </w:p>
        </w:tc>
      </w:tr>
      <w:tr>
        <w:trPr>
          <w:tblHeader w:val="false"/>
        </w:trPr>
        <w:tc>
          <w:tcPr>
            <w:tcW w:type="dxa" w:w="5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Réacteur d'avion (25 m)</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~140 dB</w:t>
            </w:r>
          </w:p>
        </w:tc>
      </w:tr>
    </w:tbl>
    <w:p>
      <w:pPr>
        <w:spacing w:after="100"/>
      </w:pPr>
      <w:r>
        <w:t xml:space="preserve"/>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Les niveaux SPL du tableau sont des ordres de grandeur typiques, non des valeurs réglementaires. Les seuils légaux d'exposition au bruit (travail, événements) sont définis par des normes nationales (EN ISO 9612, directive européenne 2003/10/CE) et peuvent différer significativement selon le contexte et la durée d'exposition.</w:t>
      </w:r>
    </w:p>
    <w:p>
      <w:pPr>
        <w:pStyle w:val="Heading3"/>
        <w:spacing w:after="120" w:before="200"/>
      </w:pPr>
      <w:r>
        <w:rPr>
          <w:rFonts w:ascii="Arial" w:cs="Arial" w:eastAsia="Arial" w:hAnsi="Arial"/>
          <w:b/>
          <w:bCs/>
          <w:color w:val="2E4057"/>
          <w:sz w:val="24"/>
          <w:szCs w:val="24"/>
        </w:rPr>
        <w:t xml:space="preserve">1.2.3 Addition logarithmique des niveaux</w:t>
      </w:r>
    </w:p>
    <w:p>
      <w:pPr>
        <w:spacing w:after="160"/>
        <w:jc w:val="both"/>
      </w:pPr>
      <w:r>
        <w:rPr>
          <w:rFonts w:ascii="Arial" w:cs="Arial" w:eastAsia="Arial" w:hAnsi="Arial"/>
          <w:color w:val="000000"/>
          <w:sz w:val="22"/>
          <w:szCs w:val="22"/>
        </w:rPr>
        <w:t xml:space="preserve">L'addition de plusieurs sources incohérentes (non corrélées) s'effectue en puissance, pas en amplitude :</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L_total = 10 × log₁₀ (10^(L₁/10) + 10^(L₂/10) + ...)   [dB]</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Règles pratiques :  </w:t>
      </w:r>
      <w:r>
        <w:rPr>
          <w:rFonts w:ascii="Arial" w:cs="Arial" w:eastAsia="Arial" w:hAnsi="Arial"/>
          <w:i/>
          <w:iCs/>
          <w:color w:val="444444"/>
          <w:sz w:val="21"/>
          <w:szCs w:val="21"/>
        </w:rPr>
        <w:t xml:space="preserve">Deux sources identiques → +3 dB. Doubler la distance en champ libre → −6 dB (loi en 1/r² sur l'intensité, 1/r sur la pression).</w:t>
      </w:r>
    </w:p>
    <w:p>
      <w:pPr>
        <w:pStyle w:val="Heading2"/>
        <w:pBdr>
          <w:bottom w:val="single" w:color="2E75B6" w:sz="4" w:space="1"/>
        </w:pBdr>
        <w:spacing w:after="160" w:before="280"/>
      </w:pPr>
      <w:r>
        <w:rPr>
          <w:rFonts w:ascii="Arial" w:cs="Arial" w:eastAsia="Arial" w:hAnsi="Arial"/>
          <w:b/>
          <w:bCs/>
          <w:color w:val="2E75B6"/>
          <w:sz w:val="26"/>
          <w:szCs w:val="26"/>
        </w:rPr>
        <w:t xml:space="preserve">1.3 Propagation des ondes sonores</w:t>
      </w:r>
    </w:p>
    <w:p>
      <w:pPr>
        <w:spacing w:after="160"/>
        <w:jc w:val="both"/>
      </w:pPr>
      <w:r>
        <w:rPr>
          <w:rFonts w:ascii="Arial" w:cs="Arial" w:eastAsia="Arial" w:hAnsi="Arial"/>
          <w:color w:val="000000"/>
          <w:sz w:val="22"/>
          <w:szCs w:val="22"/>
        </w:rPr>
        <w:t xml:space="preserve">En champ libre (espace infini sans obstacle), le son se propage de façon sphérique depuis une source ponctuelle. L'intensité décroît en 1/r² et la pression en 1/r.</w:t>
      </w:r>
    </w:p>
    <w:p>
      <w:pPr>
        <w:pStyle w:val="Heading3"/>
        <w:spacing w:after="120" w:before="200"/>
      </w:pPr>
      <w:r>
        <w:rPr>
          <w:rFonts w:ascii="Arial" w:cs="Arial" w:eastAsia="Arial" w:hAnsi="Arial"/>
          <w:b/>
          <w:bCs/>
          <w:color w:val="2E4057"/>
          <w:sz w:val="24"/>
          <w:szCs w:val="24"/>
        </w:rPr>
        <w:t xml:space="preserve">1.3.1 Réflexion, absorption, diffraction, transmission</w:t>
      </w:r>
    </w:p>
    <w:p>
      <w:pPr>
        <w:pStyle w:val="ListParagraph"/>
        <w:numPr>
          <w:ilvl w:val="0"/>
          <w:numId w:val="2"/>
        </w:numPr>
        <w:spacing w:after="80"/>
      </w:pPr>
      <w:r>
        <w:rPr>
          <w:rFonts w:ascii="Arial" w:cs="Arial" w:eastAsia="Arial" w:hAnsi="Arial"/>
          <w:color w:val="000000"/>
          <w:sz w:val="22"/>
          <w:szCs w:val="22"/>
        </w:rPr>
        <w:t xml:space="preserve">Réfléchie : l'angle de réflexion = angle d'incidence (analogie optique valable quand λ ≪ dimensions de la surface).</w:t>
      </w:r>
    </w:p>
    <w:p>
      <w:pPr>
        <w:pStyle w:val="ListParagraph"/>
        <w:numPr>
          <w:ilvl w:val="0"/>
          <w:numId w:val="2"/>
        </w:numPr>
        <w:spacing w:after="80"/>
      </w:pPr>
      <w:r>
        <w:rPr>
          <w:rFonts w:ascii="Arial" w:cs="Arial" w:eastAsia="Arial" w:hAnsi="Arial"/>
          <w:color w:val="000000"/>
          <w:sz w:val="22"/>
          <w:szCs w:val="22"/>
        </w:rPr>
        <w:t xml:space="preserve">Absorbée : énergie convertie en chaleur ou vibration mécanique (caractérisée par α).</w:t>
      </w:r>
    </w:p>
    <w:p>
      <w:pPr>
        <w:pStyle w:val="ListParagraph"/>
        <w:numPr>
          <w:ilvl w:val="0"/>
          <w:numId w:val="2"/>
        </w:numPr>
        <w:spacing w:after="80"/>
      </w:pPr>
      <w:r>
        <w:rPr>
          <w:rFonts w:ascii="Arial" w:cs="Arial" w:eastAsia="Arial" w:hAnsi="Arial"/>
          <w:color w:val="000000"/>
          <w:sz w:val="22"/>
          <w:szCs w:val="22"/>
        </w:rPr>
        <w:t xml:space="preserve">Diffractée : l'onde contourne les arêtes dont les dimensions sont comparables à λ. Importante aux basses fréquences.</w:t>
      </w:r>
    </w:p>
    <w:p>
      <w:pPr>
        <w:pStyle w:val="ListParagraph"/>
        <w:numPr>
          <w:ilvl w:val="0"/>
          <w:numId w:val="2"/>
        </w:numPr>
        <w:spacing w:after="80"/>
      </w:pPr>
      <w:r>
        <w:rPr>
          <w:rFonts w:ascii="Arial" w:cs="Arial" w:eastAsia="Arial" w:hAnsi="Arial"/>
          <w:color w:val="000000"/>
          <w:sz w:val="22"/>
          <w:szCs w:val="22"/>
        </w:rPr>
        <w:t xml:space="preserve">Transmise : l'onde traverse la paroi avec atténuation (caractérisée par R en dB).</w:t>
      </w:r>
    </w:p>
    <w:p>
      <w:pPr>
        <w:pStyle w:val="ListParagraph"/>
        <w:numPr>
          <w:ilvl w:val="0"/>
          <w:numId w:val="2"/>
        </w:numPr>
        <w:spacing w:after="80"/>
      </w:pPr>
      <w:r>
        <w:rPr>
          <w:rFonts w:ascii="Arial" w:cs="Arial" w:eastAsia="Arial" w:hAnsi="Arial"/>
          <w:color w:val="000000"/>
          <w:sz w:val="22"/>
          <w:szCs w:val="22"/>
        </w:rPr>
        <w:t xml:space="preserve">Diffusée : renvoyée dans de multiples directions par surfaces rugueuses ou irrégulières (caractérisée par le coefficient de diffusion d).</w:t>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La réflexion spéculaire (angle i = angle r) n'est rigoureusement applicable que lorsque la surface est grande devant λ ET lisse à l'échelle de λ. Dans la pratique, la plupart des surfaces créent une combinaison de réflexion spéculaire et de diffusion, en proportion variable selon la fréquence.</w:t>
      </w:r>
    </w:p>
    <w:p>
      <w:pPr>
        <w:pStyle w:val="Heading3"/>
        <w:spacing w:after="120" w:before="200"/>
      </w:pPr>
      <w:r>
        <w:rPr>
          <w:rFonts w:ascii="Arial" w:cs="Arial" w:eastAsia="Arial" w:hAnsi="Arial"/>
          <w:b/>
          <w:bCs/>
          <w:color w:val="2E4057"/>
          <w:sz w:val="24"/>
          <w:szCs w:val="24"/>
        </w:rPr>
        <w:t xml:space="preserve">1.3.2 Le coefficient d'absorption acoustique α</w:t>
      </w:r>
    </w:p>
    <w:p>
      <w:pPr>
        <w:spacing w:after="160"/>
        <w:jc w:val="both"/>
      </w:pPr>
      <w:r>
        <w:rPr>
          <w:rFonts w:ascii="Arial" w:cs="Arial" w:eastAsia="Arial" w:hAnsi="Arial"/>
          <w:color w:val="000000"/>
          <w:sz w:val="22"/>
          <w:szCs w:val="22"/>
        </w:rPr>
        <w:t xml:space="preserve">Le coefficient d'absorption α est le rapport entre l'énergie absorbée et l'énergie incidente (0 ≤ α ≤ 1). Il dépend fortement de la fréquence, de l'angle d'incidence et des conditions de pose.</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α = E_absorbée / E_incidente    (adimensionnel, 0 ≤ α ≤ 1)</w:t>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Les valeurs α du tableau ci-dessous sont des ordres de grandeur tirés de la littérature technique. En pratique, les valeurs varient selon : (1) le fabricant et le lot de fabrication, (2) les conditions de pose (collé vs. cloué, lame d'air ou non, encastrement en périphérie), (3) la taille de l'échantillon en chambre réverbérante. Pour tout projet, utiliser les fiches techniques certifiées ISO 354 du fabricant. Des valeurs α &gt; 1.0 apparaissent parfois dans les mesures (artefact de diffraction en bord de panneau) — elles sont physiquement impossibles mais courantes dans les catalogues.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100"/>
        <w:gridCol w:w="1100"/>
        <w:gridCol w:w="1100"/>
        <w:gridCol w:w="1100"/>
        <w:gridCol w:w="1100"/>
      </w:tblGrid>
      <w:tr>
        <w:trPr>
          <w:tblHeader/>
        </w:trPr>
        <w:tc>
          <w:tcPr>
            <w:tcW w:type="dxa" w:w="27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Matériau / Surface</w:t>
            </w:r>
          </w:p>
        </w:tc>
        <w:tc>
          <w:tcPr>
            <w:tcW w:type="dxa" w:w="11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125 Hz</w:t>
            </w:r>
          </w:p>
        </w:tc>
        <w:tc>
          <w:tcPr>
            <w:tcW w:type="dxa" w:w="11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250 Hz</w:t>
            </w:r>
          </w:p>
        </w:tc>
        <w:tc>
          <w:tcPr>
            <w:tcW w:type="dxa" w:w="11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500 Hz</w:t>
            </w:r>
          </w:p>
        </w:tc>
        <w:tc>
          <w:tcPr>
            <w:tcW w:type="dxa" w:w="11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1000 Hz</w:t>
            </w:r>
          </w:p>
        </w:tc>
        <w:tc>
          <w:tcPr>
            <w:tcW w:type="dxa" w:w="11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2000 Hz</w:t>
            </w:r>
          </w:p>
        </w:tc>
        <w:tc>
          <w:tcPr>
            <w:tcW w:type="dxa" w:w="11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4000 Hz</w:t>
            </w:r>
          </w:p>
        </w:tc>
      </w:tr>
      <w:tr>
        <w:trPr>
          <w:tblHeader w:val="false"/>
        </w:trPr>
        <w:tc>
          <w:tcPr>
            <w:tcW w:type="dxa" w:w="2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Béton nu / pierre lisse</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0.01</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0.01</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0.02</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0.02</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0.03</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0.04</w:t>
            </w:r>
          </w:p>
        </w:tc>
      </w:tr>
      <w:tr>
        <w:trPr>
          <w:tblHeader w:val="false"/>
        </w:trPr>
        <w:tc>
          <w:tcPr>
            <w:tcW w:type="dxa" w:w="2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Plâtre lisse</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0.02</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0.03</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0.04</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0.05</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0.07</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0.08</w:t>
            </w:r>
          </w:p>
        </w:tc>
      </w:tr>
      <w:tr>
        <w:trPr>
          <w:tblHeader w:val="false"/>
        </w:trPr>
        <w:tc>
          <w:tcPr>
            <w:tcW w:type="dxa" w:w="2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Parquet bois sur lambourdes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0.15</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0.11</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0.10</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0.07</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0.06</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0.07</w:t>
            </w:r>
          </w:p>
        </w:tc>
      </w:tr>
      <w:tr>
        <w:trPr>
          <w:tblHeader w:val="false"/>
        </w:trPr>
        <w:tc>
          <w:tcPr>
            <w:tcW w:type="dxa" w:w="2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Moquette épaisse sur béton</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0.02</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0.06</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0.14</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0.37</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0.60</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0.65</w:t>
            </w:r>
          </w:p>
        </w:tc>
      </w:tr>
      <w:tr>
        <w:trPr>
          <w:tblHeader w:val="false"/>
        </w:trPr>
        <w:tc>
          <w:tcPr>
            <w:tcW w:type="dxa" w:w="2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Laine minérale 50 mm (mur)</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0.15</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0.35</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0.60</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0.80</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0.85</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0.85</w:t>
            </w:r>
          </w:p>
        </w:tc>
      </w:tr>
      <w:tr>
        <w:trPr>
          <w:tblHeader w:val="false"/>
        </w:trPr>
        <w:tc>
          <w:tcPr>
            <w:tcW w:type="dxa" w:w="2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Rideau lourd plissé (50%)</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0.07</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0.31</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0.49</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0.75</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0.70</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0.60</w:t>
            </w:r>
          </w:p>
        </w:tc>
      </w:tr>
      <w:tr>
        <w:trPr>
          <w:tblHeader w:val="false"/>
        </w:trPr>
        <w:tc>
          <w:tcPr>
            <w:tcW w:type="dxa" w:w="2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Siège rembourré occupé</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0.44</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0.56</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0.67</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0.74</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0.83</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0.87</w:t>
            </w:r>
          </w:p>
        </w:tc>
      </w:tr>
      <w:tr>
        <w:trPr>
          <w:tblHeader w:val="false"/>
        </w:trPr>
        <w:tc>
          <w:tcPr>
            <w:tcW w:type="dxa" w:w="2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Vitre simple 4 mm</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0.35</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0.25</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0.18</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0.12</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0.07</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0.04</w:t>
            </w:r>
          </w:p>
        </w:tc>
      </w:tr>
    </w:tbl>
    <w:p>
      <w:pPr>
        <w:spacing w:after="100"/>
      </w:pPr>
      <w:r>
        <w:t xml:space="preserve"/>
      </w:r>
    </w:p>
    <w:p>
      <w:r>
        <w:br w:type="page"/>
      </w:r>
    </w:p>
    <w:p>
      <w:pPr>
        <w:pStyle w:val="Heading1"/>
        <w:shd w:fill="1F4E79" w:val="clear"/>
        <w:spacing w:after="240" w:before="360"/>
      </w:pPr>
      <w:r>
        <w:rPr>
          <w:rFonts w:ascii="Arial" w:cs="Arial" w:eastAsia="Arial" w:hAnsi="Arial"/>
          <w:b/>
          <w:bCs/>
          <w:color w:val="FFFFFF"/>
          <w:sz w:val="32"/>
          <w:szCs w:val="32"/>
        </w:rPr>
        <w:t xml:space="preserve">MODULE 2 — ACOUSTIQUE DES SALLES : PHYSIQUE</w:t>
      </w:r>
    </w:p>
    <w:p>
      <w:pPr>
        <w:pStyle w:val="Heading2"/>
        <w:pBdr>
          <w:bottom w:val="single" w:color="2E75B6" w:sz="4" w:space="1"/>
        </w:pBdr>
        <w:spacing w:after="160" w:before="280"/>
      </w:pPr>
      <w:r>
        <w:rPr>
          <w:rFonts w:ascii="Arial" w:cs="Arial" w:eastAsia="Arial" w:hAnsi="Arial"/>
          <w:b/>
          <w:bCs/>
          <w:color w:val="2E75B6"/>
          <w:sz w:val="26"/>
          <w:szCs w:val="26"/>
        </w:rPr>
        <w:t xml:space="preserve">2.1 Composition du champ sonore en salle</w:t>
      </w:r>
    </w:p>
    <w:p>
      <w:pPr>
        <w:spacing w:after="160"/>
        <w:jc w:val="both"/>
      </w:pPr>
      <w:r>
        <w:rPr>
          <w:rFonts w:ascii="Arial" w:cs="Arial" w:eastAsia="Arial" w:hAnsi="Arial"/>
          <w:color w:val="000000"/>
          <w:sz w:val="22"/>
          <w:szCs w:val="22"/>
        </w:rPr>
        <w:t xml:space="preserve">En espace clos, le signal perçu par un auditeur est la superposition de trois composantes qui définissent l'expérience acoustique globale :</w:t>
      </w:r>
    </w:p>
    <w:p>
      <w:pPr>
        <w:pStyle w:val="Heading3"/>
        <w:spacing w:after="120" w:before="200"/>
      </w:pPr>
      <w:r>
        <w:rPr>
          <w:rFonts w:ascii="Arial" w:cs="Arial" w:eastAsia="Arial" w:hAnsi="Arial"/>
          <w:b/>
          <w:bCs/>
          <w:color w:val="2E4057"/>
          <w:sz w:val="24"/>
          <w:szCs w:val="24"/>
        </w:rPr>
        <w:t xml:space="preserve">2.1.1 Son direct</w:t>
      </w:r>
    </w:p>
    <w:p>
      <w:pPr>
        <w:spacing w:after="160"/>
        <w:jc w:val="both"/>
      </w:pPr>
      <w:r>
        <w:rPr>
          <w:rFonts w:ascii="Arial" w:cs="Arial" w:eastAsia="Arial" w:hAnsi="Arial"/>
          <w:color w:val="000000"/>
          <w:sz w:val="22"/>
          <w:szCs w:val="22"/>
        </w:rPr>
        <w:t xml:space="preserve">Le son direct arrive en premier en ligne droite depuis la source. Son niveau décroît avec la distance (1/r²) et il porte les informations de localisation de la source.</w:t>
      </w:r>
    </w:p>
    <w:p>
      <w:pPr>
        <w:pStyle w:val="Heading3"/>
        <w:spacing w:after="120" w:before="200"/>
      </w:pPr>
      <w:r>
        <w:rPr>
          <w:rFonts w:ascii="Arial" w:cs="Arial" w:eastAsia="Arial" w:hAnsi="Arial"/>
          <w:b/>
          <w:bCs/>
          <w:color w:val="2E4057"/>
          <w:sz w:val="24"/>
          <w:szCs w:val="24"/>
        </w:rPr>
        <w:t xml:space="preserve">2.1.2 Premières réflexions (Early Reflections, 0–80 ms)</w:t>
      </w:r>
    </w:p>
    <w:p>
      <w:pPr>
        <w:spacing w:after="160"/>
        <w:jc w:val="both"/>
      </w:pPr>
      <w:r>
        <w:rPr>
          <w:rFonts w:ascii="Arial" w:cs="Arial" w:eastAsia="Arial" w:hAnsi="Arial"/>
          <w:color w:val="000000"/>
          <w:sz w:val="22"/>
          <w:szCs w:val="22"/>
        </w:rPr>
        <w:t xml:space="preserve">Les premières réflexions résultent des réflexions sur les surfaces proches. Elles enrichissent l'image sonore et contribuent à la sensation d'espace. En dessous de ~40–50 ms, elles sont intégrées par le cerveau avec le son direct (effet Haas).</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Effet Haas (Precedence Effect) :  </w:t>
      </w:r>
      <w:r>
        <w:rPr>
          <w:rFonts w:ascii="Arial" w:cs="Arial" w:eastAsia="Arial" w:hAnsi="Arial"/>
          <w:i/>
          <w:iCs/>
          <w:color w:val="444444"/>
          <w:sz w:val="21"/>
          <w:szCs w:val="21"/>
        </w:rPr>
        <w:t xml:space="preserve">Si une réflexion arrive dans les 40 ms après le son direct, elle est fusionnée perceptivement avec lui — pas d'écho distinct. Elle renforce le niveau perçu et la localisation reste déterminée par la première arrivée.</w:t>
      </w:r>
    </w:p>
    <w:p>
      <w:pPr>
        <w:pStyle w:val="Heading3"/>
        <w:spacing w:after="120" w:before="200"/>
      </w:pPr>
      <w:r>
        <w:rPr>
          <w:rFonts w:ascii="Arial" w:cs="Arial" w:eastAsia="Arial" w:hAnsi="Arial"/>
          <w:b/>
          <w:bCs/>
          <w:color w:val="2E4057"/>
          <w:sz w:val="24"/>
          <w:szCs w:val="24"/>
        </w:rPr>
        <w:t xml:space="preserve">2.1.3 Champ diffus — Réverbération tardive</w:t>
      </w:r>
    </w:p>
    <w:p>
      <w:pPr>
        <w:spacing w:after="160"/>
        <w:jc w:val="both"/>
      </w:pPr>
      <w:r>
        <w:rPr>
          <w:rFonts w:ascii="Arial" w:cs="Arial" w:eastAsia="Arial" w:hAnsi="Arial"/>
          <w:color w:val="000000"/>
          <w:sz w:val="22"/>
          <w:szCs w:val="22"/>
        </w:rPr>
        <w:t xml:space="preserve">Après les premières réflexions, le champ devient statistiquement diffus : l'énergie est répartie uniformément dans toutes les directions, avec une décroissance exponentielle. C'est la réverbération caractérisée par T60.</w:t>
      </w:r>
    </w:p>
    <w:p>
      <w:pPr>
        <w:pStyle w:val="Heading2"/>
        <w:pBdr>
          <w:bottom w:val="single" w:color="2E75B6" w:sz="4" w:space="1"/>
        </w:pBdr>
        <w:spacing w:after="160" w:before="280"/>
      </w:pPr>
      <w:r>
        <w:rPr>
          <w:rFonts w:ascii="Arial" w:cs="Arial" w:eastAsia="Arial" w:hAnsi="Arial"/>
          <w:b/>
          <w:bCs/>
          <w:color w:val="2E75B6"/>
          <w:sz w:val="26"/>
          <w:szCs w:val="26"/>
        </w:rPr>
        <w:t xml:space="preserve">2.2 Temps de réverbération — Théorie statistique</w:t>
      </w:r>
    </w:p>
    <w:p>
      <w:pPr>
        <w:spacing w:after="160"/>
        <w:jc w:val="both"/>
      </w:pPr>
      <w:r>
        <w:rPr>
          <w:rFonts w:ascii="Arial" w:cs="Arial" w:eastAsia="Arial" w:hAnsi="Arial"/>
          <w:color w:val="000000"/>
          <w:sz w:val="22"/>
          <w:szCs w:val="22"/>
        </w:rPr>
        <w:t xml:space="preserve">Le T60 (ou RT60) est le temps pour que le niveau chute de 60 dB après l'arrêt de la source.</w:t>
      </w:r>
    </w:p>
    <w:p>
      <w:pPr>
        <w:pStyle w:val="Heading3"/>
        <w:spacing w:after="120" w:before="200"/>
      </w:pPr>
      <w:r>
        <w:rPr>
          <w:rFonts w:ascii="Arial" w:cs="Arial" w:eastAsia="Arial" w:hAnsi="Arial"/>
          <w:b/>
          <w:bCs/>
          <w:color w:val="2E4057"/>
          <w:sz w:val="24"/>
          <w:szCs w:val="24"/>
        </w:rPr>
        <w:t xml:space="preserve">2.2.1 Formule de Sabine (1900)</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T60 = 0.161 × V / A        [s]       (constante = 55.3/c à 20°C)</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A = Σ (αᵢ × Sᵢ)           [m² Sabine]   (aire d'absorption équivalente totale)</w:t>
      </w:r>
    </w:p>
    <w:p>
      <w:pPr>
        <w:shd w:fill="D6EAD8" w:val="clear"/>
        <w:spacing w:after="80" w:before="80"/>
        <w:ind w:left="360" w:right="360"/>
      </w:pPr>
      <w:r>
        <w:rPr>
          <w:rFonts w:ascii="Arial" w:cs="Arial" w:eastAsia="Arial" w:hAnsi="Arial"/>
          <w:b/>
          <w:bCs/>
          <w:color w:val="1E5C2E"/>
          <w:sz w:val="20"/>
          <w:szCs w:val="20"/>
        </w:rPr>
        <w:t xml:space="preserve">✓ VÉRIFIÉ  </w:t>
      </w:r>
      <w:r>
        <w:rPr>
          <w:rFonts w:ascii="Arial" w:cs="Arial" w:eastAsia="Arial" w:hAnsi="Arial"/>
          <w:color w:val="1E5C2E"/>
          <w:sz w:val="20"/>
          <w:szCs w:val="20"/>
        </w:rPr>
        <w:t xml:space="preserve">Formule vérifiée. Constante 0.161 = 55.3/343 = 0.1612. Conforme à la littérature (Sabine 1900, Kuttruff 2009).</w:t>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La formule de Sabine n'est valable que pour une absorption homogène et modérée (coefficient d'absorption moyen ᾱ &lt; 0.2 environ). Au-delà, elle surestime T60. Pour les salles très absorbantes (studios, cabines), utiliser la formule d'Eyring.</w:t>
      </w:r>
    </w:p>
    <w:p>
      <w:pPr>
        <w:pStyle w:val="Heading3"/>
        <w:spacing w:after="120" w:before="200"/>
      </w:pPr>
      <w:r>
        <w:rPr>
          <w:rFonts w:ascii="Arial" w:cs="Arial" w:eastAsia="Arial" w:hAnsi="Arial"/>
          <w:b/>
          <w:bCs/>
          <w:color w:val="2E4057"/>
          <w:sz w:val="24"/>
          <w:szCs w:val="24"/>
        </w:rPr>
        <w:t xml:space="preserve">2.2.2 Formule d'Eyring (1933)</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T60 = -0.161 × V / [S × ln(1 - ᾱ)]        [s]</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ᾱ = A / S    (coefficient d'absorption moyen)    S = surface totale [m²]</w:t>
      </w:r>
    </w:p>
    <w:p>
      <w:pPr>
        <w:shd w:fill="D6EAD8" w:val="clear"/>
        <w:spacing w:after="80" w:before="80"/>
        <w:ind w:left="360" w:right="360"/>
      </w:pPr>
      <w:r>
        <w:rPr>
          <w:rFonts w:ascii="Arial" w:cs="Arial" w:eastAsia="Arial" w:hAnsi="Arial"/>
          <w:b/>
          <w:bCs/>
          <w:color w:val="1E5C2E"/>
          <w:sz w:val="20"/>
          <w:szCs w:val="20"/>
        </w:rPr>
        <w:t xml:space="preserve">✓ VÉRIFIÉ  </w:t>
      </w:r>
      <w:r>
        <w:rPr>
          <w:rFonts w:ascii="Arial" w:cs="Arial" w:eastAsia="Arial" w:hAnsi="Arial"/>
          <w:color w:val="1E5C2E"/>
          <w:sz w:val="20"/>
          <w:szCs w:val="20"/>
        </w:rPr>
        <w:t xml:space="preserve">Formule vérifiée. Pour ᾱ petit : ln(1-ᾱ) ≈ -ᾱ, Eyring ≈ Sabine. Pour ᾱ → 1 : Eyring → 0 (physiquement correct). Conforme à Eyring (1933).</w:t>
      </w:r>
    </w:p>
    <w:p>
      <w:pPr>
        <w:pStyle w:val="Heading3"/>
        <w:spacing w:after="120" w:before="200"/>
      </w:pPr>
      <w:r>
        <w:rPr>
          <w:rFonts w:ascii="Arial" w:cs="Arial" w:eastAsia="Arial" w:hAnsi="Arial"/>
          <w:b/>
          <w:bCs/>
          <w:color w:val="2E4057"/>
          <w:sz w:val="24"/>
          <w:szCs w:val="24"/>
        </w:rPr>
        <w:t xml:space="preserve">2.2.3 Valeurs optimales de T60 selon l'usage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2100"/>
        <w:gridCol w:w="2760"/>
      </w:tblGrid>
      <w:tr>
        <w:trPr>
          <w:tblHeader/>
        </w:trPr>
        <w:tc>
          <w:tcPr>
            <w:tcW w:type="dxa" w:w="28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Type d'espace</w:t>
            </w:r>
          </w:p>
        </w:tc>
        <w:tc>
          <w:tcPr>
            <w:tcW w:type="dxa" w:w="17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Volume typique (m³)</w:t>
            </w:r>
          </w:p>
        </w:tc>
        <w:tc>
          <w:tcPr>
            <w:tcW w:type="dxa" w:w="21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T60 optimal (mi-fréquences, occupé)</w:t>
            </w:r>
          </w:p>
        </w:tc>
        <w:tc>
          <w:tcPr>
            <w:tcW w:type="dxa" w:w="27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Remarques</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Studio d'enregistrement (parole)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50–200</w:t>
            </w:r>
          </w:p>
        </w:tc>
        <w:tc>
          <w:tcPr>
            <w:tcW w:type="dxa" w:w="2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0.2–0.4 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Très sec, contrôle total</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Salle de répétition / studio musique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200–500</w:t>
            </w:r>
          </w:p>
        </w:tc>
        <w:tc>
          <w:tcPr>
            <w:tcW w:type="dxa" w:w="2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0.4–0.6 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Légèrement réverbérant</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Salle de conférence / classe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200–600</w:t>
            </w:r>
          </w:p>
        </w:tc>
        <w:tc>
          <w:tcPr>
            <w:tcW w:type="dxa" w:w="2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0.5–0.8 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Priorité intelligibilité</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Salle de cinéma</w:t>
            </w:r>
          </w:p>
        </w:tc>
        <w:tc>
          <w:tcPr>
            <w:tcW w:type="dxa" w:w="1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500–3000</w:t>
            </w:r>
          </w:p>
        </w:tc>
        <w:tc>
          <w:tcPr>
            <w:tcW w:type="dxa" w:w="2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0.3–0.5 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Son traité électroacoustiquement</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Salle de concert (chambre)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5000–10000</w:t>
            </w:r>
          </w:p>
        </w:tc>
        <w:tc>
          <w:tcPr>
            <w:tcW w:type="dxa" w:w="2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1.4–1.7 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Balance clarté/réverbérance</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Salle de concert symphonique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10000–25000</w:t>
            </w:r>
          </w:p>
        </w:tc>
        <w:tc>
          <w:tcPr>
            <w:tcW w:type="dxa" w:w="2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1.8–2.2 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Chaleur, enveloppement</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Opéra</w:t>
            </w:r>
          </w:p>
        </w:tc>
        <w:tc>
          <w:tcPr>
            <w:tcW w:type="dxa" w:w="1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8000–15000</w:t>
            </w:r>
          </w:p>
        </w:tc>
        <w:tc>
          <w:tcPr>
            <w:tcW w:type="dxa" w:w="2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1.2–1.5 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Intelligibilité du texte chanté</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Église cathédrale (orgue liturgique)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20000–100000</w:t>
            </w:r>
          </w:p>
        </w:tc>
        <w:tc>
          <w:tcPr>
            <w:tcW w:type="dxa" w:w="2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3.0–6.0 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Ambiance liturgique, tenu</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Salle polyvalente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3000–10000</w:t>
            </w:r>
          </w:p>
        </w:tc>
        <w:tc>
          <w:tcPr>
            <w:tcW w:type="dxa" w:w="2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1.0–1.5 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Compromis selon usage</w:t>
            </w:r>
          </w:p>
        </w:tc>
      </w:tr>
    </w:tbl>
    <w:p>
      <w:pPr>
        <w:spacing w:after="100"/>
      </w:pPr>
      <w:r>
        <w:t xml:space="preserve"/>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Les valeurs de T60 optimal sont des consensus académiques couramment cités (Beranek 2004, Kuttruff 2009). Les opinions d'experts divergent légèrement selon les sources et les périodes de publication. Pour les salles de concert, certains acousticiens préfèrent T60 &gt; 2.2 s pour les grandes œuvres romantiques. Ces valeurs sont des guides, non des normes contraignantes. Toujours se référer au programme musical spécifique de la salle.</w:t>
      </w:r>
    </w:p>
    <w:p>
      <w:pPr>
        <w:pStyle w:val="Heading2"/>
        <w:pBdr>
          <w:bottom w:val="single" w:color="2E75B6" w:sz="4" w:space="1"/>
        </w:pBdr>
        <w:spacing w:after="160" w:before="280"/>
      </w:pPr>
      <w:r>
        <w:rPr>
          <w:rFonts w:ascii="Arial" w:cs="Arial" w:eastAsia="Arial" w:hAnsi="Arial"/>
          <w:b/>
          <w:bCs/>
          <w:color w:val="2E75B6"/>
          <w:sz w:val="26"/>
          <w:szCs w:val="26"/>
        </w:rPr>
        <w:t xml:space="preserve">2.3 Modes propres de salle — Acoustique ondulatoire</w:t>
      </w:r>
    </w:p>
    <w:p>
      <w:pPr>
        <w:spacing w:after="160"/>
        <w:jc w:val="both"/>
      </w:pPr>
      <w:r>
        <w:rPr>
          <w:rFonts w:ascii="Arial" w:cs="Arial" w:eastAsia="Arial" w:hAnsi="Arial"/>
          <w:color w:val="000000"/>
          <w:sz w:val="22"/>
          <w:szCs w:val="22"/>
        </w:rPr>
        <w:t xml:space="preserve">Aux basses fréquences, lorsque λ est comparable aux dimensions de la salle, le son forme des ondes stationnaires (modes propres) entre les parois parallèles. L'approche statistique n'est plus valable dans cette zone.</w:t>
      </w:r>
    </w:p>
    <w:p>
      <w:pPr>
        <w:pStyle w:val="Heading3"/>
        <w:spacing w:after="120" w:before="200"/>
      </w:pPr>
      <w:r>
        <w:rPr>
          <w:rFonts w:ascii="Arial" w:cs="Arial" w:eastAsia="Arial" w:hAnsi="Arial"/>
          <w:b/>
          <w:bCs/>
          <w:color w:val="2E4057"/>
          <w:sz w:val="24"/>
          <w:szCs w:val="24"/>
        </w:rPr>
        <w:t xml:space="preserve">2.3.1 Classification des modes dans une salle rectangulaire</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f_nxnynz = (c/2) × √[(nx/Lx)² + (ny/Ly)² + (nz/Lz)²]       [Hz]</w:t>
      </w:r>
    </w:p>
    <w:p>
      <w:pPr>
        <w:shd w:fill="D6EAD8" w:val="clear"/>
        <w:spacing w:after="80" w:before="80"/>
        <w:ind w:left="360" w:right="360"/>
      </w:pPr>
      <w:r>
        <w:rPr>
          <w:rFonts w:ascii="Arial" w:cs="Arial" w:eastAsia="Arial" w:hAnsi="Arial"/>
          <w:b/>
          <w:bCs/>
          <w:color w:val="1E5C2E"/>
          <w:sz w:val="20"/>
          <w:szCs w:val="20"/>
        </w:rPr>
        <w:t xml:space="preserve">✓ VÉRIFIÉ  </w:t>
      </w:r>
      <w:r>
        <w:rPr>
          <w:rFonts w:ascii="Arial" w:cs="Arial" w:eastAsia="Arial" w:hAnsi="Arial"/>
          <w:color w:val="1E5C2E"/>
          <w:sz w:val="20"/>
          <w:szCs w:val="20"/>
        </w:rPr>
        <w:t xml:space="preserve">Formule vérifiée. Découle directement de l'équation de Helmholtz avec conditions aux limites de parois rigides. Conforme à Kuttruff (2009) §3.</w:t>
      </w:r>
    </w:p>
    <w:p>
      <w:pPr>
        <w:pStyle w:val="ListParagraph"/>
        <w:numPr>
          <w:ilvl w:val="0"/>
          <w:numId w:val="2"/>
        </w:numPr>
        <w:spacing w:after="80"/>
      </w:pPr>
      <w:r>
        <w:rPr>
          <w:rFonts w:ascii="Arial" w:cs="Arial" w:eastAsia="Arial" w:hAnsi="Arial"/>
          <w:color w:val="000000"/>
          <w:sz w:val="22"/>
          <w:szCs w:val="22"/>
        </w:rPr>
        <w:t xml:space="preserve">Modes axiaux (1D) : nx, ny ou nz = 0 (les deux autres nuls). Les plus intenses. Résonnent entre deux parois opposées.</w:t>
      </w:r>
    </w:p>
    <w:p>
      <w:pPr>
        <w:pStyle w:val="ListParagraph"/>
        <w:numPr>
          <w:ilvl w:val="0"/>
          <w:numId w:val="2"/>
        </w:numPr>
        <w:spacing w:after="80"/>
      </w:pPr>
      <w:r>
        <w:rPr>
          <w:rFonts w:ascii="Arial" w:cs="Arial" w:eastAsia="Arial" w:hAnsi="Arial"/>
          <w:color w:val="000000"/>
          <w:sz w:val="22"/>
          <w:szCs w:val="22"/>
        </w:rPr>
        <w:t xml:space="preserve">Modes tangentiels (2D) : une des trois valeurs n = 0. Environ 6 dB moins forts que les axiaux.</w:t>
      </w:r>
    </w:p>
    <w:p>
      <w:pPr>
        <w:pStyle w:val="ListParagraph"/>
        <w:numPr>
          <w:ilvl w:val="0"/>
          <w:numId w:val="2"/>
        </w:numPr>
        <w:spacing w:after="80"/>
      </w:pPr>
      <w:r>
        <w:rPr>
          <w:rFonts w:ascii="Arial" w:cs="Arial" w:eastAsia="Arial" w:hAnsi="Arial"/>
          <w:color w:val="000000"/>
          <w:sz w:val="22"/>
          <w:szCs w:val="22"/>
        </w:rPr>
        <w:t xml:space="preserve">Modes obliques (3D) : toutes les valeurs n ≠ 0. Environ 12 dB moins forts.</w:t>
      </w:r>
    </w:p>
    <w:p>
      <w:pPr>
        <w:pStyle w:val="Heading3"/>
        <w:spacing w:after="120" w:before="200"/>
      </w:pPr>
      <w:r>
        <w:rPr>
          <w:rFonts w:ascii="Arial" w:cs="Arial" w:eastAsia="Arial" w:hAnsi="Arial"/>
          <w:b/>
          <w:bCs/>
          <w:color w:val="2E4057"/>
          <w:sz w:val="24"/>
          <w:szCs w:val="24"/>
        </w:rPr>
        <w:t xml:space="preserve">2.3.2 Fréquence de Schroeder</w:t>
      </w:r>
    </w:p>
    <w:p>
      <w:pPr>
        <w:spacing w:after="160"/>
        <w:jc w:val="both"/>
      </w:pPr>
      <w:r>
        <w:rPr>
          <w:rFonts w:ascii="Arial" w:cs="Arial" w:eastAsia="Arial" w:hAnsi="Arial"/>
          <w:color w:val="000000"/>
          <w:sz w:val="22"/>
          <w:szCs w:val="22"/>
        </w:rPr>
        <w:t xml:space="preserve">La fréquence de Schroeder marque la transition entre le domaine modal et le domaine statistique (champ diffus). Au-dessus de fs, la densité modale est suffisante pour un traitement statistique :</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fs ≈ 2000 × √(T60 / V)        [Hz]        (T60 en secondes, V en m³)</w:t>
      </w:r>
    </w:p>
    <w:p>
      <w:pPr>
        <w:shd w:fill="D6EAD8" w:val="clear"/>
        <w:spacing w:after="80" w:before="80"/>
        <w:ind w:left="360" w:right="360"/>
      </w:pPr>
      <w:r>
        <w:rPr>
          <w:rFonts w:ascii="Arial" w:cs="Arial" w:eastAsia="Arial" w:hAnsi="Arial"/>
          <w:b/>
          <w:bCs/>
          <w:color w:val="1E5C2E"/>
          <w:sz w:val="20"/>
          <w:szCs w:val="20"/>
        </w:rPr>
        <w:t xml:space="preserve">✓ VÉRIFIÉ  </w:t>
      </w:r>
      <w:r>
        <w:rPr>
          <w:rFonts w:ascii="Arial" w:cs="Arial" w:eastAsia="Arial" w:hAnsi="Arial"/>
          <w:color w:val="1E5C2E"/>
          <w:sz w:val="20"/>
          <w:szCs w:val="20"/>
        </w:rPr>
        <w:t xml:space="preserve">Formule vérifiée. Dérivée du critère de densité modale de Schroeder (1962) : 3 modes par bande d'un tiers d'octave. Constante 2000 adoptée dans la littérature standard.</w:t>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La constante 2000 est la valeur la plus communément citée (Kuttruff, Schroeder 1962), mais certaines sources utilisent 1700 à 2000 selon le critère de densité modale retenu. La fréquence de Schroeder est une transition graduelle, pas une coupure franche. Dans la pratique, considérer une zone de transition entre 0.5·fs et 2·fs.</w:t>
      </w:r>
    </w:p>
    <w:p>
      <w:pPr>
        <w:pStyle w:val="Heading3"/>
        <w:spacing w:after="120" w:before="200"/>
      </w:pPr>
      <w:r>
        <w:rPr>
          <w:rFonts w:ascii="Arial" w:cs="Arial" w:eastAsia="Arial" w:hAnsi="Arial"/>
          <w:b/>
          <w:bCs/>
          <w:color w:val="2E4057"/>
          <w:sz w:val="24"/>
          <w:szCs w:val="24"/>
        </w:rPr>
        <w:t xml:space="preserve">2.3.3 Rapport de proportions optimal (Bolt)</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Rapport recommandé :  </w:t>
      </w:r>
      <w:r>
        <w:rPr>
          <w:rFonts w:ascii="Arial" w:cs="Arial" w:eastAsia="Arial" w:hAnsi="Arial"/>
          <w:i/>
          <w:iCs/>
          <w:color w:val="444444"/>
          <w:sz w:val="21"/>
          <w:szCs w:val="21"/>
        </w:rPr>
        <w:t xml:space="preserve">1 : 1.14 : 1.39  ou  1 : 1.28 : 1.54. Éviter absolument les ratios entiers simples (1:1:1, 1:1:2, 1:2:4) qui créent une accumulation de modes coïncidents. Le ratio d'or (1 : 1.618 : 2.618) est également utilisé.</w:t>
      </w:r>
    </w:p>
    <w:p>
      <w:pPr>
        <w:pStyle w:val="Heading3"/>
        <w:spacing w:after="120" w:before="200"/>
      </w:pPr>
      <w:r>
        <w:rPr>
          <w:rFonts w:ascii="Arial" w:cs="Arial" w:eastAsia="Arial" w:hAnsi="Arial"/>
          <w:b/>
          <w:bCs/>
          <w:color w:val="2E4057"/>
          <w:sz w:val="24"/>
          <w:szCs w:val="24"/>
        </w:rPr>
        <w:t xml:space="preserve">2.3.4 Problèmes liés aux modes de salle</w:t>
      </w:r>
    </w:p>
    <w:p>
      <w:pPr>
        <w:pStyle w:val="ListParagraph"/>
        <w:numPr>
          <w:ilvl w:val="0"/>
          <w:numId w:val="2"/>
        </w:numPr>
        <w:spacing w:after="80"/>
      </w:pPr>
      <w:r>
        <w:rPr>
          <w:rFonts w:ascii="Arial" w:cs="Arial" w:eastAsia="Arial" w:hAnsi="Arial"/>
          <w:color w:val="000000"/>
          <w:sz w:val="22"/>
          <w:szCs w:val="22"/>
        </w:rPr>
        <w:t xml:space="preserve">Coloration du son : certaines fréquences sont exagérément renforcées aux positions nodales ou antimodales.</w:t>
      </w:r>
    </w:p>
    <w:p>
      <w:pPr>
        <w:pStyle w:val="ListParagraph"/>
        <w:numPr>
          <w:ilvl w:val="0"/>
          <w:numId w:val="2"/>
        </w:numPr>
        <w:spacing w:after="80"/>
      </w:pPr>
      <w:r>
        <w:rPr>
          <w:rFonts w:ascii="Arial" w:cs="Arial" w:eastAsia="Arial" w:hAnsi="Arial"/>
          <w:color w:val="000000"/>
          <w:sz w:val="22"/>
          <w:szCs w:val="22"/>
        </w:rPr>
        <w:t xml:space="preserve">Flutter echo : écho flottant entre deux surfaces parallèles lisses et réfléchissantes.</w:t>
      </w:r>
    </w:p>
    <w:p>
      <w:pPr>
        <w:pStyle w:val="ListParagraph"/>
        <w:numPr>
          <w:ilvl w:val="0"/>
          <w:numId w:val="2"/>
        </w:numPr>
        <w:spacing w:after="80"/>
      </w:pPr>
      <w:r>
        <w:rPr>
          <w:rFonts w:ascii="Arial" w:cs="Arial" w:eastAsia="Arial" w:hAnsi="Arial"/>
          <w:color w:val="000000"/>
          <w:sz w:val="22"/>
          <w:szCs w:val="22"/>
        </w:rPr>
        <w:t xml:space="preserve">Répartition inégale du niveau selon la position d'écoute (jusqu'à ±10–15 dB aux basses fréquences).</w:t>
      </w:r>
    </w:p>
    <w:p>
      <w:pPr>
        <w:pStyle w:val="ListParagraph"/>
        <w:numPr>
          <w:ilvl w:val="0"/>
          <w:numId w:val="2"/>
        </w:numPr>
        <w:spacing w:after="80"/>
      </w:pPr>
      <w:r>
        <w:rPr>
          <w:rFonts w:ascii="Arial" w:cs="Arial" w:eastAsia="Arial" w:hAnsi="Arial"/>
          <w:color w:val="000000"/>
          <w:sz w:val="22"/>
          <w:szCs w:val="22"/>
        </w:rPr>
        <w:t xml:space="preserve">Traîne longue à des fréquences spécifiques visible au spectrogramme.</w:t>
      </w:r>
    </w:p>
    <w:p>
      <w:pPr>
        <w:pStyle w:val="Heading2"/>
        <w:pBdr>
          <w:bottom w:val="single" w:color="2E75B6" w:sz="4" w:space="1"/>
        </w:pBdr>
        <w:spacing w:after="160" w:before="280"/>
      </w:pPr>
      <w:r>
        <w:rPr>
          <w:rFonts w:ascii="Arial" w:cs="Arial" w:eastAsia="Arial" w:hAnsi="Arial"/>
          <w:b/>
          <w:bCs/>
          <w:color w:val="2E75B6"/>
          <w:sz w:val="26"/>
          <w:szCs w:val="26"/>
        </w:rPr>
        <w:t xml:space="preserve">2.4 Acoustique géométrique des salles</w:t>
      </w:r>
    </w:p>
    <w:p>
      <w:pPr>
        <w:spacing w:after="160"/>
        <w:jc w:val="both"/>
      </w:pPr>
      <w:r>
        <w:rPr>
          <w:rFonts w:ascii="Arial" w:cs="Arial" w:eastAsia="Arial" w:hAnsi="Arial"/>
          <w:color w:val="000000"/>
          <w:sz w:val="22"/>
          <w:szCs w:val="22"/>
        </w:rPr>
        <w:t xml:space="preserve">Au-dessus de fs, on peut traiter le son comme des rayons. Cela permet d'analyser la distribution spatiale des réflexions.</w:t>
      </w:r>
    </w:p>
    <w:p>
      <w:pPr>
        <w:pStyle w:val="Heading3"/>
        <w:spacing w:after="120" w:before="200"/>
      </w:pPr>
      <w:r>
        <w:rPr>
          <w:rFonts w:ascii="Arial" w:cs="Arial" w:eastAsia="Arial" w:hAnsi="Arial"/>
          <w:b/>
          <w:bCs/>
          <w:color w:val="2E4057"/>
          <w:sz w:val="24"/>
          <w:szCs w:val="24"/>
        </w:rPr>
        <w:t xml:space="preserve">2.4.1 Méthode des sources images (Image Source Method)</w:t>
      </w:r>
    </w:p>
    <w:p>
      <w:pPr>
        <w:spacing w:after="160"/>
        <w:jc w:val="both"/>
      </w:pPr>
      <w:r>
        <w:rPr>
          <w:rFonts w:ascii="Arial" w:cs="Arial" w:eastAsia="Arial" w:hAnsi="Arial"/>
          <w:color w:val="000000"/>
          <w:sz w:val="22"/>
          <w:szCs w:val="22"/>
        </w:rPr>
        <w:t xml:space="preserve">Pour chaque surface réfléchissante, on place une source virtuelle en image miroir. Précise pour les ordres bas de réflexion, mais le nombre de sources images croît exponentiellement avec l'ordre.</w:t>
      </w:r>
    </w:p>
    <w:p>
      <w:pPr>
        <w:pStyle w:val="Heading3"/>
        <w:spacing w:after="120" w:before="200"/>
      </w:pPr>
      <w:r>
        <w:rPr>
          <w:rFonts w:ascii="Arial" w:cs="Arial" w:eastAsia="Arial" w:hAnsi="Arial"/>
          <w:b/>
          <w:bCs/>
          <w:color w:val="2E4057"/>
          <w:sz w:val="24"/>
          <w:szCs w:val="24"/>
        </w:rPr>
        <w:t xml:space="preserve">2.4.2 Ray tracing (tracé de rayons)</w:t>
      </w:r>
    </w:p>
    <w:p>
      <w:pPr>
        <w:spacing w:after="160"/>
        <w:jc w:val="both"/>
      </w:pPr>
      <w:r>
        <w:rPr>
          <w:rFonts w:ascii="Arial" w:cs="Arial" w:eastAsia="Arial" w:hAnsi="Arial"/>
          <w:color w:val="000000"/>
          <w:sz w:val="22"/>
          <w:szCs w:val="22"/>
        </w:rPr>
        <w:t xml:space="preserve">Des rayons sont émis depuis la source dans toutes les directions. Chaque rayon porte une portion d'énergie et subit des réflexions successives avec perte α à chaque surface. Statistiquement robuste pour les ordres élevés.</w:t>
      </w:r>
    </w:p>
    <w:p>
      <w:pPr>
        <w:pStyle w:val="Heading3"/>
        <w:spacing w:after="120" w:before="200"/>
      </w:pPr>
      <w:r>
        <w:rPr>
          <w:rFonts w:ascii="Arial" w:cs="Arial" w:eastAsia="Arial" w:hAnsi="Arial"/>
          <w:b/>
          <w:bCs/>
          <w:color w:val="2E4057"/>
          <w:sz w:val="24"/>
          <w:szCs w:val="24"/>
        </w:rPr>
        <w:t xml:space="preserve">2.4.3 Défauts acoustiques géométriques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Défaut</w:t>
            </w:r>
          </w:p>
        </w:tc>
        <w:tc>
          <w:tcPr>
            <w:tcW w:type="dxa" w:w="33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Cause</w:t>
            </w:r>
          </w:p>
        </w:tc>
        <w:tc>
          <w:tcPr>
            <w:tcW w:type="dxa" w:w="38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Remède</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Écho franc (&gt; 40 ms)</w:t>
            </w:r>
          </w:p>
        </w:tc>
        <w:tc>
          <w:tcPr>
            <w:tcW w:type="dxa" w:w="33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Surface concave ou paroi arrière distante de la source (&gt; ~17 m d'écart de trajet)</w:t>
            </w:r>
          </w:p>
        </w:tc>
        <w:tc>
          <w:tcPr>
            <w:tcW w:type="dxa" w:w="3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Absorbants ou diffuseurs sur la surface incriminée</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Flutter echo</w:t>
            </w:r>
          </w:p>
        </w:tc>
        <w:tc>
          <w:tcPr>
            <w:tcW w:type="dxa" w:w="33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Deux surfaces parallèles lisses et réfléchissantes se faisant face</w:t>
            </w:r>
          </w:p>
        </w:tc>
        <w:tc>
          <w:tcPr>
            <w:tcW w:type="dxa" w:w="3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Inclinaison des parois (3°–5° suffisent), traitement absorbant ou diffusant</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Foyer acoustique</w:t>
            </w:r>
          </w:p>
        </w:tc>
        <w:tc>
          <w:tcPr>
            <w:tcW w:type="dxa" w:w="33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Surface concave (coupole, mur en arc de cercle)</w:t>
            </w:r>
          </w:p>
        </w:tc>
        <w:tc>
          <w:tcPr>
            <w:tcW w:type="dxa" w:w="3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Éviter les formes concaves ; sinon traitement lourd ou diffusion totale</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Zone d'ombre sonore</w:t>
            </w:r>
          </w:p>
        </w:tc>
        <w:tc>
          <w:tcPr>
            <w:tcW w:type="dxa" w:w="33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Balcon trop profond (rapport D/H &gt; 1), pilier, obstacle</w:t>
            </w:r>
          </w:p>
        </w:tc>
        <w:tc>
          <w:tcPr>
            <w:tcW w:type="dxa" w:w="3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Conception géométrique préventive ; complément électroacoustique</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Écho de scène arrière</w:t>
            </w:r>
          </w:p>
        </w:tc>
        <w:tc>
          <w:tcPr>
            <w:tcW w:type="dxa" w:w="33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Mur arrière de scène réfléchissant renvoyant vers les premiers rangs</w:t>
            </w:r>
          </w:p>
        </w:tc>
        <w:tc>
          <w:tcPr>
            <w:tcW w:type="dxa" w:w="3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Absorbants ou diffuseurs en fond de scène</w:t>
            </w:r>
          </w:p>
        </w:tc>
      </w:tr>
    </w:tbl>
    <w:p>
      <w:pPr>
        <w:spacing w:after="100"/>
      </w:pPr>
      <w:r>
        <w:t xml:space="preserve"/>
      </w:r>
    </w:p>
    <w:p>
      <w:r>
        <w:br w:type="page"/>
      </w:r>
    </w:p>
    <w:p>
      <w:pPr>
        <w:pStyle w:val="Heading1"/>
        <w:shd w:fill="1F4E79" w:val="clear"/>
        <w:spacing w:after="240" w:before="360"/>
      </w:pPr>
      <w:r>
        <w:rPr>
          <w:rFonts w:ascii="Arial" w:cs="Arial" w:eastAsia="Arial" w:hAnsi="Arial"/>
          <w:b/>
          <w:bCs/>
          <w:color w:val="FFFFFF"/>
          <w:sz w:val="32"/>
          <w:szCs w:val="32"/>
        </w:rPr>
        <w:t xml:space="preserve">MODULE 3 — PSYCHOACOUSTIQUE</w:t>
      </w:r>
    </w:p>
    <w:p>
      <w:pPr>
        <w:pStyle w:val="Heading2"/>
        <w:pBdr>
          <w:bottom w:val="single" w:color="2E75B6" w:sz="4" w:space="1"/>
        </w:pBdr>
        <w:spacing w:after="160" w:before="280"/>
      </w:pPr>
      <w:r>
        <w:rPr>
          <w:rFonts w:ascii="Arial" w:cs="Arial" w:eastAsia="Arial" w:hAnsi="Arial"/>
          <w:b/>
          <w:bCs/>
          <w:color w:val="2E75B6"/>
          <w:sz w:val="26"/>
          <w:szCs w:val="26"/>
        </w:rPr>
        <w:t xml:space="preserve">3.1 L'audition humaine — Anatomie fonctionnelle</w:t>
      </w:r>
    </w:p>
    <w:p>
      <w:pPr>
        <w:spacing w:after="160"/>
        <w:jc w:val="both"/>
      </w:pPr>
      <w:r>
        <w:rPr>
          <w:rFonts w:ascii="Arial" w:cs="Arial" w:eastAsia="Arial" w:hAnsi="Arial"/>
          <w:color w:val="000000"/>
          <w:sz w:val="22"/>
          <w:szCs w:val="22"/>
        </w:rPr>
        <w:t xml:space="preserve">La psychoacoustique étudie la perception du son par le système auditif humain à l'interface de la physique, de la physiologie et de la psychologie. C'est l'auditeur qui, en dernier ressort, juge de la qualité acoustique.</w:t>
      </w:r>
    </w:p>
    <w:p>
      <w:pPr>
        <w:pStyle w:val="Heading3"/>
        <w:spacing w:after="120" w:before="200"/>
      </w:pPr>
      <w:r>
        <w:rPr>
          <w:rFonts w:ascii="Arial" w:cs="Arial" w:eastAsia="Arial" w:hAnsi="Arial"/>
          <w:b/>
          <w:bCs/>
          <w:color w:val="2E4057"/>
          <w:sz w:val="24"/>
          <w:szCs w:val="24"/>
        </w:rPr>
        <w:t xml:space="preserve">3.1.1 Le système auditif</w:t>
      </w:r>
    </w:p>
    <w:p>
      <w:pPr>
        <w:pStyle w:val="ListParagraph"/>
        <w:numPr>
          <w:ilvl w:val="0"/>
          <w:numId w:val="2"/>
        </w:numPr>
        <w:spacing w:after="80"/>
      </w:pPr>
      <w:r>
        <w:rPr>
          <w:rFonts w:ascii="Arial" w:cs="Arial" w:eastAsia="Arial" w:hAnsi="Arial"/>
          <w:color w:val="000000"/>
          <w:sz w:val="22"/>
          <w:szCs w:val="22"/>
        </w:rPr>
        <w:t xml:space="preserve">Oreille externe : pavillon + conduit auditif. Filtre passe-bande, résonance vers 3–4 kHz. Collecte et oriente le son.</w:t>
      </w:r>
    </w:p>
    <w:p>
      <w:pPr>
        <w:pStyle w:val="ListParagraph"/>
        <w:numPr>
          <w:ilvl w:val="0"/>
          <w:numId w:val="2"/>
        </w:numPr>
        <w:spacing w:after="80"/>
      </w:pPr>
      <w:r>
        <w:rPr>
          <w:rFonts w:ascii="Arial" w:cs="Arial" w:eastAsia="Arial" w:hAnsi="Arial"/>
          <w:color w:val="000000"/>
          <w:sz w:val="22"/>
          <w:szCs w:val="22"/>
        </w:rPr>
        <w:t xml:space="preserve">Oreille moyenne : tympan + osselets (marteau, enclume, étrier). Adaptation d'impédance air/liquide cochléaire. Réflexe stapédien (protection aux sons &gt; ~85 dB).</w:t>
      </w:r>
    </w:p>
    <w:p>
      <w:pPr>
        <w:pStyle w:val="ListParagraph"/>
        <w:numPr>
          <w:ilvl w:val="0"/>
          <w:numId w:val="2"/>
        </w:numPr>
        <w:spacing w:after="80"/>
      </w:pPr>
      <w:r>
        <w:rPr>
          <w:rFonts w:ascii="Arial" w:cs="Arial" w:eastAsia="Arial" w:hAnsi="Arial"/>
          <w:color w:val="000000"/>
          <w:sz w:val="22"/>
          <w:szCs w:val="22"/>
        </w:rPr>
        <w:t xml:space="preserve">Cochlée (oreille interne) : 2,5 tours de spirale. Analyse fréquentielle mécanique par lieu (tonotopie). Cellules ciliées internes → transduction neurale. Cellules ciliées externes → amplification active non-linéaire.</w:t>
      </w:r>
    </w:p>
    <w:p>
      <w:pPr>
        <w:pStyle w:val="ListParagraph"/>
        <w:numPr>
          <w:ilvl w:val="0"/>
          <w:numId w:val="2"/>
        </w:numPr>
        <w:spacing w:after="80"/>
      </w:pPr>
      <w:r>
        <w:rPr>
          <w:rFonts w:ascii="Arial" w:cs="Arial" w:eastAsia="Arial" w:hAnsi="Arial"/>
          <w:color w:val="000000"/>
          <w:sz w:val="22"/>
          <w:szCs w:val="22"/>
        </w:rPr>
        <w:t xml:space="preserve">Voie auditive centrale : nerf auditif → tronc cérébral → cortex auditif (A1, A2). Traitement de la hauteur, du timbre, de la localisation et de la parole.</w:t>
      </w:r>
    </w:p>
    <w:p>
      <w:pPr>
        <w:pStyle w:val="Heading3"/>
        <w:spacing w:after="120" w:before="200"/>
      </w:pPr>
      <w:r>
        <w:rPr>
          <w:rFonts w:ascii="Arial" w:cs="Arial" w:eastAsia="Arial" w:hAnsi="Arial"/>
          <w:b/>
          <w:bCs/>
          <w:color w:val="2E4057"/>
          <w:sz w:val="24"/>
          <w:szCs w:val="24"/>
        </w:rPr>
        <w:t xml:space="preserve">3.1.2 Plage dynamique et sensibilité</w:t>
      </w:r>
    </w:p>
    <w:p>
      <w:pPr>
        <w:spacing w:after="160"/>
        <w:jc w:val="both"/>
      </w:pPr>
      <w:r>
        <w:rPr>
          <w:rFonts w:ascii="Arial" w:cs="Arial" w:eastAsia="Arial" w:hAnsi="Arial"/>
          <w:color w:val="000000"/>
          <w:sz w:val="22"/>
          <w:szCs w:val="22"/>
        </w:rPr>
        <w:t xml:space="preserve">L'oreille couvre ~120–130 dB de plage dynamique. Les courbes iso-sonies (ISO 226:2003) montrent la sensibilité variable selon la fréquence : maximale entre 1 et 5 kHz, réduite dans les graves et les aigus extrêmes, surtout à faible niveau.</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Niveau de sonie N [phon] : niveau de pression en dB d'un ton pur à 1 kHz de sonie égale</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Pondération A (dBA) : filtre normalisé IEC 61672 approximant la sensibilité à niveau modéré</w:t>
      </w:r>
    </w:p>
    <w:p>
      <w:pPr>
        <w:pStyle w:val="Heading2"/>
        <w:pBdr>
          <w:bottom w:val="single" w:color="2E75B6" w:sz="4" w:space="1"/>
        </w:pBdr>
        <w:spacing w:after="160" w:before="280"/>
      </w:pPr>
      <w:r>
        <w:rPr>
          <w:rFonts w:ascii="Arial" w:cs="Arial" w:eastAsia="Arial" w:hAnsi="Arial"/>
          <w:b/>
          <w:bCs/>
          <w:color w:val="2E75B6"/>
          <w:sz w:val="26"/>
          <w:szCs w:val="26"/>
        </w:rPr>
        <w:t xml:space="preserve">3.2 Masquage et résolution fréquentielle</w:t>
      </w:r>
    </w:p>
    <w:p>
      <w:pPr>
        <w:spacing w:after="160"/>
        <w:jc w:val="both"/>
      </w:pPr>
      <w:r>
        <w:rPr>
          <w:rFonts w:ascii="Arial" w:cs="Arial" w:eastAsia="Arial" w:hAnsi="Arial"/>
          <w:color w:val="000000"/>
          <w:sz w:val="22"/>
          <w:szCs w:val="22"/>
        </w:rPr>
        <w:t xml:space="preserve">Le masquage est le phénomène par lequel un son fort rend inaudible un son plus faible. Fondamental en encodage audio (MP3, AAC, Opus), en design de systèmes de diffusion et en ingénierie du confort.</w:t>
      </w:r>
    </w:p>
    <w:p>
      <w:pPr>
        <w:pStyle w:val="Heading3"/>
        <w:spacing w:after="120" w:before="200"/>
      </w:pPr>
      <w:r>
        <w:rPr>
          <w:rFonts w:ascii="Arial" w:cs="Arial" w:eastAsia="Arial" w:hAnsi="Arial"/>
          <w:b/>
          <w:bCs/>
          <w:color w:val="2E4057"/>
          <w:sz w:val="24"/>
          <w:szCs w:val="24"/>
        </w:rPr>
        <w:t xml:space="preserve">3.2.1 Masquage simultané</w:t>
      </w:r>
    </w:p>
    <w:p>
      <w:pPr>
        <w:spacing w:after="160"/>
        <w:jc w:val="both"/>
      </w:pPr>
      <w:r>
        <w:rPr>
          <w:rFonts w:ascii="Arial" w:cs="Arial" w:eastAsia="Arial" w:hAnsi="Arial"/>
          <w:color w:val="000000"/>
          <w:sz w:val="22"/>
          <w:szCs w:val="22"/>
        </w:rPr>
        <w:t xml:space="preserve">Un masqueur élève le seuil d'audition des sons voisins. L'effet est asymétrique : plus fort vers les hautes fréquences. Le cerveau groupe les sons par proximité fréquentielle et temporelle (auditory streaming, Bregman).</w:t>
      </w:r>
    </w:p>
    <w:p>
      <w:pPr>
        <w:pStyle w:val="Heading3"/>
        <w:spacing w:after="120" w:before="200"/>
      </w:pPr>
      <w:r>
        <w:rPr>
          <w:rFonts w:ascii="Arial" w:cs="Arial" w:eastAsia="Arial" w:hAnsi="Arial"/>
          <w:b/>
          <w:bCs/>
          <w:color w:val="2E4057"/>
          <w:sz w:val="24"/>
          <w:szCs w:val="24"/>
        </w:rPr>
        <w:t xml:space="preserve">3.2.2 Masquage temporel</w:t>
      </w:r>
    </w:p>
    <w:p>
      <w:pPr>
        <w:pStyle w:val="ListParagraph"/>
        <w:numPr>
          <w:ilvl w:val="0"/>
          <w:numId w:val="2"/>
        </w:numPr>
        <w:spacing w:after="80"/>
      </w:pPr>
      <w:r>
        <w:rPr>
          <w:rFonts w:ascii="Arial" w:cs="Arial" w:eastAsia="Arial" w:hAnsi="Arial"/>
          <w:color w:val="000000"/>
          <w:sz w:val="22"/>
          <w:szCs w:val="22"/>
        </w:rPr>
        <w:t xml:space="preserve">Pré-masquage (backward masking) : un son fort peut masquer un son légèrement antérieur (~10 ms). Lié à la latence de traitement neuronal.</w:t>
      </w:r>
    </w:p>
    <w:p>
      <w:pPr>
        <w:pStyle w:val="ListParagraph"/>
        <w:numPr>
          <w:ilvl w:val="0"/>
          <w:numId w:val="2"/>
        </w:numPr>
        <w:spacing w:after="80"/>
      </w:pPr>
      <w:r>
        <w:rPr>
          <w:rFonts w:ascii="Arial" w:cs="Arial" w:eastAsia="Arial" w:hAnsi="Arial"/>
          <w:color w:val="000000"/>
          <w:sz w:val="22"/>
          <w:szCs w:val="22"/>
        </w:rPr>
        <w:t xml:space="preserve">Post-masquage (forward masking) : après un son fort, le seuil reste élevé pendant ~100–200 ms. Exploité en compression audio.</w:t>
      </w:r>
    </w:p>
    <w:p>
      <w:pPr>
        <w:pStyle w:val="Heading3"/>
        <w:spacing w:after="120" w:before="200"/>
      </w:pPr>
      <w:r>
        <w:rPr>
          <w:rFonts w:ascii="Arial" w:cs="Arial" w:eastAsia="Arial" w:hAnsi="Arial"/>
          <w:b/>
          <w:bCs/>
          <w:color w:val="2E4057"/>
          <w:sz w:val="24"/>
          <w:szCs w:val="24"/>
        </w:rPr>
        <w:t xml:space="preserve">3.2.3 Bandes critiques (Critical Bands)</w:t>
      </w:r>
    </w:p>
    <w:p>
      <w:pPr>
        <w:spacing w:after="160"/>
        <w:jc w:val="both"/>
      </w:pPr>
      <w:r>
        <w:rPr>
          <w:rFonts w:ascii="Arial" w:cs="Arial" w:eastAsia="Arial" w:hAnsi="Arial"/>
          <w:color w:val="000000"/>
          <w:sz w:val="22"/>
          <w:szCs w:val="22"/>
        </w:rPr>
        <w:t xml:space="preserve">La cochlée analyse le spectre en bandes de fréquences adjacentes. À l'intérieur d'une bande critique, les sons se masquent particulièrement efficacement.</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ERB (Equivalent Rectangular Bandwidth) = 24.7 × (0.00437×f + 1)   [Hz]   (Moore 1983)</w:t>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La formule ERB citée est la version de Moore (1983), largement utilisée. D'autres formulations existent (Moore &amp; Glasberg 1990). La Bark scale de Zwicker est une autre représentation courante. Ces deux échelles ne sont pas interchangeables et donnent des résultats légèrement différents pour les modèles de masquage.</w:t>
      </w:r>
    </w:p>
    <w:p>
      <w:pPr>
        <w:pStyle w:val="Heading2"/>
        <w:pBdr>
          <w:bottom w:val="single" w:color="2E75B6" w:sz="4" w:space="1"/>
        </w:pBdr>
        <w:spacing w:after="160" w:before="280"/>
      </w:pPr>
      <w:r>
        <w:rPr>
          <w:rFonts w:ascii="Arial" w:cs="Arial" w:eastAsia="Arial" w:hAnsi="Arial"/>
          <w:b/>
          <w:bCs/>
          <w:color w:val="2E75B6"/>
          <w:sz w:val="26"/>
          <w:szCs w:val="26"/>
        </w:rPr>
        <w:t xml:space="preserve">3.3 Localisation sonore</w:t>
      </w:r>
    </w:p>
    <w:p>
      <w:pPr>
        <w:pStyle w:val="Heading3"/>
        <w:spacing w:after="120" w:before="200"/>
      </w:pPr>
      <w:r>
        <w:rPr>
          <w:rFonts w:ascii="Arial" w:cs="Arial" w:eastAsia="Arial" w:hAnsi="Arial"/>
          <w:b/>
          <w:bCs/>
          <w:color w:val="2E4057"/>
          <w:sz w:val="24"/>
          <w:szCs w:val="24"/>
        </w:rPr>
        <w:t xml:space="preserve">3.3.1 Indices binauraux</w:t>
      </w:r>
    </w:p>
    <w:p>
      <w:pPr>
        <w:pStyle w:val="ListParagraph"/>
        <w:numPr>
          <w:ilvl w:val="0"/>
          <w:numId w:val="2"/>
        </w:numPr>
        <w:spacing w:after="80"/>
      </w:pPr>
      <w:r>
        <w:rPr>
          <w:rFonts w:ascii="Arial" w:cs="Arial" w:eastAsia="Arial" w:hAnsi="Arial"/>
          <w:color w:val="000000"/>
          <w:sz w:val="22"/>
          <w:szCs w:val="22"/>
        </w:rPr>
        <w:t xml:space="preserve">ITD — Interaural Time Difference : différence de temps d'arrivée entre les deux oreilles. Efficace pour f &lt; 1500 Hz. Maximum ≈ 700 µs.</w:t>
      </w:r>
    </w:p>
    <w:p>
      <w:pPr>
        <w:pStyle w:val="ListParagraph"/>
        <w:numPr>
          <w:ilvl w:val="0"/>
          <w:numId w:val="2"/>
        </w:numPr>
        <w:spacing w:after="80"/>
      </w:pPr>
      <w:r>
        <w:rPr>
          <w:rFonts w:ascii="Arial" w:cs="Arial" w:eastAsia="Arial" w:hAnsi="Arial"/>
          <w:color w:val="000000"/>
          <w:sz w:val="22"/>
          <w:szCs w:val="22"/>
        </w:rPr>
        <w:t xml:space="preserve">ILD — Interaural Level Difference : différence de niveau due à l'ombre acoustique de la tête. Efficace pour f &gt; 1500 Hz.</w:t>
      </w:r>
    </w:p>
    <w:p>
      <w:pPr>
        <w:pStyle w:val="ListParagraph"/>
        <w:numPr>
          <w:ilvl w:val="0"/>
          <w:numId w:val="2"/>
        </w:numPr>
        <w:spacing w:after="80"/>
      </w:pPr>
      <w:r>
        <w:rPr>
          <w:rFonts w:ascii="Arial" w:cs="Arial" w:eastAsia="Arial" w:hAnsi="Arial"/>
          <w:color w:val="000000"/>
          <w:sz w:val="22"/>
          <w:szCs w:val="22"/>
        </w:rPr>
        <w:t xml:space="preserve">HRTF — Head-Related Transfer Function : filtre dépendant de l'angle d'élévation et d'azimut, lié à la forme du pavillon. Indispensable pour la localisation en élévation et avant/arrière.</w:t>
      </w:r>
    </w:p>
    <w:p>
      <w:pPr>
        <w:pStyle w:val="Heading3"/>
        <w:spacing w:after="120" w:before="200"/>
      </w:pPr>
      <w:r>
        <w:rPr>
          <w:rFonts w:ascii="Arial" w:cs="Arial" w:eastAsia="Arial" w:hAnsi="Arial"/>
          <w:b/>
          <w:bCs/>
          <w:color w:val="2E4057"/>
          <w:sz w:val="24"/>
          <w:szCs w:val="24"/>
        </w:rPr>
        <w:t xml:space="preserve">3.3.2 Effet Haas (Precedence Effect) — application en sonorisation</w:t>
      </w:r>
    </w:p>
    <w:p>
      <w:pPr>
        <w:spacing w:after="160"/>
        <w:jc w:val="both"/>
      </w:pPr>
      <w:r>
        <w:rPr>
          <w:rFonts w:ascii="Arial" w:cs="Arial" w:eastAsia="Arial" w:hAnsi="Arial"/>
          <w:color w:val="000000"/>
          <w:sz w:val="22"/>
          <w:szCs w:val="22"/>
        </w:rPr>
        <w:t xml:space="preserve">Lorsque deux sources identiques émettent le même signal avec un décalage Δt &lt; ~40 ms, la localisation est déterminée par la première arrivée. La seconde est perceptivement fusionnée.</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Application directe :  </w:t>
      </w:r>
      <w:r>
        <w:rPr>
          <w:rFonts w:ascii="Arial" w:cs="Arial" w:eastAsia="Arial" w:hAnsi="Arial"/>
          <w:i/>
          <w:iCs/>
          <w:color w:val="444444"/>
          <w:sz w:val="21"/>
          <w:szCs w:val="21"/>
        </w:rPr>
        <w:t xml:space="preserve">Ce phénomène justifie le délai sur les enceintes auxiliaires dans les grandes salles. Les hauts-parleurs de retard (delays) doivent arriver APRÈS le son de scène (+10–20 ms de marge).</w:t>
      </w:r>
    </w:p>
    <w:p>
      <w:pPr>
        <w:pStyle w:val="Heading2"/>
        <w:pBdr>
          <w:bottom w:val="single" w:color="2E75B6" w:sz="4" w:space="1"/>
        </w:pBdr>
        <w:spacing w:after="160" w:before="280"/>
      </w:pPr>
      <w:r>
        <w:rPr>
          <w:rFonts w:ascii="Arial" w:cs="Arial" w:eastAsia="Arial" w:hAnsi="Arial"/>
          <w:b/>
          <w:bCs/>
          <w:color w:val="2E75B6"/>
          <w:sz w:val="26"/>
          <w:szCs w:val="26"/>
        </w:rPr>
        <w:t xml:space="preserve">3.4 Paramètres perceptifs en acoustique des salles — ISO 3382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200"/>
        <w:gridCol w:w="3160"/>
      </w:tblGrid>
      <w:tr>
        <w:trPr>
          <w:tblHeader/>
        </w:trPr>
        <w:tc>
          <w:tcPr>
            <w:tcW w:type="dxa" w:w="20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Paramètre objectif</w:t>
            </w:r>
          </w:p>
        </w:tc>
        <w:tc>
          <w:tcPr>
            <w:tcW w:type="dxa" w:w="10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Symbole</w:t>
            </w:r>
          </w:p>
        </w:tc>
        <w:tc>
          <w:tcPr>
            <w:tcW w:type="dxa" w:w="32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Définition</w:t>
            </w:r>
          </w:p>
        </w:tc>
        <w:tc>
          <w:tcPr>
            <w:tcW w:type="dxa" w:w="31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Attribut perceptif</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Temps de réverbération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T20/T30/T60</w:t>
            </w:r>
          </w:p>
        </w:tc>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Décroissance de 60 dB (extrapolée depuis -5/-25 dB pour T20)</w:t>
            </w:r>
          </w:p>
        </w:tc>
        <w:tc>
          <w:tcPr>
            <w:tcW w:type="dxa" w:w="3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Réverbérance, enveloppement</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Early Decay Time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EDT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Pente des 10 premiers dB extrapolée à 60 dB</w:t>
            </w:r>
          </w:p>
        </w:tc>
        <w:tc>
          <w:tcPr>
            <w:tcW w:type="dxa" w:w="3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Vivacité, brillance</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Clarté musicale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C80</w:t>
            </w:r>
          </w:p>
        </w:tc>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10 log₁₀ (E_0-80ms / E_&gt;80ms) [dB]</w:t>
            </w:r>
          </w:p>
        </w:tc>
        <w:tc>
          <w:tcPr>
            <w:tcW w:type="dxa" w:w="3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Clarté, définition musicale</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Définition / Clarté parole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D50 / C50</w:t>
            </w:r>
          </w:p>
        </w:tc>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E_0-50ms / E_totale [%] ou en dB</w:t>
            </w:r>
          </w:p>
        </w:tc>
        <w:tc>
          <w:tcPr>
            <w:tcW w:type="dxa" w:w="3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Intelligibilité de la parole</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Délai initial (ITDG)</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ITDG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Délai entre son direct et 1ère réflexion significative [ms]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Intimité acoustique</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Force du son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G (Stärke)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Niveau relatif au champ libre à 10 m [dB]</w:t>
            </w:r>
          </w:p>
        </w:tc>
        <w:tc>
          <w:tcPr>
            <w:tcW w:type="dxa" w:w="3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Présence, loudness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Fraction d'énergie latérale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JLF</w:t>
            </w:r>
          </w:p>
        </w:tc>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Énergie latérale précoce / énergie totale précoce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Largeur apparente de source (ASW)</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Corrélation interaurale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IACC</w:t>
            </w:r>
          </w:p>
        </w:tc>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Corrélation binaurale (0-80 ms = early ; &gt;80 ms = late)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Diffusion spatiale, enveloppement (LEV)</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STI / STIPA</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STI</w:t>
            </w:r>
          </w:p>
        </w:tc>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Speech Transmission Index (0–1)</w:t>
            </w:r>
          </w:p>
        </w:tc>
        <w:tc>
          <w:tcPr>
            <w:tcW w:type="dxa" w:w="3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Intelligibilité de la parole</w:t>
            </w:r>
          </w:p>
        </w:tc>
      </w:tr>
    </w:tbl>
    <w:p>
      <w:pPr>
        <w:spacing w:after="100"/>
      </w:pPr>
      <w:r>
        <w:t xml:space="preserve"/>
      </w:r>
    </w:p>
    <w:p>
      <w:pPr>
        <w:shd w:fill="D6EAD8" w:val="clear"/>
        <w:spacing w:after="80" w:before="80"/>
        <w:ind w:left="360" w:right="360"/>
      </w:pPr>
      <w:r>
        <w:rPr>
          <w:rFonts w:ascii="Arial" w:cs="Arial" w:eastAsia="Arial" w:hAnsi="Arial"/>
          <w:b/>
          <w:bCs/>
          <w:color w:val="1E5C2E"/>
          <w:sz w:val="20"/>
          <w:szCs w:val="20"/>
        </w:rPr>
        <w:t xml:space="preserve">✓ VÉRIFIÉ  </w:t>
      </w:r>
      <w:r>
        <w:rPr>
          <w:rFonts w:ascii="Arial" w:cs="Arial" w:eastAsia="Arial" w:hAnsi="Arial"/>
          <w:color w:val="1E5C2E"/>
          <w:sz w:val="20"/>
          <w:szCs w:val="20"/>
        </w:rPr>
        <w:t xml:space="preserve">Tous ces paramètres sont définis et normalisés dans ISO 3382-1:2009 (salles de concert) et ISO 3382-2:2008 (locaux ordinaires).</w:t>
      </w:r>
    </w:p>
    <w:p>
      <w:pPr>
        <w:pStyle w:val="Heading3"/>
        <w:spacing w:after="120" w:before="200"/>
      </w:pPr>
      <w:r>
        <w:rPr>
          <w:rFonts w:ascii="Arial" w:cs="Arial" w:eastAsia="Arial" w:hAnsi="Arial"/>
          <w:b/>
          <w:bCs/>
          <w:color w:val="2E4057"/>
          <w:sz w:val="24"/>
          <w:szCs w:val="24"/>
        </w:rPr>
        <w:t xml:space="preserve">3.4.1 Interprétation de C80</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C80 = 10 × log₁₀ [∫₀⁸⁰ p²(t)dt / ∫₈₀^∞ p²(t)dt]   [dB]</w:t>
      </w:r>
    </w:p>
    <w:p>
      <w:pPr>
        <w:shd w:fill="D6EAD8" w:val="clear"/>
        <w:spacing w:after="80" w:before="80"/>
        <w:ind w:left="360" w:right="360"/>
      </w:pPr>
      <w:r>
        <w:rPr>
          <w:rFonts w:ascii="Arial" w:cs="Arial" w:eastAsia="Arial" w:hAnsi="Arial"/>
          <w:b/>
          <w:bCs/>
          <w:color w:val="1E5C2E"/>
          <w:sz w:val="20"/>
          <w:szCs w:val="20"/>
        </w:rPr>
        <w:t xml:space="preserve">✓ VÉRIFIÉ  </w:t>
      </w:r>
      <w:r>
        <w:rPr>
          <w:rFonts w:ascii="Arial" w:cs="Arial" w:eastAsia="Arial" w:hAnsi="Arial"/>
          <w:color w:val="1E5C2E"/>
          <w:sz w:val="20"/>
          <w:szCs w:val="20"/>
        </w:rPr>
        <w:t xml:space="preserve">Formule vérifiée. Conforme à ISO 3382-1:2009, Annexe A. La limite temporelle de 80 ms correspond au seuil perceptif fusion/séparation pour la musique.</w:t>
      </w:r>
    </w:p>
    <w:p>
      <w:pPr>
        <w:spacing w:after="160"/>
        <w:jc w:val="both"/>
      </w:pPr>
      <w:r>
        <w:rPr>
          <w:rFonts w:ascii="Arial" w:cs="Arial" w:eastAsia="Arial" w:hAnsi="Arial"/>
          <w:color w:val="000000"/>
          <w:sz w:val="22"/>
          <w:szCs w:val="22"/>
        </w:rPr>
        <w:t xml:space="preserve">C80 positif → énergie précoce prédomine (clair, défini). C80 négatif → réverbération tardive prédomine (enveloppant). Valeur recommandée pour les concerts classiques : −2 à +2 dB.</w:t>
      </w:r>
    </w:p>
    <w:p>
      <w:pPr>
        <w:pStyle w:val="Heading3"/>
        <w:spacing w:after="120" w:before="200"/>
      </w:pPr>
      <w:r>
        <w:rPr>
          <w:rFonts w:ascii="Arial" w:cs="Arial" w:eastAsia="Arial" w:hAnsi="Arial"/>
          <w:b/>
          <w:bCs/>
          <w:color w:val="2E4057"/>
          <w:sz w:val="24"/>
          <w:szCs w:val="24"/>
        </w:rPr>
        <w:t xml:space="preserve">3.4.2 IACC et impression spatiale</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IACC ∈ [0, 1]    BQI = 1 − IACC_early    (Binaural Quality Index, Hidaka et al.)</w:t>
      </w:r>
    </w:p>
    <w:p>
      <w:pPr>
        <w:shd w:fill="D6EAD8" w:val="clear"/>
        <w:spacing w:after="80" w:before="80"/>
        <w:ind w:left="360" w:right="360"/>
      </w:pPr>
      <w:r>
        <w:rPr>
          <w:rFonts w:ascii="Arial" w:cs="Arial" w:eastAsia="Arial" w:hAnsi="Arial"/>
          <w:b/>
          <w:bCs/>
          <w:color w:val="1E5C2E"/>
          <w:sz w:val="20"/>
          <w:szCs w:val="20"/>
        </w:rPr>
        <w:t xml:space="preserve">✓ VÉRIFIÉ  </w:t>
      </w:r>
      <w:r>
        <w:rPr>
          <w:rFonts w:ascii="Arial" w:cs="Arial" w:eastAsia="Arial" w:hAnsi="Arial"/>
          <w:color w:val="1E5C2E"/>
          <w:sz w:val="20"/>
          <w:szCs w:val="20"/>
        </w:rPr>
        <w:t xml:space="preserve">Définitions conformes à ISO 3382-1:2009. Le BQI est défini sur la composante précoce (0–80 ms) aux octaves 500, 1000, 2000 Hz.</w:t>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Les études montrent que la perception de l'enveloppement (LEV) est liée à la composante TARDIVE de l'IACC (&gt; 80 ms) et à la fraction d'énergie latérale tardive. La composante PRÉCOCE de l'IACC est liée à la largeur apparente de source (ASW). Ces deux attributs sont perceptivement distincts (Morimoto &amp; Maekawa 1988). Beaucoup de sources confondent les deux : toujours préciser early vs. late.</w:t>
      </w:r>
    </w:p>
    <w:p>
      <w:r>
        <w:br w:type="page"/>
      </w:r>
    </w:p>
    <w:p>
      <w:pPr>
        <w:pStyle w:val="Heading1"/>
        <w:shd w:fill="1F4E79" w:val="clear"/>
        <w:spacing w:after="240" w:before="360"/>
      </w:pPr>
      <w:r>
        <w:rPr>
          <w:rFonts w:ascii="Arial" w:cs="Arial" w:eastAsia="Arial" w:hAnsi="Arial"/>
          <w:b/>
          <w:bCs/>
          <w:color w:val="FFFFFF"/>
          <w:sz w:val="32"/>
          <w:szCs w:val="32"/>
        </w:rPr>
        <w:t xml:space="preserve">MODULE 4 — TRAITEMENT ACOUSTIQUE : ABSORBEURS ET DIFFUSEURS</w:t>
      </w:r>
    </w:p>
    <w:p>
      <w:pPr>
        <w:pStyle w:val="Heading2"/>
        <w:pBdr>
          <w:bottom w:val="single" w:color="2E75B6" w:sz="4" w:space="1"/>
        </w:pBdr>
        <w:spacing w:after="160" w:before="280"/>
      </w:pPr>
      <w:r>
        <w:rPr>
          <w:rFonts w:ascii="Arial" w:cs="Arial" w:eastAsia="Arial" w:hAnsi="Arial"/>
          <w:b/>
          <w:bCs/>
          <w:color w:val="2E75B6"/>
          <w:sz w:val="26"/>
          <w:szCs w:val="26"/>
        </w:rPr>
        <w:t xml:space="preserve">4.1 Types d'absorbeurs acoustiques</w:t>
      </w:r>
    </w:p>
    <w:p>
      <w:pPr>
        <w:pStyle w:val="Heading3"/>
        <w:spacing w:after="120" w:before="200"/>
      </w:pPr>
      <w:r>
        <w:rPr>
          <w:rFonts w:ascii="Arial" w:cs="Arial" w:eastAsia="Arial" w:hAnsi="Arial"/>
          <w:b/>
          <w:bCs/>
          <w:color w:val="2E4057"/>
          <w:sz w:val="24"/>
          <w:szCs w:val="24"/>
        </w:rPr>
        <w:t xml:space="preserve">4.1.1 Absorbeurs poreux</w:t>
      </w:r>
    </w:p>
    <w:p>
      <w:pPr>
        <w:spacing w:after="160"/>
        <w:jc w:val="both"/>
      </w:pPr>
      <w:r>
        <w:rPr>
          <w:rFonts w:ascii="Arial" w:cs="Arial" w:eastAsia="Arial" w:hAnsi="Arial"/>
          <w:color w:val="000000"/>
          <w:sz w:val="22"/>
          <w:szCs w:val="22"/>
        </w:rPr>
        <w:t xml:space="preserve">Les matériaux poreux (laine de roche, laine de verre, mousse mélamine, fibre de bois, etc.) dissipent l'énergie par frottement visqueux dans leurs interstices. Efficaces principalement aux moyennes et hautes fréquences (&gt; 500 Hz). L'efficacité aux basses fréquences augmente avec l'épaisseur et la distance à la paroi.</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Placement optimal : d = λ/4 de la paroi (vitesse acoustique maximale)</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Pour 125 Hz : λ/4 ≈ 343 / (4 × 125) ≈ 0.69 m  → traitement graves = épaisseur ou distance importante</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Règle pratique :  </w:t>
      </w:r>
      <w:r>
        <w:rPr>
          <w:rFonts w:ascii="Arial" w:cs="Arial" w:eastAsia="Arial" w:hAnsi="Arial"/>
          <w:i/>
          <w:iCs/>
          <w:color w:val="444444"/>
          <w:sz w:val="21"/>
          <w:szCs w:val="21"/>
        </w:rPr>
        <w:t xml:space="preserve">Un panneau de 50 mm de laine minérale posé à 50 mm du mur (lame d'air) est efficace dès environ 400 Hz. Pour traiter les fréquences en dessous de 250 Hz, il faut des épaisseurs ou des distances à la paroi &gt; 30–40 cm, ou utiliser un autre type d'absorbeur.</w:t>
      </w:r>
    </w:p>
    <w:p>
      <w:pPr>
        <w:pStyle w:val="Heading3"/>
        <w:spacing w:after="120" w:before="200"/>
      </w:pPr>
      <w:r>
        <w:rPr>
          <w:rFonts w:ascii="Arial" w:cs="Arial" w:eastAsia="Arial" w:hAnsi="Arial"/>
          <w:b/>
          <w:bCs/>
          <w:color w:val="2E4057"/>
          <w:sz w:val="24"/>
          <w:szCs w:val="24"/>
        </w:rPr>
        <w:t xml:space="preserve">4.1.2 Absorbeurs à panneaux / à membrane</w:t>
      </w:r>
    </w:p>
    <w:p>
      <w:pPr>
        <w:spacing w:after="160"/>
        <w:jc w:val="both"/>
      </w:pPr>
      <w:r>
        <w:rPr>
          <w:rFonts w:ascii="Arial" w:cs="Arial" w:eastAsia="Arial" w:hAnsi="Arial"/>
          <w:color w:val="000000"/>
          <w:sz w:val="22"/>
          <w:szCs w:val="22"/>
        </w:rPr>
        <w:t xml:space="preserve">Un panneau de masse m (bois, plaque de plâtre, métal) monté sur une lame d'air réagit comme un oscillateur mécanique. La fréquence de résonance absorbe sélectivement les basses fréquences.</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f₀ = 60 / √(m × d)    [Hz]</w:t>
      </w:r>
    </w:p>
    <w:p>
      <w:pPr>
        <w:spacing w:after="160"/>
        <w:jc w:val="both"/>
      </w:pPr>
      <w:r>
        <w:rPr>
          <w:rFonts w:ascii="Arial" w:cs="Arial" w:eastAsia="Arial" w:hAnsi="Arial"/>
          <w:color w:val="000000"/>
          <w:sz w:val="22"/>
          <w:szCs w:val="22"/>
        </w:rPr>
        <w:t xml:space="preserve">Où m est la masse surfacique du panneau en kg/m² et d est la profondeur de la lame d'air en MÈTRES.</w:t>
      </w:r>
    </w:p>
    <w:p>
      <w:pPr>
        <w:shd w:fill="D6EAD8" w:val="clear"/>
        <w:spacing w:after="80" w:before="80"/>
        <w:ind w:left="360" w:right="360"/>
      </w:pPr>
      <w:r>
        <w:rPr>
          <w:rFonts w:ascii="Arial" w:cs="Arial" w:eastAsia="Arial" w:hAnsi="Arial"/>
          <w:b/>
          <w:bCs/>
          <w:color w:val="1E5C2E"/>
          <w:sz w:val="20"/>
          <w:szCs w:val="20"/>
        </w:rPr>
        <w:t xml:space="preserve">✓ VÉRIFIÉ  </w:t>
      </w:r>
      <w:r>
        <w:rPr>
          <w:rFonts w:ascii="Arial" w:cs="Arial" w:eastAsia="Arial" w:hAnsi="Arial"/>
          <w:color w:val="1E5C2E"/>
          <w:sz w:val="20"/>
          <w:szCs w:val="20"/>
        </w:rPr>
        <w:t xml:space="preserve">Formule vérifiée. Dérivée de : f₀ = (1/2π) × √(ρ₀c²/(m×d)). À 20 °C : ρ₀c² = 1.21 × 343² ≈ 142 400 Pa → (1/2π) × √142400 ≈ 60.1. Conforme à Kuttruff (2009) et Cox &amp; D'Antonio (2009).</w:t>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ATTENTION AUX UNITÉS : d doit être exprimé en MÈTRES dans cette formule. Avec d en cm, la constante devient 600, non 60. Erreur fréquente dans la littérature grand public.</w:t>
      </w:r>
    </w:p>
    <w:p>
      <w:pPr>
        <w:pStyle w:val="ListParagraph"/>
        <w:numPr>
          <w:ilvl w:val="0"/>
          <w:numId w:val="2"/>
        </w:numPr>
        <w:spacing w:after="80"/>
      </w:pPr>
      <w:r>
        <w:rPr>
          <w:rFonts w:ascii="Arial" w:cs="Arial" w:eastAsia="Arial" w:hAnsi="Arial"/>
          <w:color w:val="000000"/>
          <w:sz w:val="22"/>
          <w:szCs w:val="22"/>
        </w:rPr>
        <w:t xml:space="preserve">Exemple : contreplaqué 12 mm (≈ 7 kg/m²) sur lame d'air d = 10 cm = 0.10 m →</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f₀ = 60 / √(7 × 0.10) = 60 / √0.70 = 60 / 0.837 ≈ 72 Hz</w:t>
      </w:r>
    </w:p>
    <w:p>
      <w:pPr>
        <w:pStyle w:val="ListParagraph"/>
        <w:numPr>
          <w:ilvl w:val="0"/>
          <w:numId w:val="2"/>
        </w:numPr>
        <w:spacing w:after="80"/>
      </w:pPr>
      <w:r>
        <w:rPr>
          <w:rFonts w:ascii="Arial" w:cs="Arial" w:eastAsia="Arial" w:hAnsi="Arial"/>
          <w:color w:val="000000"/>
          <w:sz w:val="22"/>
          <w:szCs w:val="22"/>
        </w:rPr>
        <w:t xml:space="preserve">Absorbeur efficace autour de 72 Hz. Utile pour traiter les modes graves dans les studios.</w:t>
      </w:r>
    </w:p>
    <w:p>
      <w:pPr>
        <w:pStyle w:val="ListParagraph"/>
        <w:numPr>
          <w:ilvl w:val="0"/>
          <w:numId w:val="2"/>
        </w:numPr>
        <w:spacing w:after="80"/>
      </w:pPr>
      <w:r>
        <w:rPr>
          <w:rFonts w:ascii="Arial" w:cs="Arial" w:eastAsia="Arial" w:hAnsi="Arial"/>
          <w:color w:val="000000"/>
          <w:sz w:val="22"/>
          <w:szCs w:val="22"/>
        </w:rPr>
        <w:t xml:space="preserve">Plus la lame d'air est grande et plus le panneau est léger, plus la fréquence absorbée est basse.</w:t>
      </w:r>
    </w:p>
    <w:p>
      <w:pPr>
        <w:pStyle w:val="Heading3"/>
        <w:spacing w:after="120" w:before="200"/>
      </w:pPr>
      <w:r>
        <w:rPr>
          <w:rFonts w:ascii="Arial" w:cs="Arial" w:eastAsia="Arial" w:hAnsi="Arial"/>
          <w:b/>
          <w:bCs/>
          <w:color w:val="2E4057"/>
          <w:sz w:val="24"/>
          <w:szCs w:val="24"/>
        </w:rPr>
        <w:t xml:space="preserve">4.1.3 Résonateurs de Helmholtz et panneaux perforés</w:t>
      </w:r>
    </w:p>
    <w:p>
      <w:pPr>
        <w:spacing w:after="160"/>
        <w:jc w:val="both"/>
      </w:pPr>
      <w:r>
        <w:rPr>
          <w:rFonts w:ascii="Arial" w:cs="Arial" w:eastAsia="Arial" w:hAnsi="Arial"/>
          <w:color w:val="000000"/>
          <w:sz w:val="22"/>
          <w:szCs w:val="22"/>
        </w:rPr>
        <w:t xml:space="preserve">Un résonateur de Helmholtz (cavité + goulot) absorbe sélectivement à sa fréquence de résonance.</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f_H = (c / 2π) × √(S / (V × L_eff))    [Hz]</w:t>
      </w:r>
    </w:p>
    <w:p>
      <w:pPr>
        <w:spacing w:after="160"/>
        <w:jc w:val="both"/>
      </w:pPr>
      <w:r>
        <w:rPr>
          <w:rFonts w:ascii="Arial" w:cs="Arial" w:eastAsia="Arial" w:hAnsi="Arial"/>
          <w:color w:val="000000"/>
          <w:sz w:val="22"/>
          <w:szCs w:val="22"/>
        </w:rPr>
        <w:t xml:space="preserve">Où S est la section du goulot (m²), V le volume de la cavité (m³) et L_eff la longueur effective du goulot (m, avec correction de rayonnement ≈ L + 0.8 × diamètre).</w:t>
      </w:r>
    </w:p>
    <w:p>
      <w:pPr>
        <w:shd w:fill="D6EAD8" w:val="clear"/>
        <w:spacing w:after="80" w:before="80"/>
        <w:ind w:left="360" w:right="360"/>
      </w:pPr>
      <w:r>
        <w:rPr>
          <w:rFonts w:ascii="Arial" w:cs="Arial" w:eastAsia="Arial" w:hAnsi="Arial"/>
          <w:b/>
          <w:bCs/>
          <w:color w:val="1E5C2E"/>
          <w:sz w:val="20"/>
          <w:szCs w:val="20"/>
        </w:rPr>
        <w:t xml:space="preserve">✓ VÉRIFIÉ  </w:t>
      </w:r>
      <w:r>
        <w:rPr>
          <w:rFonts w:ascii="Arial" w:cs="Arial" w:eastAsia="Arial" w:hAnsi="Arial"/>
          <w:color w:val="1E5C2E"/>
          <w:sz w:val="20"/>
          <w:szCs w:val="20"/>
        </w:rPr>
        <w:t xml:space="preserve">Formule vérifiée. Conforme à la théorie classique des résonateurs de Helmholtz (Rayleigh, Kinsler et al. 'Fundamentals of Acoustics').</w:t>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Les panneaux perforés sont des réseaux de résonateurs de Helmholtz en parallèle. Leur comportement réel dépend du couplage entre cellules et des pertes visqueuses dans les perforations. Les logiciels de prédiction (par ex. Ingard 1953, Atalla &amp; Sgard) donnent des résultats plus fiables que la formule simple pour les configurations complexes.</w:t>
      </w:r>
    </w:p>
    <w:p>
      <w:pPr>
        <w:pStyle w:val="Heading2"/>
        <w:pBdr>
          <w:bottom w:val="single" w:color="2E75B6" w:sz="4" w:space="1"/>
        </w:pBdr>
        <w:spacing w:after="160" w:before="280"/>
      </w:pPr>
      <w:r>
        <w:rPr>
          <w:rFonts w:ascii="Arial" w:cs="Arial" w:eastAsia="Arial" w:hAnsi="Arial"/>
          <w:b/>
          <w:bCs/>
          <w:color w:val="2E75B6"/>
          <w:sz w:val="26"/>
          <w:szCs w:val="26"/>
        </w:rPr>
        <w:t xml:space="preserve">4.2 Diffuseurs acoustiques</w:t>
      </w:r>
    </w:p>
    <w:p>
      <w:pPr>
        <w:pStyle w:val="Heading3"/>
        <w:spacing w:after="120" w:before="200"/>
      </w:pPr>
      <w:r>
        <w:rPr>
          <w:rFonts w:ascii="Arial" w:cs="Arial" w:eastAsia="Arial" w:hAnsi="Arial"/>
          <w:b/>
          <w:bCs/>
          <w:color w:val="2E4057"/>
          <w:sz w:val="24"/>
          <w:szCs w:val="24"/>
        </w:rPr>
        <w:t xml:space="preserve">4.2.1 Diffuseurs à séquence numérique (QRD, MLS)</w:t>
      </w:r>
    </w:p>
    <w:p>
      <w:pPr>
        <w:spacing w:after="160"/>
        <w:jc w:val="both"/>
      </w:pPr>
      <w:r>
        <w:rPr>
          <w:rFonts w:ascii="Arial" w:cs="Arial" w:eastAsia="Arial" w:hAnsi="Arial"/>
          <w:color w:val="000000"/>
          <w:sz w:val="22"/>
          <w:szCs w:val="22"/>
        </w:rPr>
        <w:t xml:space="preserve">Inventés par Schroeder (1979), les diffuseurs QRD (Quadratic Residue Diffusers) offrent une diffusion quasi-uniforme dans un plan à partir d'une profondeur calculée sur les résidus quadratiques modulo un nombre premier p.</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Profondeurs des puits QRD : d_n = (n² mod p) × λ_design / (2p)    pour n = 0, 1, ..., p-1</w:t>
      </w:r>
    </w:p>
    <w:p>
      <w:pPr>
        <w:pStyle w:val="ListParagraph"/>
        <w:numPr>
          <w:ilvl w:val="0"/>
          <w:numId w:val="2"/>
        </w:numPr>
        <w:spacing w:after="80"/>
      </w:pPr>
      <w:r>
        <w:rPr>
          <w:rFonts w:ascii="Arial" w:cs="Arial" w:eastAsia="Arial" w:hAnsi="Arial"/>
          <w:color w:val="000000"/>
          <w:sz w:val="22"/>
          <w:szCs w:val="22"/>
        </w:rPr>
        <w:t xml:space="preserve">La fréquence de conception correspond à λ dont la demi-longueur = profondeur maximale.</w:t>
      </w:r>
    </w:p>
    <w:p>
      <w:pPr>
        <w:pStyle w:val="ListParagraph"/>
        <w:numPr>
          <w:ilvl w:val="0"/>
          <w:numId w:val="2"/>
        </w:numPr>
        <w:spacing w:after="80"/>
      </w:pPr>
      <w:r>
        <w:rPr>
          <w:rFonts w:ascii="Arial" w:cs="Arial" w:eastAsia="Arial" w:hAnsi="Arial"/>
          <w:color w:val="000000"/>
          <w:sz w:val="22"/>
          <w:szCs w:val="22"/>
        </w:rPr>
        <w:t xml:space="preserve">Fréquence supérieure de diffusion : λ_min ≥ 2 × largeur de puits.</w:t>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La formule QRD donne des profondeurs en fraction de λ_design/2, avec d en proportion. Dans la pratique, la fréquence minimale de diffusion est contrainte par la profondeur maximale réalisable (souvent 20–30 cm), ce qui limite l'efficacité aux basses fréquences. En dessous de ~400–600 Hz, la plupart des diffuseurs QRD commerciaux deviennent spéculaires.</w:t>
      </w:r>
    </w:p>
    <w:p>
      <w:pPr>
        <w:pStyle w:val="Heading3"/>
        <w:spacing w:after="120" w:before="200"/>
      </w:pPr>
      <w:r>
        <w:rPr>
          <w:rFonts w:ascii="Arial" w:cs="Arial" w:eastAsia="Arial" w:hAnsi="Arial"/>
          <w:b/>
          <w:bCs/>
          <w:color w:val="2E4057"/>
          <w:sz w:val="24"/>
          <w:szCs w:val="24"/>
        </w:rPr>
        <w:t xml:space="preserve">4.2.2 Coefficients de diffusion et de scattering (ISO 17497)</w:t>
      </w:r>
    </w:p>
    <w:p>
      <w:pPr>
        <w:pStyle w:val="ListParagraph"/>
        <w:numPr>
          <w:ilvl w:val="0"/>
          <w:numId w:val="2"/>
        </w:numPr>
        <w:spacing w:after="80"/>
      </w:pPr>
      <w:r>
        <w:rPr>
          <w:rFonts w:ascii="Arial" w:cs="Arial" w:eastAsia="Arial" w:hAnsi="Arial"/>
          <w:color w:val="000000"/>
          <w:sz w:val="22"/>
          <w:szCs w:val="22"/>
        </w:rPr>
        <w:t xml:space="preserve">Coefficient de diffusion d : uniformité de la répartition angulaire de l'énergie réfléchie (0 = spéculaire pur, 1 = hémisphérique uniforme). Mesure ISO 17497-2.</w:t>
      </w:r>
    </w:p>
    <w:p>
      <w:pPr>
        <w:pStyle w:val="ListParagraph"/>
        <w:numPr>
          <w:ilvl w:val="0"/>
          <w:numId w:val="2"/>
        </w:numPr>
        <w:spacing w:after="80"/>
      </w:pPr>
      <w:r>
        <w:rPr>
          <w:rFonts w:ascii="Arial" w:cs="Arial" w:eastAsia="Arial" w:hAnsi="Arial"/>
          <w:color w:val="000000"/>
          <w:sz w:val="22"/>
          <w:szCs w:val="22"/>
        </w:rPr>
        <w:t xml:space="preserve">Coefficient de scattering s : fraction de l'énergie non spéculaire. Utilisé dans les logiciels de simulation (ODEON, CATT-Acoustic, Pachyderm).</w:t>
      </w:r>
    </w:p>
    <w:p>
      <w:pPr>
        <w:pStyle w:val="Heading3"/>
        <w:spacing w:after="120" w:before="200"/>
      </w:pPr>
      <w:r>
        <w:rPr>
          <w:rFonts w:ascii="Arial" w:cs="Arial" w:eastAsia="Arial" w:hAnsi="Arial"/>
          <w:b/>
          <w:bCs/>
          <w:color w:val="2E4057"/>
          <w:sz w:val="24"/>
          <w:szCs w:val="24"/>
        </w:rPr>
        <w:t xml:space="preserve">4.2.3 Diffuseurs géométriques</w:t>
      </w:r>
    </w:p>
    <w:p>
      <w:pPr>
        <w:spacing w:after="160"/>
        <w:jc w:val="both"/>
      </w:pPr>
      <w:r>
        <w:rPr>
          <w:rFonts w:ascii="Arial" w:cs="Arial" w:eastAsia="Arial" w:hAnsi="Arial"/>
          <w:color w:val="000000"/>
          <w:sz w:val="22"/>
          <w:szCs w:val="22"/>
        </w:rPr>
        <w:t xml:space="preserve">Des formes irrégulières (surfaces convexes, reliefs, moulures architecturales) créent une diffusion naturelle. Règle empirique : les irrégularités sont efficaces quand leur profondeur dépasse λ/7.</w:t>
      </w:r>
    </w:p>
    <w:p>
      <w:pPr>
        <w:pStyle w:val="Heading2"/>
        <w:pBdr>
          <w:bottom w:val="single" w:color="2E75B6" w:sz="4" w:space="1"/>
        </w:pBdr>
        <w:spacing w:after="160" w:before="280"/>
      </w:pPr>
      <w:r>
        <w:rPr>
          <w:rFonts w:ascii="Arial" w:cs="Arial" w:eastAsia="Arial" w:hAnsi="Arial"/>
          <w:b/>
          <w:bCs/>
          <w:color w:val="2E75B6"/>
          <w:sz w:val="26"/>
          <w:szCs w:val="26"/>
        </w:rPr>
        <w:t xml:space="preserve">4.3 Stratégie de traitement acoustique</w:t>
      </w:r>
    </w:p>
    <w:p>
      <w:pPr>
        <w:pStyle w:val="ListParagraph"/>
        <w:numPr>
          <w:ilvl w:val="0"/>
          <w:numId w:val="3"/>
        </w:numPr>
        <w:spacing w:after="80"/>
      </w:pPr>
      <w:r>
        <w:rPr>
          <w:rFonts w:ascii="Arial" w:cs="Arial" w:eastAsia="Arial" w:hAnsi="Arial"/>
          <w:color w:val="000000"/>
          <w:sz w:val="22"/>
          <w:szCs w:val="22"/>
        </w:rPr>
        <w:t xml:space="preserve">Évaluation initiale : mesure de T60 par bande d'octave, identification des modes, écoute critique.</w:t>
      </w:r>
    </w:p>
    <w:p>
      <w:pPr>
        <w:pStyle w:val="ListParagraph"/>
        <w:numPr>
          <w:ilvl w:val="0"/>
          <w:numId w:val="3"/>
        </w:numPr>
        <w:spacing w:after="80"/>
      </w:pPr>
      <w:r>
        <w:rPr>
          <w:rFonts w:ascii="Arial" w:cs="Arial" w:eastAsia="Arial" w:hAnsi="Arial"/>
          <w:color w:val="000000"/>
          <w:sz w:val="22"/>
          <w:szCs w:val="22"/>
        </w:rPr>
        <w:t xml:space="preserve">Définition des objectifs : T60 cible, contrôle des premières réflexions indésirables, fond de bruit admissible.</w:t>
      </w:r>
    </w:p>
    <w:p>
      <w:pPr>
        <w:pStyle w:val="ListParagraph"/>
        <w:numPr>
          <w:ilvl w:val="0"/>
          <w:numId w:val="3"/>
        </w:numPr>
        <w:spacing w:after="80"/>
      </w:pPr>
      <w:r>
        <w:rPr>
          <w:rFonts w:ascii="Arial" w:cs="Arial" w:eastAsia="Arial" w:hAnsi="Arial"/>
          <w:color w:val="000000"/>
          <w:sz w:val="22"/>
          <w:szCs w:val="22"/>
        </w:rPr>
        <w:t xml:space="preserve">Bass trapping (basses fréquences) : absorbeurs à panneaux ou Helmholtz dans les coins et arêtes.</w:t>
      </w:r>
    </w:p>
    <w:p>
      <w:pPr>
        <w:pStyle w:val="ListParagraph"/>
        <w:numPr>
          <w:ilvl w:val="0"/>
          <w:numId w:val="3"/>
        </w:numPr>
        <w:spacing w:after="80"/>
      </w:pPr>
      <w:r>
        <w:rPr>
          <w:rFonts w:ascii="Arial" w:cs="Arial" w:eastAsia="Arial" w:hAnsi="Arial"/>
          <w:color w:val="000000"/>
          <w:sz w:val="22"/>
          <w:szCs w:val="22"/>
        </w:rPr>
        <w:t xml:space="preserve">Traitement moyennes/hautes fréquences : panneaux absorbants poreux aux points de réflexion précoce.</w:t>
      </w:r>
    </w:p>
    <w:p>
      <w:pPr>
        <w:pStyle w:val="ListParagraph"/>
        <w:numPr>
          <w:ilvl w:val="0"/>
          <w:numId w:val="3"/>
        </w:numPr>
        <w:spacing w:after="80"/>
      </w:pPr>
      <w:r>
        <w:rPr>
          <w:rFonts w:ascii="Arial" w:cs="Arial" w:eastAsia="Arial" w:hAnsi="Arial"/>
          <w:color w:val="000000"/>
          <w:sz w:val="22"/>
          <w:szCs w:val="22"/>
        </w:rPr>
        <w:t xml:space="preserve">Diffusion : diffuseurs QRD sur parois arrières et latérales pour enrichir le champ diffus.</w:t>
      </w:r>
    </w:p>
    <w:p>
      <w:pPr>
        <w:pStyle w:val="ListParagraph"/>
        <w:numPr>
          <w:ilvl w:val="0"/>
          <w:numId w:val="3"/>
        </w:numPr>
        <w:spacing w:after="80"/>
      </w:pPr>
      <w:r>
        <w:rPr>
          <w:rFonts w:ascii="Arial" w:cs="Arial" w:eastAsia="Arial" w:hAnsi="Arial"/>
          <w:color w:val="000000"/>
          <w:sz w:val="22"/>
          <w:szCs w:val="22"/>
        </w:rPr>
        <w:t xml:space="preserve">Vérification : nouvelles mesures, comparaison avec les objectifs, itération si nécessaire.</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Méthode du miroir :  </w:t>
      </w:r>
      <w:r>
        <w:rPr>
          <w:rFonts w:ascii="Arial" w:cs="Arial" w:eastAsia="Arial" w:hAnsi="Arial"/>
          <w:i/>
          <w:iCs/>
          <w:color w:val="444444"/>
          <w:sz w:val="21"/>
          <w:szCs w:val="21"/>
        </w:rPr>
        <w:t xml:space="preserve">Pour trouver les points de réflexion précoce à traiter : placer un miroir sur chaque surface et noter les endroits depuis lesquels on peut voir les enceintes (ou la source) depuis la position d'écoute. C'est l'approximation géométrique (valide pour λ ≪ dimensions de la surface).</w:t>
      </w:r>
    </w:p>
    <w:p>
      <w:r>
        <w:br w:type="page"/>
      </w:r>
    </w:p>
    <w:p>
      <w:pPr>
        <w:pStyle w:val="Heading1"/>
        <w:shd w:fill="1F4E79" w:val="clear"/>
        <w:spacing w:after="240" w:before="360"/>
      </w:pPr>
      <w:r>
        <w:rPr>
          <w:rFonts w:ascii="Arial" w:cs="Arial" w:eastAsia="Arial" w:hAnsi="Arial"/>
          <w:b/>
          <w:bCs/>
          <w:color w:val="FFFFFF"/>
          <w:sz w:val="32"/>
          <w:szCs w:val="32"/>
        </w:rPr>
        <w:t xml:space="preserve">MODULE 5 — MÉTROLOGIE ACOUSTIQUE</w:t>
      </w:r>
    </w:p>
    <w:p>
      <w:pPr>
        <w:pStyle w:val="Heading2"/>
        <w:pBdr>
          <w:bottom w:val="single" w:color="2E75B6" w:sz="4" w:space="1"/>
        </w:pBdr>
        <w:spacing w:after="160" w:before="280"/>
      </w:pPr>
      <w:r>
        <w:rPr>
          <w:rFonts w:ascii="Arial" w:cs="Arial" w:eastAsia="Arial" w:hAnsi="Arial"/>
          <w:b/>
          <w:bCs/>
          <w:color w:val="2E75B6"/>
          <w:sz w:val="26"/>
          <w:szCs w:val="26"/>
        </w:rPr>
        <w:t xml:space="preserve">5.1 Réponse impulsionnelle de salle (RIR)</w:t>
      </w:r>
    </w:p>
    <w:p>
      <w:pPr>
        <w:spacing w:after="160"/>
        <w:jc w:val="both"/>
      </w:pPr>
      <w:r>
        <w:rPr>
          <w:rFonts w:ascii="Arial" w:cs="Arial" w:eastAsia="Arial" w:hAnsi="Arial"/>
          <w:color w:val="000000"/>
          <w:sz w:val="22"/>
          <w:szCs w:val="22"/>
        </w:rPr>
        <w:t xml:space="preserve">La réponse impulsionnelle (Room Impulse Response, RIR) est la signature acoustique complète d'une salle pour une paire source/récepteur donnée. Elle contient toute l'information nécessaire au calcul des paramètres ISO 3382.</w:t>
      </w:r>
    </w:p>
    <w:p>
      <w:pPr>
        <w:pStyle w:val="Heading3"/>
        <w:spacing w:after="120" w:before="200"/>
      </w:pPr>
      <w:r>
        <w:rPr>
          <w:rFonts w:ascii="Arial" w:cs="Arial" w:eastAsia="Arial" w:hAnsi="Arial"/>
          <w:b/>
          <w:bCs/>
          <w:color w:val="2E4057"/>
          <w:sz w:val="24"/>
          <w:szCs w:val="24"/>
        </w:rPr>
        <w:t xml:space="preserve">5.1.1 Méthodes de mesure</w:t>
      </w:r>
    </w:p>
    <w:p>
      <w:pPr>
        <w:pStyle w:val="ListParagraph"/>
        <w:numPr>
          <w:ilvl w:val="0"/>
          <w:numId w:val="2"/>
        </w:numPr>
        <w:spacing w:after="80"/>
      </w:pPr>
      <w:r>
        <w:rPr>
          <w:rFonts w:ascii="Arial" w:cs="Arial" w:eastAsia="Arial" w:hAnsi="Arial"/>
          <w:color w:val="000000"/>
          <w:sz w:val="22"/>
          <w:szCs w:val="22"/>
        </w:rPr>
        <w:t xml:space="preserve">Swept Sine (chirp exponentiel) : balayage sinusoïdal. Déconvolution par corrélation avec le chirp inverse. Excellente dynamique, robuste aux non-linéarités (séparation harmoniques). Méthode recommandée (Farina 2000, ISO 18233).</w:t>
      </w:r>
    </w:p>
    <w:p>
      <w:pPr>
        <w:pStyle w:val="ListParagraph"/>
        <w:numPr>
          <w:ilvl w:val="0"/>
          <w:numId w:val="2"/>
        </w:numPr>
        <w:spacing w:after="80"/>
      </w:pPr>
      <w:r>
        <w:rPr>
          <w:rFonts w:ascii="Arial" w:cs="Arial" w:eastAsia="Arial" w:hAnsi="Arial"/>
          <w:color w:val="000000"/>
          <w:sz w:val="22"/>
          <w:szCs w:val="22"/>
        </w:rPr>
        <w:t xml:space="preserve">MLS (Maximum Length Sequence) : séquence pseudo-aléatoire binaire. Déconvolution par corrélation croisée. Bonne immunité au bruit, rapide. Sensible aux non-linéarités et aux variations temporelles (risque d'artefacts avec sources à HP).</w:t>
      </w:r>
    </w:p>
    <w:p>
      <w:pPr>
        <w:pStyle w:val="ListParagraph"/>
        <w:numPr>
          <w:ilvl w:val="0"/>
          <w:numId w:val="2"/>
        </w:numPr>
        <w:spacing w:after="80"/>
      </w:pPr>
      <w:r>
        <w:rPr>
          <w:rFonts w:ascii="Arial" w:cs="Arial" w:eastAsia="Arial" w:hAnsi="Arial"/>
          <w:color w:val="000000"/>
          <w:sz w:val="22"/>
          <w:szCs w:val="22"/>
        </w:rPr>
        <w:t xml:space="preserve">Ballon de baudruche crevé / pistolet : impulsion approchée. Très pratique sur le terrain. Dynamique limitée (~40 dB max) — suffisant pour T60 approximatif uniquement.</w:t>
      </w:r>
    </w:p>
    <w:p>
      <w:pPr>
        <w:pStyle w:val="ListParagraph"/>
        <w:numPr>
          <w:ilvl w:val="0"/>
          <w:numId w:val="2"/>
        </w:numPr>
        <w:spacing w:after="80"/>
      </w:pPr>
      <w:r>
        <w:rPr>
          <w:rFonts w:ascii="Arial" w:cs="Arial" w:eastAsia="Arial" w:hAnsi="Arial"/>
          <w:color w:val="000000"/>
          <w:sz w:val="22"/>
          <w:szCs w:val="22"/>
        </w:rPr>
        <w:t xml:space="preserve">Source omnidirectionnelle normalisée ISO 3382 : enceinte dodécaédrique calibrée en puissance acoustique.</w:t>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Pour des mesures conformes ISO 3382 (T20, T30, EDT, C80, G, IACC), le swept sine avec source dodécaédrique calibrée est obligatoire. Le ballon ou pistolet ne permet de mesurer que T60 (approximatif) et non les autres paramètres. La dynamique minimale requise est ≥ 45 dB pour T30.</w:t>
      </w:r>
    </w:p>
    <w:p>
      <w:pPr>
        <w:pStyle w:val="Heading3"/>
        <w:spacing w:after="120" w:before="200"/>
      </w:pPr>
      <w:r>
        <w:rPr>
          <w:rFonts w:ascii="Arial" w:cs="Arial" w:eastAsia="Arial" w:hAnsi="Arial"/>
          <w:b/>
          <w:bCs/>
          <w:color w:val="2E4057"/>
          <w:sz w:val="24"/>
          <w:szCs w:val="24"/>
        </w:rPr>
        <w:t xml:space="preserve">5.1.2 Courbe de Schroeder</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E(t) = ∫_t^∞ p²(τ) dτ    →    L_E(t) = 10 × log₁₀ [E(t) / E(0)]   [dB]</w:t>
      </w:r>
    </w:p>
    <w:p>
      <w:pPr>
        <w:shd w:fill="D6EAD8" w:val="clear"/>
        <w:spacing w:after="80" w:before="80"/>
        <w:ind w:left="360" w:right="360"/>
      </w:pPr>
      <w:r>
        <w:rPr>
          <w:rFonts w:ascii="Arial" w:cs="Arial" w:eastAsia="Arial" w:hAnsi="Arial"/>
          <w:b/>
          <w:bCs/>
          <w:color w:val="1E5C2E"/>
          <w:sz w:val="20"/>
          <w:szCs w:val="20"/>
        </w:rPr>
        <w:t xml:space="preserve">✓ VÉRIFIÉ  </w:t>
      </w:r>
      <w:r>
        <w:rPr>
          <w:rFonts w:ascii="Arial" w:cs="Arial" w:eastAsia="Arial" w:hAnsi="Arial"/>
          <w:color w:val="1E5C2E"/>
          <w:sz w:val="20"/>
          <w:szCs w:val="20"/>
        </w:rPr>
        <w:t xml:space="preserve">Formule vérifiée. Conforme à Schroeder (1965) 'New method for measuring reverberation time', JASA 37. Intégration à rebours (backward integration) pour obtenir une décroissance monotone.</w:t>
      </w:r>
    </w:p>
    <w:p>
      <w:pPr>
        <w:pStyle w:val="Heading3"/>
        <w:spacing w:after="120" w:before="200"/>
      </w:pPr>
      <w:r>
        <w:rPr>
          <w:rFonts w:ascii="Arial" w:cs="Arial" w:eastAsia="Arial" w:hAnsi="Arial"/>
          <w:b/>
          <w:bCs/>
          <w:color w:val="2E4057"/>
          <w:sz w:val="24"/>
          <w:szCs w:val="24"/>
        </w:rPr>
        <w:t xml:space="preserve">5.1.3 Équipement de mesure</w:t>
      </w:r>
    </w:p>
    <w:p>
      <w:pPr>
        <w:pStyle w:val="ListParagraph"/>
        <w:numPr>
          <w:ilvl w:val="0"/>
          <w:numId w:val="2"/>
        </w:numPr>
        <w:spacing w:after="80"/>
      </w:pPr>
      <w:r>
        <w:rPr>
          <w:rFonts w:ascii="Arial" w:cs="Arial" w:eastAsia="Arial" w:hAnsi="Arial"/>
          <w:color w:val="000000"/>
          <w:sz w:val="22"/>
          <w:szCs w:val="22"/>
        </w:rPr>
        <w:t xml:space="preserve">Microphone de mesure omnidirectionnel (classe 1, IEC 61672) pour paramètres mono.</w:t>
      </w:r>
    </w:p>
    <w:p>
      <w:pPr>
        <w:pStyle w:val="ListParagraph"/>
        <w:numPr>
          <w:ilvl w:val="0"/>
          <w:numId w:val="2"/>
        </w:numPr>
        <w:spacing w:after="80"/>
      </w:pPr>
      <w:r>
        <w:rPr>
          <w:rFonts w:ascii="Arial" w:cs="Arial" w:eastAsia="Arial" w:hAnsi="Arial"/>
          <w:color w:val="000000"/>
          <w:sz w:val="22"/>
          <w:szCs w:val="22"/>
        </w:rPr>
        <w:t xml:space="preserve">Tête artificielle binaurale (KEMAR, Neumann KU 100) pour IACC, BQI et STI binaural.</w:t>
      </w:r>
    </w:p>
    <w:p>
      <w:pPr>
        <w:pStyle w:val="ListParagraph"/>
        <w:numPr>
          <w:ilvl w:val="0"/>
          <w:numId w:val="2"/>
        </w:numPr>
        <w:spacing w:after="80"/>
      </w:pPr>
      <w:r>
        <w:rPr>
          <w:rFonts w:ascii="Arial" w:cs="Arial" w:eastAsia="Arial" w:hAnsi="Arial"/>
          <w:color w:val="000000"/>
          <w:sz w:val="22"/>
          <w:szCs w:val="22"/>
        </w:rPr>
        <w:t xml:space="preserve">Interface audio 24 bits / 48 kHz minimum — dynamique et résolution suffisantes.</w:t>
      </w:r>
    </w:p>
    <w:p>
      <w:pPr>
        <w:pStyle w:val="ListParagraph"/>
        <w:numPr>
          <w:ilvl w:val="0"/>
          <w:numId w:val="2"/>
        </w:numPr>
        <w:spacing w:after="80"/>
      </w:pPr>
      <w:r>
        <w:rPr>
          <w:rFonts w:ascii="Arial" w:cs="Arial" w:eastAsia="Arial" w:hAnsi="Arial"/>
          <w:color w:val="000000"/>
          <w:sz w:val="22"/>
          <w:szCs w:val="22"/>
        </w:rPr>
        <w:t xml:space="preserve">Logiciels gratuits : REW (Room EQ Wizard), ARTA, Aurora for Audacity.</w:t>
      </w:r>
    </w:p>
    <w:p>
      <w:pPr>
        <w:pStyle w:val="ListParagraph"/>
        <w:numPr>
          <w:ilvl w:val="0"/>
          <w:numId w:val="2"/>
        </w:numPr>
        <w:spacing w:after="80"/>
      </w:pPr>
      <w:r>
        <w:rPr>
          <w:rFonts w:ascii="Arial" w:cs="Arial" w:eastAsia="Arial" w:hAnsi="Arial"/>
          <w:color w:val="000000"/>
          <w:sz w:val="22"/>
          <w:szCs w:val="22"/>
        </w:rPr>
        <w:t xml:space="preserve">Logiciels professionnels : EASERA, WinMLS, IRIS (Brüel &amp; Kjær).</w:t>
      </w:r>
    </w:p>
    <w:p>
      <w:pPr>
        <w:pStyle w:val="Heading2"/>
        <w:pBdr>
          <w:bottom w:val="single" w:color="2E75B6" w:sz="4" w:space="1"/>
        </w:pBdr>
        <w:spacing w:after="160" w:before="280"/>
      </w:pPr>
      <w:r>
        <w:rPr>
          <w:rFonts w:ascii="Arial" w:cs="Arial" w:eastAsia="Arial" w:hAnsi="Arial"/>
          <w:b/>
          <w:bCs/>
          <w:color w:val="2E75B6"/>
          <w:sz w:val="26"/>
          <w:szCs w:val="26"/>
        </w:rPr>
        <w:t xml:space="preserve">5.2 Protocole de mesure ISO 3382</w:t>
      </w:r>
    </w:p>
    <w:p>
      <w:pPr>
        <w:pStyle w:val="ListParagraph"/>
        <w:numPr>
          <w:ilvl w:val="0"/>
          <w:numId w:val="3"/>
        </w:numPr>
        <w:spacing w:after="80"/>
      </w:pPr>
      <w:r>
        <w:rPr>
          <w:rFonts w:ascii="Arial" w:cs="Arial" w:eastAsia="Arial" w:hAnsi="Arial"/>
          <w:color w:val="000000"/>
          <w:sz w:val="22"/>
          <w:szCs w:val="22"/>
        </w:rPr>
        <w:t xml:space="preserve">Positions de source : minimum 2 (ISO 3382-1 concert) ou 1 centrale (ISO 3382-2).</w:t>
      </w:r>
    </w:p>
    <w:p>
      <w:pPr>
        <w:pStyle w:val="ListParagraph"/>
        <w:numPr>
          <w:ilvl w:val="0"/>
          <w:numId w:val="3"/>
        </w:numPr>
        <w:spacing w:after="80"/>
      </w:pPr>
      <w:r>
        <w:rPr>
          <w:rFonts w:ascii="Arial" w:cs="Arial" w:eastAsia="Arial" w:hAnsi="Arial"/>
          <w:color w:val="000000"/>
          <w:sz w:val="22"/>
          <w:szCs w:val="22"/>
        </w:rPr>
        <w:t xml:space="preserve">Positions de microphone : minimum 6 positions en salle, réparties uniformément. Éviter les positions proches des parois (distance &gt; λ_min/2).</w:t>
      </w:r>
    </w:p>
    <w:p>
      <w:pPr>
        <w:pStyle w:val="ListParagraph"/>
        <w:numPr>
          <w:ilvl w:val="0"/>
          <w:numId w:val="3"/>
        </w:numPr>
        <w:spacing w:after="80"/>
      </w:pPr>
      <w:r>
        <w:rPr>
          <w:rFonts w:ascii="Arial" w:cs="Arial" w:eastAsia="Arial" w:hAnsi="Arial"/>
          <w:color w:val="000000"/>
          <w:sz w:val="22"/>
          <w:szCs w:val="22"/>
        </w:rPr>
        <w:t xml:space="preserve">Résolution fréquentielle : octave de 63 Hz à 8 kHz pour T20/T30 ; tiers d'octave pour analyses fines.</w:t>
      </w:r>
    </w:p>
    <w:p>
      <w:pPr>
        <w:pStyle w:val="ListParagraph"/>
        <w:numPr>
          <w:ilvl w:val="0"/>
          <w:numId w:val="3"/>
        </w:numPr>
        <w:spacing w:after="80"/>
      </w:pPr>
      <w:r>
        <w:rPr>
          <w:rFonts w:ascii="Arial" w:cs="Arial" w:eastAsia="Arial" w:hAnsi="Arial"/>
          <w:color w:val="000000"/>
          <w:sz w:val="22"/>
          <w:szCs w:val="22"/>
        </w:rPr>
        <w:t xml:space="preserve">Dynamique : ≥ 35 dB pour T20 ; ≥ 45 dB pour T30 (au-dessus du bruit de fond).</w:t>
      </w:r>
    </w:p>
    <w:p>
      <w:pPr>
        <w:pStyle w:val="ListParagraph"/>
        <w:numPr>
          <w:ilvl w:val="0"/>
          <w:numId w:val="3"/>
        </w:numPr>
        <w:spacing w:after="80"/>
      </w:pPr>
      <w:r>
        <w:rPr>
          <w:rFonts w:ascii="Arial" w:cs="Arial" w:eastAsia="Arial" w:hAnsi="Arial"/>
          <w:color w:val="000000"/>
          <w:sz w:val="22"/>
          <w:szCs w:val="22"/>
        </w:rPr>
        <w:t xml:space="preserve">Mesures en configuration occupée et inoccupée séparément, si possible.</w:t>
      </w:r>
    </w:p>
    <w:p>
      <w:pPr>
        <w:pStyle w:val="Heading2"/>
        <w:pBdr>
          <w:bottom w:val="single" w:color="2E75B6" w:sz="4" w:space="1"/>
        </w:pBdr>
        <w:spacing w:after="160" w:before="280"/>
      </w:pPr>
      <w:r>
        <w:rPr>
          <w:rFonts w:ascii="Arial" w:cs="Arial" w:eastAsia="Arial" w:hAnsi="Arial"/>
          <w:b/>
          <w:bCs/>
          <w:color w:val="2E75B6"/>
          <w:sz w:val="26"/>
          <w:szCs w:val="26"/>
        </w:rPr>
        <w:t xml:space="preserve">5.3 Speech Transmission Index (STI)</w:t>
      </w:r>
    </w:p>
    <w:p>
      <w:pPr>
        <w:spacing w:after="160"/>
        <w:jc w:val="both"/>
      </w:pPr>
      <w:r>
        <w:rPr>
          <w:rFonts w:ascii="Arial" w:cs="Arial" w:eastAsia="Arial" w:hAnsi="Arial"/>
          <w:color w:val="000000"/>
          <w:sz w:val="22"/>
          <w:szCs w:val="22"/>
        </w:rPr>
        <w:t xml:space="preserve">Le STI mesure la dégradation de la modulation du signal de parole par la salle. Il varie de 0 (incompréhensible) à 1 (intelligibilité parfaite).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STI</w:t>
            </w:r>
          </w:p>
        </w:tc>
        <w:tc>
          <w:tcPr>
            <w:tcW w:type="dxa" w:w="24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Qualification</w:t>
            </w:r>
          </w:p>
        </w:tc>
        <w:tc>
          <w:tcPr>
            <w:tcW w:type="dxa" w:w="57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Contexte typique</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0.00 – 0.30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Mauvaise (Bad)</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Grandes cathédrales, espaces T60 &gt; 4 s</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0.30 – 0.45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Médiocre (Poor)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Espaces très réverbérants</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0.45 – 0.60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Passable (Fair)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Restaurants bruyants</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0.60 – 0.75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Bonne (Good)</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Salles de classe, conférences</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0.75 – 1.00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Excellente (Excellent)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Studios radio, salles de réunion calmes</w:t>
            </w:r>
          </w:p>
        </w:tc>
      </w:tr>
    </w:tbl>
    <w:p>
      <w:pPr>
        <w:spacing w:after="100"/>
      </w:pPr>
      <w:r>
        <w:t xml:space="preserve"/>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Le STI dépend du signal source utilisé pour la mesure et du niveau de bruit de fond au moment de la mesure. Un STI mesuré en salle vide est souvent meilleur que le STI réel en conditions d'occupation (bruit du public, CVC). Pour les systèmes de sonorisation, le STI dépend aussi des réglages du système (EQ, délai, niveau). Toujours préciser les conditions de mesure dans les rapports.</w:t>
      </w:r>
    </w:p>
    <w:p>
      <w:pPr>
        <w:pStyle w:val="Heading2"/>
        <w:pBdr>
          <w:bottom w:val="single" w:color="2E75B6" w:sz="4" w:space="1"/>
        </w:pBdr>
        <w:spacing w:after="160" w:before="280"/>
      </w:pPr>
      <w:r>
        <w:rPr>
          <w:rFonts w:ascii="Arial" w:cs="Arial" w:eastAsia="Arial" w:hAnsi="Arial"/>
          <w:b/>
          <w:bCs/>
          <w:color w:val="2E75B6"/>
          <w:sz w:val="26"/>
          <w:szCs w:val="26"/>
        </w:rPr>
        <w:t xml:space="preserve">5.4 Simulation acoustique informatique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Logiciel</w:t>
            </w:r>
          </w:p>
        </w:tc>
        <w:tc>
          <w:tcPr>
            <w:tcW w:type="dxa" w:w="20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Méthode</w:t>
            </w:r>
          </w:p>
        </w:tc>
        <w:tc>
          <w:tcPr>
            <w:tcW w:type="dxa" w:w="51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Remarques</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ODEON (Danemark)</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Hybride IS + RT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Référence mondiale, auralization, ISO 3382</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CATT-Acoustic (Suède)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Ray tracing + IS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Interface graphique, auralization</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Pachyderm (open-source)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Ray tracing Monte Carlo</w:t>
            </w:r>
          </w:p>
        </w:tc>
        <w:tc>
          <w:tcPr>
            <w:tcW w:type="dxa" w:w="5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Plugin Rhinoceros, gratuit</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EASE (Allemagne)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Ray tracing + données enceintes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Optimisé systèmes électroacoustiques</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Ramsete (Italie)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Cones tracing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Gratuit, éducatif</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COMSOL Acoustics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FEM (éléments finis)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Basses fréquences, structures couplées</w:t>
            </w:r>
          </w:p>
        </w:tc>
      </w:tr>
    </w:tbl>
    <w:p>
      <w:pPr>
        <w:spacing w:after="100"/>
      </w:pPr>
      <w:r>
        <w:t xml:space="preserve"/>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Les logiciels de simulation acoustique géométrique ne sont fiables qu'au-dessus de la fréquence de Schroeder. En dessous de fs, les prédictions peuvent être très inexactes. De plus, la qualité d'une simulation dépend fortement de la précision des coefficients d'absorption et de scattering assignés aux surfaces — c'est souvent la principale source d'erreur, pas l'algorithme lui-même.</w:t>
      </w:r>
    </w:p>
    <w:p>
      <w:r>
        <w:br w:type="page"/>
      </w:r>
    </w:p>
    <w:p>
      <w:pPr>
        <w:pStyle w:val="Heading1"/>
        <w:shd w:fill="1F4E79" w:val="clear"/>
        <w:spacing w:after="240" w:before="360"/>
      </w:pPr>
      <w:r>
        <w:rPr>
          <w:rFonts w:ascii="Arial" w:cs="Arial" w:eastAsia="Arial" w:hAnsi="Arial"/>
          <w:b/>
          <w:bCs/>
          <w:color w:val="FFFFFF"/>
          <w:sz w:val="32"/>
          <w:szCs w:val="32"/>
        </w:rPr>
        <w:t xml:space="preserve">MODULE 6 — ISOLATION ACOUSTIQUE ET BRUIT DE FOND</w:t>
      </w:r>
    </w:p>
    <w:p>
      <w:pPr>
        <w:pStyle w:val="Heading2"/>
        <w:pBdr>
          <w:bottom w:val="single" w:color="2E75B6" w:sz="4" w:space="1"/>
        </w:pBdr>
        <w:spacing w:after="160" w:before="280"/>
      </w:pPr>
      <w:r>
        <w:rPr>
          <w:rFonts w:ascii="Arial" w:cs="Arial" w:eastAsia="Arial" w:hAnsi="Arial"/>
          <w:b/>
          <w:bCs/>
          <w:color w:val="2E75B6"/>
          <w:sz w:val="26"/>
          <w:szCs w:val="26"/>
        </w:rPr>
        <w:t xml:space="preserve">6.1 Isolation des bruits aériens</w:t>
      </w:r>
    </w:p>
    <w:p>
      <w:pPr>
        <w:pStyle w:val="Heading3"/>
        <w:spacing w:after="120" w:before="200"/>
      </w:pPr>
      <w:r>
        <w:rPr>
          <w:rFonts w:ascii="Arial" w:cs="Arial" w:eastAsia="Arial" w:hAnsi="Arial"/>
          <w:b/>
          <w:bCs/>
          <w:color w:val="2E4057"/>
          <w:sz w:val="24"/>
          <w:szCs w:val="24"/>
        </w:rPr>
        <w:t xml:space="preserve">6.1.1 Loi de masse (paroi simple)</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R ≈ 20 × log₁₀(m × f) − 47    [dB]    (incidence aléatoire, paroi simple)</w:t>
      </w:r>
    </w:p>
    <w:p>
      <w:pPr>
        <w:shd w:fill="D6EAD8" w:val="clear"/>
        <w:spacing w:after="80" w:before="80"/>
        <w:ind w:left="360" w:right="360"/>
      </w:pPr>
      <w:r>
        <w:rPr>
          <w:rFonts w:ascii="Arial" w:cs="Arial" w:eastAsia="Arial" w:hAnsi="Arial"/>
          <w:b/>
          <w:bCs/>
          <w:color w:val="1E5C2E"/>
          <w:sz w:val="20"/>
          <w:szCs w:val="20"/>
        </w:rPr>
        <w:t xml:space="preserve">✓ VÉRIFIÉ  </w:t>
      </w:r>
      <w:r>
        <w:rPr>
          <w:rFonts w:ascii="Arial" w:cs="Arial" w:eastAsia="Arial" w:hAnsi="Arial"/>
          <w:color w:val="1E5C2E"/>
          <w:sz w:val="20"/>
          <w:szCs w:val="20"/>
        </w:rPr>
        <w:t xml:space="preserve">Formule vérifiée. Exemples : BA13 (10 kg/m²) à 500 Hz → 20×log₁₀(5000)−47 = 74−47 = 27 dB (tables fabricants : ~28 dB ✅). Béton 15 cm (350 kg/m²) à 500 Hz → 20×log₁₀(175000)−47 = 105−47 = 58 dB (valeur réelle ~52–55 dB, légère surestimation due aux effets de coïncidence).</w:t>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La constante −47 est valable pour l'incidence aléatoire (champ diffus). Certains textes utilisent −42 (incidence normale) ou −45. La loi de masse est une simplification : elle ignore la coïncidence (chute de l'affaiblissement à fc), la rigidité, le rayonnement par les bords et les ponts phoniques. Les valeurs réelles sur chantier sont systématiquement inférieures aux valeurs calculées ou mesurées en laboratoire (flanking, joints défectueux).</w:t>
      </w:r>
    </w:p>
    <w:p>
      <w:pPr>
        <w:pStyle w:val="Heading3"/>
        <w:spacing w:after="120" w:before="200"/>
      </w:pPr>
      <w:r>
        <w:rPr>
          <w:rFonts w:ascii="Arial" w:cs="Arial" w:eastAsia="Arial" w:hAnsi="Arial"/>
          <w:b/>
          <w:bCs/>
          <w:color w:val="2E4057"/>
          <w:sz w:val="24"/>
          <w:szCs w:val="24"/>
        </w:rPr>
        <w:t xml:space="preserve">6.1.2 Parois doubles</w:t>
      </w:r>
    </w:p>
    <w:p>
      <w:pPr>
        <w:spacing w:after="160"/>
        <w:jc w:val="both"/>
      </w:pPr>
      <w:r>
        <w:rPr>
          <w:rFonts w:ascii="Arial" w:cs="Arial" w:eastAsia="Arial" w:hAnsi="Arial"/>
          <w:color w:val="000000"/>
          <w:sz w:val="22"/>
          <w:szCs w:val="22"/>
        </w:rPr>
        <w:t xml:space="preserve">Une paroi double (deux parois séparées par une lame d'air ou remplissage porous) offre un affaiblissement nettement supérieur, à condition d'éviter tout pont phonique.</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f₀ = 60 × √((m₁ + m₂) / (m₁ × m₂ × d))    [Hz]    (d en mètres)</w:t>
      </w:r>
    </w:p>
    <w:p>
      <w:pPr>
        <w:shd w:fill="D6EAD8" w:val="clear"/>
        <w:spacing w:after="80" w:before="80"/>
        <w:ind w:left="360" w:right="360"/>
      </w:pPr>
      <w:r>
        <w:rPr>
          <w:rFonts w:ascii="Arial" w:cs="Arial" w:eastAsia="Arial" w:hAnsi="Arial"/>
          <w:b/>
          <w:bCs/>
          <w:color w:val="1E5C2E"/>
          <w:sz w:val="20"/>
          <w:szCs w:val="20"/>
        </w:rPr>
        <w:t xml:space="preserve">✓ VÉRIFIÉ  </w:t>
      </w:r>
      <w:r>
        <w:rPr>
          <w:rFonts w:ascii="Arial" w:cs="Arial" w:eastAsia="Arial" w:hAnsi="Arial"/>
          <w:color w:val="1E5C2E"/>
          <w:sz w:val="20"/>
          <w:szCs w:val="20"/>
        </w:rPr>
        <w:t xml:space="preserve">Formule vérifiée. Dérivée de : f₀ = (1/2π) × √(ρ₀c² × (m₁+m₂) / (d×m₁×m₂)). Constante 60.1 à 20°C. Conforme à Kuttruff (2009) et Fahy &amp; Thompson 'Fundamentals of Sound and Vibration'.</w:t>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Certaines sources donnent une constante de ~84–85 (= √2 × 60) pour des parois doubles avec cavité entièrement fermée des deux côtés. La valeur 60 correspond au cas courant. Dans tous les cas, cette fréquence de résonance est une valeur de conception : il faut l'abaisser en dessous des fréquences cibles d'isolation (par exemple &lt; 50 Hz pour une paroi de studio). L'isolation chute à f₀ avant de remonter.</w:t>
      </w:r>
    </w:p>
    <w:p>
      <w:pPr>
        <w:pStyle w:val="Heading3"/>
        <w:spacing w:after="120" w:before="200"/>
      </w:pPr>
      <w:r>
        <w:rPr>
          <w:rFonts w:ascii="Arial" w:cs="Arial" w:eastAsia="Arial" w:hAnsi="Arial"/>
          <w:b/>
          <w:bCs/>
          <w:color w:val="2E4057"/>
          <w:sz w:val="24"/>
          <w:szCs w:val="24"/>
        </w:rPr>
        <w:t xml:space="preserve">6.1.3 Fréquence critique de coïncidence</w:t>
      </w:r>
    </w:p>
    <w:p>
      <w:pPr>
        <w:spacing w:after="160"/>
        <w:jc w:val="both"/>
      </w:pPr>
      <w:r>
        <w:rPr>
          <w:rFonts w:ascii="Arial" w:cs="Arial" w:eastAsia="Arial" w:hAnsi="Arial"/>
          <w:color w:val="000000"/>
          <w:sz w:val="22"/>
          <w:szCs w:val="22"/>
        </w:rPr>
        <w:t xml:space="preserve">Chaque paroi présente une fréquence critique fc où les ondes de flexion de la paroi coïncident avec les ondes acoustiques, créant un dip dans l'affaiblissement.</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fc = (c² / 2π) × √(ρ_s × e / B)   [Hz]    (B = rigidité en flexion, ρ_s = densité surfacique)</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Exemples :  </w:t>
      </w:r>
      <w:r>
        <w:rPr>
          <w:rFonts w:ascii="Arial" w:cs="Arial" w:eastAsia="Arial" w:hAnsi="Arial"/>
          <w:i/>
          <w:iCs/>
          <w:color w:val="444444"/>
          <w:sz w:val="21"/>
          <w:szCs w:val="21"/>
        </w:rPr>
        <w:t xml:space="preserve">Verre 4 mm : fc ≈ 3200 Hz (dans la gamme audible). Béton 15 cm : fc ≈ 130 Hz. Acier 1 mm : fc ≈ 12 000 Hz. Plaque de plâtre BA13 : fc ≈ 2500 Hz.</w:t>
      </w:r>
    </w:p>
    <w:p>
      <w:pPr>
        <w:pStyle w:val="Heading2"/>
        <w:pBdr>
          <w:bottom w:val="single" w:color="2E75B6" w:sz="4" w:space="1"/>
        </w:pBdr>
        <w:spacing w:after="160" w:before="280"/>
      </w:pPr>
      <w:r>
        <w:rPr>
          <w:rFonts w:ascii="Arial" w:cs="Arial" w:eastAsia="Arial" w:hAnsi="Arial"/>
          <w:b/>
          <w:bCs/>
          <w:color w:val="2E75B6"/>
          <w:sz w:val="26"/>
          <w:szCs w:val="26"/>
        </w:rPr>
        <w:t xml:space="preserve">6.2 Bruits de fond et courbes NC / NR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Type de local</w:t>
            </w:r>
          </w:p>
        </w:tc>
        <w:tc>
          <w:tcPr>
            <w:tcW w:type="dxa" w:w="20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Courbe NC recommandée</w:t>
            </w:r>
          </w:p>
        </w:tc>
        <w:tc>
          <w:tcPr>
            <w:tcW w:type="dxa" w:w="38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NR recommandé</w:t>
            </w:r>
          </w:p>
        </w:tc>
      </w:tr>
      <w:tr>
        <w:trPr>
          <w:tblHeader w:val="false"/>
        </w:trPr>
        <w:tc>
          <w:tcPr>
            <w:tcW w:type="dxa" w:w="3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Studio d'enregistrement haute qualité</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NC-10 à NC-15</w:t>
            </w:r>
          </w:p>
        </w:tc>
        <w:tc>
          <w:tcPr>
            <w:tcW w:type="dxa" w:w="3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NR-15</w:t>
            </w:r>
          </w:p>
        </w:tc>
      </w:tr>
      <w:tr>
        <w:trPr>
          <w:tblHeader w:val="false"/>
        </w:trPr>
        <w:tc>
          <w:tcPr>
            <w:tcW w:type="dxa" w:w="3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Salle de concert (fond de bruit naturel)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NC-15 à NC-20</w:t>
            </w:r>
          </w:p>
        </w:tc>
        <w:tc>
          <w:tcPr>
            <w:tcW w:type="dxa" w:w="3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NR-20</w:t>
            </w:r>
          </w:p>
        </w:tc>
      </w:tr>
      <w:tr>
        <w:trPr>
          <w:tblHeader w:val="false"/>
        </w:trPr>
        <w:tc>
          <w:tcPr>
            <w:tcW w:type="dxa" w:w="3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Salle de cinéma (THX)</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NC-20 à NC-25</w:t>
            </w:r>
          </w:p>
        </w:tc>
        <w:tc>
          <w:tcPr>
            <w:tcW w:type="dxa" w:w="3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NR-20</w:t>
            </w:r>
          </w:p>
        </w:tc>
      </w:tr>
      <w:tr>
        <w:trPr>
          <w:tblHeader w:val="false"/>
        </w:trPr>
        <w:tc>
          <w:tcPr>
            <w:tcW w:type="dxa" w:w="3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Salle de classe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NC-25 à NC-35</w:t>
            </w:r>
          </w:p>
        </w:tc>
        <w:tc>
          <w:tcPr>
            <w:tcW w:type="dxa" w:w="3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NR-30</w:t>
            </w:r>
          </w:p>
        </w:tc>
      </w:tr>
      <w:tr>
        <w:trPr>
          <w:tblHeader w:val="false"/>
        </w:trPr>
        <w:tc>
          <w:tcPr>
            <w:tcW w:type="dxa" w:w="3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Bureau ouvert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NC-35 à NC-45</w:t>
            </w:r>
          </w:p>
        </w:tc>
        <w:tc>
          <w:tcPr>
            <w:tcW w:type="dxa" w:w="3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NR-40</w:t>
            </w:r>
          </w:p>
        </w:tc>
      </w:tr>
      <w:tr>
        <w:trPr>
          <w:tblHeader w:val="false"/>
        </w:trPr>
        <w:tc>
          <w:tcPr>
            <w:tcW w:type="dxa" w:w="3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Restaurant / café</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NC-45 à NC-55</w:t>
            </w:r>
          </w:p>
        </w:tc>
        <w:tc>
          <w:tcPr>
            <w:tcW w:type="dxa" w:w="3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NR-50</w:t>
            </w:r>
          </w:p>
        </w:tc>
      </w:tr>
    </w:tbl>
    <w:p>
      <w:pPr>
        <w:spacing w:after="100"/>
      </w:pPr>
      <w:r>
        <w:t xml:space="preserve"/>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Les courbes NC (Beranek 1957) et NR (ISO 1996) sont deux systèmes distincts et non directement équivalents. NC évalue la gêne perçue par bandes d'octave. NR (Noise Rating) est la norme ISO et s'applique plus souvent aux exigences réglementaires européennes. Pour des spécifications contractuelles, toujours préciser quel système est utilisé et à quel(s) niveau(x) de percentile (L_Aeq, L_A90, etc.).</w:t>
      </w:r>
    </w:p>
    <w:p>
      <w:r>
        <w:br w:type="page"/>
      </w:r>
    </w:p>
    <w:p>
      <w:pPr>
        <w:pStyle w:val="Heading1"/>
        <w:shd w:fill="1F4E79" w:val="clear"/>
        <w:spacing w:after="240" w:before="360"/>
      </w:pPr>
      <w:r>
        <w:rPr>
          <w:rFonts w:ascii="Arial" w:cs="Arial" w:eastAsia="Arial" w:hAnsi="Arial"/>
          <w:b/>
          <w:bCs/>
          <w:color w:val="FFFFFF"/>
          <w:sz w:val="32"/>
          <w:szCs w:val="32"/>
        </w:rPr>
        <w:t xml:space="preserve">MODULE 7 — ÉLECTROACOUSTIQUE ET SYSTÈMES DE RENFORT SONORE</w:t>
      </w:r>
    </w:p>
    <w:p>
      <w:pPr>
        <w:pStyle w:val="Heading2"/>
        <w:pBdr>
          <w:bottom w:val="single" w:color="2E75B6" w:sz="4" w:space="1"/>
        </w:pBdr>
        <w:spacing w:after="160" w:before="280"/>
      </w:pPr>
      <w:r>
        <w:rPr>
          <w:rFonts w:ascii="Arial" w:cs="Arial" w:eastAsia="Arial" w:hAnsi="Arial"/>
          <w:b/>
          <w:bCs/>
          <w:color w:val="2E75B6"/>
          <w:sz w:val="26"/>
          <w:szCs w:val="26"/>
        </w:rPr>
        <w:t xml:space="preserve">7.1 Transducteurs électroacoustiques</w:t>
      </w:r>
    </w:p>
    <w:p>
      <w:pPr>
        <w:pStyle w:val="Heading3"/>
        <w:spacing w:after="120" w:before="200"/>
      </w:pPr>
      <w:r>
        <w:rPr>
          <w:rFonts w:ascii="Arial" w:cs="Arial" w:eastAsia="Arial" w:hAnsi="Arial"/>
          <w:b/>
          <w:bCs/>
          <w:color w:val="2E4057"/>
          <w:sz w:val="24"/>
          <w:szCs w:val="24"/>
        </w:rPr>
        <w:t xml:space="preserve">7.1.1 Microphones</w:t>
      </w:r>
    </w:p>
    <w:p>
      <w:pPr>
        <w:pStyle w:val="ListParagraph"/>
        <w:numPr>
          <w:ilvl w:val="0"/>
          <w:numId w:val="2"/>
        </w:numPr>
        <w:spacing w:after="80"/>
      </w:pPr>
      <w:r>
        <w:rPr>
          <w:rFonts w:ascii="Arial" w:cs="Arial" w:eastAsia="Arial" w:hAnsi="Arial"/>
          <w:color w:val="000000"/>
          <w:sz w:val="22"/>
          <w:szCs w:val="22"/>
        </w:rPr>
        <w:t xml:space="preserve">Dynamique (bobine mobile) : robuste, bon pour les sources très fortes. Pas d'alimentation fantôme. Réponse en fréquence moins étendue.</w:t>
      </w:r>
    </w:p>
    <w:p>
      <w:pPr>
        <w:pStyle w:val="ListParagraph"/>
        <w:numPr>
          <w:ilvl w:val="0"/>
          <w:numId w:val="2"/>
        </w:numPr>
        <w:spacing w:after="80"/>
      </w:pPr>
      <w:r>
        <w:rPr>
          <w:rFonts w:ascii="Arial" w:cs="Arial" w:eastAsia="Arial" w:hAnsi="Arial"/>
          <w:color w:val="000000"/>
          <w:sz w:val="22"/>
          <w:szCs w:val="22"/>
        </w:rPr>
        <w:t xml:space="preserve">Condensateur (capacitif) : haute sensibilité, réponse plate et étendue. Nécessite alimentation fantôme 48V. Référence pour la mesure et l'enregistrement professionnel.</w:t>
      </w:r>
    </w:p>
    <w:p>
      <w:pPr>
        <w:pStyle w:val="ListParagraph"/>
        <w:numPr>
          <w:ilvl w:val="0"/>
          <w:numId w:val="2"/>
        </w:numPr>
        <w:spacing w:after="80"/>
      </w:pPr>
      <w:r>
        <w:rPr>
          <w:rFonts w:ascii="Arial" w:cs="Arial" w:eastAsia="Arial" w:hAnsi="Arial"/>
          <w:color w:val="000000"/>
          <w:sz w:val="22"/>
          <w:szCs w:val="22"/>
        </w:rPr>
        <w:t xml:space="preserve">Ruban (ribbon) : capsule légère et naturelle. Fragile, figure-8 naturel. Très apprécié pour violons et cuivres.</w:t>
      </w:r>
    </w:p>
    <w:p>
      <w:pPr>
        <w:pStyle w:val="ListParagraph"/>
        <w:numPr>
          <w:ilvl w:val="0"/>
          <w:numId w:val="2"/>
        </w:numPr>
        <w:spacing w:after="80"/>
      </w:pPr>
      <w:r>
        <w:rPr>
          <w:rFonts w:ascii="Arial" w:cs="Arial" w:eastAsia="Arial" w:hAnsi="Arial"/>
          <w:color w:val="000000"/>
          <w:sz w:val="22"/>
          <w:szCs w:val="22"/>
        </w:rPr>
        <w:t xml:space="preserve">Électret : condensateur avec charge permanente. Miniature et économique. Lavalier, headset, mesure grand public.</w:t>
      </w:r>
    </w:p>
    <w:p>
      <w:pPr>
        <w:pStyle w:val="Heading3"/>
        <w:spacing w:after="120" w:before="200"/>
      </w:pPr>
      <w:r>
        <w:rPr>
          <w:rFonts w:ascii="Arial" w:cs="Arial" w:eastAsia="Arial" w:hAnsi="Arial"/>
          <w:b/>
          <w:bCs/>
          <w:color w:val="2E4057"/>
          <w:sz w:val="24"/>
          <w:szCs w:val="24"/>
        </w:rPr>
        <w:t xml:space="preserve">7.1.2 Directivité des microphones</w:t>
      </w:r>
    </w:p>
    <w:p>
      <w:pPr>
        <w:pStyle w:val="ListParagraph"/>
        <w:numPr>
          <w:ilvl w:val="0"/>
          <w:numId w:val="2"/>
        </w:numPr>
        <w:spacing w:after="80"/>
      </w:pPr>
      <w:r>
        <w:rPr>
          <w:rFonts w:ascii="Arial" w:cs="Arial" w:eastAsia="Arial" w:hAnsi="Arial"/>
          <w:color w:val="000000"/>
          <w:sz w:val="22"/>
          <w:szCs w:val="22"/>
        </w:rPr>
        <w:t xml:space="preserve">Omnidirectionnel : sensibilité uniforme dans toutes les directions. Aucun effet de proximité (pas de Bass Proximity Effect).</w:t>
      </w:r>
    </w:p>
    <w:p>
      <w:pPr>
        <w:pStyle w:val="ListParagraph"/>
        <w:numPr>
          <w:ilvl w:val="0"/>
          <w:numId w:val="2"/>
        </w:numPr>
        <w:spacing w:after="80"/>
      </w:pPr>
      <w:r>
        <w:rPr>
          <w:rFonts w:ascii="Arial" w:cs="Arial" w:eastAsia="Arial" w:hAnsi="Arial"/>
          <w:color w:val="000000"/>
          <w:sz w:val="22"/>
          <w:szCs w:val="22"/>
        </w:rPr>
        <w:t xml:space="preserve">Cardioïde : sensibilité maximale à 0°, nulle à 180°. Standard de la prise de son.</w:t>
      </w:r>
    </w:p>
    <w:p>
      <w:pPr>
        <w:pStyle w:val="ListParagraph"/>
        <w:numPr>
          <w:ilvl w:val="0"/>
          <w:numId w:val="2"/>
        </w:numPr>
        <w:spacing w:after="80"/>
      </w:pPr>
      <w:r>
        <w:rPr>
          <w:rFonts w:ascii="Arial" w:cs="Arial" w:eastAsia="Arial" w:hAnsi="Arial"/>
          <w:color w:val="000000"/>
          <w:sz w:val="22"/>
          <w:szCs w:val="22"/>
        </w:rPr>
        <w:t xml:space="preserve">Supercardioïde / Hypercardioïde : rejet latéral maximal, légère sensibilité à l'arrière.</w:t>
      </w:r>
    </w:p>
    <w:p>
      <w:pPr>
        <w:pStyle w:val="ListParagraph"/>
        <w:numPr>
          <w:ilvl w:val="0"/>
          <w:numId w:val="2"/>
        </w:numPr>
        <w:spacing w:after="80"/>
      </w:pPr>
      <w:r>
        <w:rPr>
          <w:rFonts w:ascii="Arial" w:cs="Arial" w:eastAsia="Arial" w:hAnsi="Arial"/>
          <w:color w:val="000000"/>
          <w:sz w:val="22"/>
          <w:szCs w:val="22"/>
        </w:rPr>
        <w:t xml:space="preserve">Figure-8 (bidirectionnel) : sensibilité à 0° et 180°, nulle à ±90°. Utilisé en stéréo M/S.</w:t>
      </w:r>
    </w:p>
    <w:p>
      <w:pPr>
        <w:pStyle w:val="ListParagraph"/>
        <w:numPr>
          <w:ilvl w:val="0"/>
          <w:numId w:val="2"/>
        </w:numPr>
        <w:spacing w:after="80"/>
      </w:pPr>
      <w:r>
        <w:rPr>
          <w:rFonts w:ascii="Arial" w:cs="Arial" w:eastAsia="Arial" w:hAnsi="Arial"/>
          <w:color w:val="000000"/>
          <w:sz w:val="22"/>
          <w:szCs w:val="22"/>
        </w:rPr>
        <w:t xml:space="preserve">Lobar / Fusil (shotgun) : très directif, tube en antenne. Utilisé en cinéma, ENG.</w:t>
      </w:r>
    </w:p>
    <w:p>
      <w:pPr>
        <w:pStyle w:val="Heading3"/>
        <w:spacing w:after="120" w:before="200"/>
      </w:pPr>
      <w:r>
        <w:rPr>
          <w:rFonts w:ascii="Arial" w:cs="Arial" w:eastAsia="Arial" w:hAnsi="Arial"/>
          <w:b/>
          <w:bCs/>
          <w:color w:val="2E4057"/>
          <w:sz w:val="24"/>
          <w:szCs w:val="24"/>
        </w:rPr>
        <w:t xml:space="preserve">7.1.3 Haut-parleurs — paramètres clés</w:t>
      </w:r>
    </w:p>
    <w:p>
      <w:pPr>
        <w:pStyle w:val="ListParagraph"/>
        <w:numPr>
          <w:ilvl w:val="0"/>
          <w:numId w:val="2"/>
        </w:numPr>
        <w:spacing w:after="80"/>
      </w:pPr>
      <w:r>
        <w:rPr>
          <w:rFonts w:ascii="Arial" w:cs="Arial" w:eastAsia="Arial" w:hAnsi="Arial"/>
          <w:color w:val="000000"/>
          <w:sz w:val="22"/>
          <w:szCs w:val="22"/>
        </w:rPr>
        <w:t xml:space="preserve">Sensibilité : niveau SPL à 1 m pour 1 W d'entrée [dB/W/m]. Typiquement 90–100 dB.</w:t>
      </w:r>
    </w:p>
    <w:p>
      <w:pPr>
        <w:pStyle w:val="ListParagraph"/>
        <w:numPr>
          <w:ilvl w:val="0"/>
          <w:numId w:val="2"/>
        </w:numPr>
        <w:spacing w:after="80"/>
      </w:pPr>
      <w:r>
        <w:rPr>
          <w:rFonts w:ascii="Arial" w:cs="Arial" w:eastAsia="Arial" w:hAnsi="Arial"/>
          <w:color w:val="000000"/>
          <w:sz w:val="22"/>
          <w:szCs w:val="22"/>
        </w:rPr>
        <w:t xml:space="preserve">Directivité Q et DI (Directivity Index) : Q = puissance totale / puissance dans l'axe. DI = 10×log₁₀(Q) [dB].</w:t>
      </w:r>
    </w:p>
    <w:p>
      <w:pPr>
        <w:pStyle w:val="ListParagraph"/>
        <w:numPr>
          <w:ilvl w:val="0"/>
          <w:numId w:val="2"/>
        </w:numPr>
        <w:spacing w:after="80"/>
      </w:pPr>
      <w:r>
        <w:rPr>
          <w:rFonts w:ascii="Arial" w:cs="Arial" w:eastAsia="Arial" w:hAnsi="Arial"/>
          <w:color w:val="000000"/>
          <w:sz w:val="22"/>
          <w:szCs w:val="22"/>
        </w:rPr>
        <w:t xml:space="preserve">Angle de couverture : angle à −6 dB (convention standard), en horizontal et vertical.</w:t>
      </w:r>
    </w:p>
    <w:p>
      <w:pPr>
        <w:pStyle w:val="ListParagraph"/>
        <w:numPr>
          <w:ilvl w:val="0"/>
          <w:numId w:val="2"/>
        </w:numPr>
        <w:spacing w:after="80"/>
      </w:pPr>
      <w:r>
        <w:rPr>
          <w:rFonts w:ascii="Arial" w:cs="Arial" w:eastAsia="Arial" w:hAnsi="Arial"/>
          <w:color w:val="000000"/>
          <w:sz w:val="22"/>
          <w:szCs w:val="22"/>
        </w:rPr>
        <w:t xml:space="preserve">Types : enceinte à pavillon (horn) : haute efficacité et directivité contrôlée. Colonne sonore : faisceau cylindrique vertical contrôlé. Subwoofer : fréquences &lt; 150 Hz.</w:t>
      </w:r>
    </w:p>
    <w:p>
      <w:pPr>
        <w:pStyle w:val="Heading2"/>
        <w:pBdr>
          <w:bottom w:val="single" w:color="2E75B6" w:sz="4" w:space="1"/>
        </w:pBdr>
        <w:spacing w:after="160" w:before="280"/>
      </w:pPr>
      <w:r>
        <w:rPr>
          <w:rFonts w:ascii="Arial" w:cs="Arial" w:eastAsia="Arial" w:hAnsi="Arial"/>
          <w:b/>
          <w:bCs/>
          <w:color w:val="2E75B6"/>
          <w:sz w:val="26"/>
          <w:szCs w:val="26"/>
        </w:rPr>
        <w:t xml:space="preserve">7.2 Systèmes de sonorisation en salle</w:t>
      </w:r>
    </w:p>
    <w:p>
      <w:pPr>
        <w:pStyle w:val="Heading3"/>
        <w:spacing w:after="120" w:before="200"/>
      </w:pPr>
      <w:r>
        <w:rPr>
          <w:rFonts w:ascii="Arial" w:cs="Arial" w:eastAsia="Arial" w:hAnsi="Arial"/>
          <w:b/>
          <w:bCs/>
          <w:color w:val="2E4057"/>
          <w:sz w:val="24"/>
          <w:szCs w:val="24"/>
        </w:rPr>
        <w:t xml:space="preserve">7.2.1 Point source vs Line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Critère</w:t>
            </w:r>
          </w:p>
        </w:tc>
        <w:tc>
          <w:tcPr>
            <w:tcW w:type="dxa" w:w="30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Point Source / Cluster</w:t>
            </w:r>
          </w:p>
        </w:tc>
        <w:tc>
          <w:tcPr>
            <w:tcW w:type="dxa" w:w="35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Line Array</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Décroissance SPL</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6 dB par doublement de distance (champ sphérique)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Idéalement 3 dB (champ cylindrique) si réseau &gt; 3 m de hauteur</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Couverture verticale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Contrôlée par les pavillons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Contrôle précis par courbure et délai (J-array)</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Intelligibilité</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Bonne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Très bonne (bas niveau réverbérant dans le plan vertical)</w:t>
            </w:r>
          </w:p>
        </w:tc>
      </w:tr>
      <w:tr>
        <w:trPr>
          <w:tblHeader w:val="false"/>
        </w:trPr>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Usage recommandé</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Petites/moyennes salles (&lt;1500 pl.)</w:t>
            </w:r>
          </w:p>
        </w:tc>
        <w:tc>
          <w:tcPr>
            <w:tcW w:type="dxa" w:w="3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Grandes salles, arènes, stades, espaces polyvalents</w:t>
            </w:r>
          </w:p>
        </w:tc>
      </w:tr>
    </w:tbl>
    <w:p>
      <w:pPr>
        <w:spacing w:after="100"/>
      </w:pPr>
      <w:r>
        <w:t xml:space="preserve"/>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La décroissance cylindrique (3 dB/doublement) du line array n'est vraie que dans le champ proche du réseau et uniquement dans le plan vertical de propagation du faisceau. En pratique, la décroissance réelle se situe entre 3 et 6 dB/doublement selon les conditions. Ne jamais garantir 3 dB sans simulation préalable (EASE, ArrayCalc, VerTec Line Array Calculator...).</w:t>
      </w:r>
    </w:p>
    <w:p>
      <w:pPr>
        <w:pStyle w:val="Heading3"/>
        <w:spacing w:after="120" w:before="200"/>
      </w:pPr>
      <w:r>
        <w:rPr>
          <w:rFonts w:ascii="Arial" w:cs="Arial" w:eastAsia="Arial" w:hAnsi="Arial"/>
          <w:b/>
          <w:bCs/>
          <w:color w:val="2E4057"/>
          <w:sz w:val="24"/>
          <w:szCs w:val="24"/>
        </w:rPr>
        <w:t xml:space="preserve">7.2.2 Alignement temporel et délais</w:t>
      </w:r>
    </w:p>
    <w:p>
      <w:pPr>
        <w:spacing w:after="160"/>
        <w:jc w:val="both"/>
      </w:pPr>
      <w:r>
        <w:rPr>
          <w:rFonts w:ascii="Arial" w:cs="Arial" w:eastAsia="Arial" w:hAnsi="Arial"/>
          <w:color w:val="000000"/>
          <w:sz w:val="22"/>
          <w:szCs w:val="22"/>
        </w:rPr>
        <w:t xml:space="preserve">Dans toute salle avec enceintes auxiliaires (delays, fills), l'alignement temporel est impératif pour respecter l'effet Haas.</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t_delay = (d₂ − d₁) / c  +  t_préférence    [ms]</w:t>
      </w:r>
    </w:p>
    <w:p>
      <w:pPr>
        <w:spacing w:after="160"/>
        <w:jc w:val="both"/>
      </w:pPr>
      <w:r>
        <w:rPr>
          <w:rFonts w:ascii="Arial" w:cs="Arial" w:eastAsia="Arial" w:hAnsi="Arial"/>
          <w:color w:val="000000"/>
          <w:sz w:val="22"/>
          <w:szCs w:val="22"/>
        </w:rPr>
        <w:t xml:space="preserve">Où d₁ = distance source principale → auditeur, d₂ = distance enceinte auxiliaire → auditeur. t_préférence = 5 à 20 ms de marge de préférence Haas.</w:t>
      </w:r>
    </w:p>
    <w:p>
      <w:pPr>
        <w:shd w:fill="D6EAD8" w:val="clear"/>
        <w:spacing w:after="80" w:before="80"/>
        <w:ind w:left="360" w:right="360"/>
      </w:pPr>
      <w:r>
        <w:rPr>
          <w:rFonts w:ascii="Arial" w:cs="Arial" w:eastAsia="Arial" w:hAnsi="Arial"/>
          <w:b/>
          <w:bCs/>
          <w:color w:val="1E5C2E"/>
          <w:sz w:val="20"/>
          <w:szCs w:val="20"/>
        </w:rPr>
        <w:t xml:space="preserve">✓ VÉRIFIÉ  </w:t>
      </w:r>
      <w:r>
        <w:rPr>
          <w:rFonts w:ascii="Arial" w:cs="Arial" w:eastAsia="Arial" w:hAnsi="Arial"/>
          <w:color w:val="1E5C2E"/>
          <w:sz w:val="20"/>
          <w:szCs w:val="20"/>
        </w:rPr>
        <w:t xml:space="preserve">Formule vérifiée. Conforme à la pratique standard de sonorisation (Davis &amp; Patronis, 'Sound System Engineering', 4th ed.).</w:t>
      </w:r>
    </w:p>
    <w:p>
      <w:pPr>
        <w:pStyle w:val="Heading3"/>
        <w:spacing w:after="120" w:before="200"/>
      </w:pPr>
      <w:r>
        <w:rPr>
          <w:rFonts w:ascii="Arial" w:cs="Arial" w:eastAsia="Arial" w:hAnsi="Arial"/>
          <w:b/>
          <w:bCs/>
          <w:color w:val="2E4057"/>
          <w:sz w:val="24"/>
          <w:szCs w:val="24"/>
        </w:rPr>
        <w:t xml:space="preserve">7.2.3 Gain Before Feedback (GBF) — simplification</w:t>
      </w:r>
    </w:p>
    <w:p>
      <w:pPr>
        <w:spacing w:after="160"/>
        <w:jc w:val="both"/>
      </w:pPr>
      <w:r>
        <w:rPr>
          <w:rFonts w:ascii="Arial" w:cs="Arial" w:eastAsia="Arial" w:hAnsi="Arial"/>
          <w:color w:val="000000"/>
          <w:sz w:val="22"/>
          <w:szCs w:val="22"/>
        </w:rPr>
        <w:t xml:space="preserve">Le GBF est le niveau maximal atteignable avant larsen (feedback). Il dépend de la distance micro-source, de la distance micro-enceinte, de la directivité du micro et du haut-parleur, du T60 de la salle et du traitement DSP.</w:t>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Il n'existe pas de formule simple fiable pour calculer le GBF dans une configuration réelle. Les formules simplifiées circulant dans la littérature pédagogique (basées uniquement sur des rapports de distances) ignorent la directivité des transducteurs, le niveau de réverbération et le traitement DSP. En pratique, le GBF se mesure et se maximise par : (1) microphones directifs orientés à l'opposé des enceintes, (2) égalisation des fréquences de résonance du système, (3) traitement 'feedback destroyer', (4) positionnement optimal.</w:t>
      </w:r>
    </w:p>
    <w:p>
      <w:pPr>
        <w:pStyle w:val="Heading2"/>
        <w:pBdr>
          <w:bottom w:val="single" w:color="2E75B6" w:sz="4" w:space="1"/>
        </w:pBdr>
        <w:spacing w:after="160" w:before="280"/>
      </w:pPr>
      <w:r>
        <w:rPr>
          <w:rFonts w:ascii="Arial" w:cs="Arial" w:eastAsia="Arial" w:hAnsi="Arial"/>
          <w:b/>
          <w:bCs/>
          <w:color w:val="2E75B6"/>
          <w:sz w:val="26"/>
          <w:szCs w:val="26"/>
        </w:rPr>
        <w:t xml:space="preserve">7.3 Traitement du signal audio — Chaîne standard</w:t>
      </w:r>
    </w:p>
    <w:p>
      <w:pPr>
        <w:pStyle w:val="ListParagraph"/>
        <w:numPr>
          <w:ilvl w:val="0"/>
          <w:numId w:val="3"/>
        </w:numPr>
        <w:spacing w:after="80"/>
      </w:pPr>
      <w:r>
        <w:rPr>
          <w:rFonts w:ascii="Arial" w:cs="Arial" w:eastAsia="Arial" w:hAnsi="Arial"/>
          <w:color w:val="000000"/>
          <w:sz w:val="22"/>
          <w:szCs w:val="22"/>
        </w:rPr>
        <w:t xml:space="preserve">Préamplification et alimentation fantôme (48V).</w:t>
      </w:r>
    </w:p>
    <w:p>
      <w:pPr>
        <w:pStyle w:val="ListParagraph"/>
        <w:numPr>
          <w:ilvl w:val="0"/>
          <w:numId w:val="3"/>
        </w:numPr>
        <w:spacing w:after="80"/>
      </w:pPr>
      <w:r>
        <w:rPr>
          <w:rFonts w:ascii="Arial" w:cs="Arial" w:eastAsia="Arial" w:hAnsi="Arial"/>
          <w:color w:val="000000"/>
          <w:sz w:val="22"/>
          <w:szCs w:val="22"/>
        </w:rPr>
        <w:t xml:space="preserve">Égalisation paramétrique (EQ) : correction de la réponse en fréquence du système et de la salle.</w:t>
      </w:r>
    </w:p>
    <w:p>
      <w:pPr>
        <w:pStyle w:val="ListParagraph"/>
        <w:numPr>
          <w:ilvl w:val="0"/>
          <w:numId w:val="3"/>
        </w:numPr>
        <w:spacing w:after="80"/>
      </w:pPr>
      <w:r>
        <w:rPr>
          <w:rFonts w:ascii="Arial" w:cs="Arial" w:eastAsia="Arial" w:hAnsi="Arial"/>
          <w:color w:val="000000"/>
          <w:sz w:val="22"/>
          <w:szCs w:val="22"/>
        </w:rPr>
        <w:t xml:space="preserve">Compression / Limiteur : contrôle de la dynamique, protection des enceintes.</w:t>
      </w:r>
    </w:p>
    <w:p>
      <w:pPr>
        <w:pStyle w:val="ListParagraph"/>
        <w:numPr>
          <w:ilvl w:val="0"/>
          <w:numId w:val="3"/>
        </w:numPr>
        <w:spacing w:after="80"/>
      </w:pPr>
      <w:r>
        <w:rPr>
          <w:rFonts w:ascii="Arial" w:cs="Arial" w:eastAsia="Arial" w:hAnsi="Arial"/>
          <w:color w:val="000000"/>
          <w:sz w:val="22"/>
          <w:szCs w:val="22"/>
        </w:rPr>
        <w:t xml:space="preserve">Délai (delay) : alignement temporel, création d'effets.</w:t>
      </w:r>
    </w:p>
    <w:p>
      <w:pPr>
        <w:pStyle w:val="ListParagraph"/>
        <w:numPr>
          <w:ilvl w:val="0"/>
          <w:numId w:val="3"/>
        </w:numPr>
        <w:spacing w:after="80"/>
      </w:pPr>
      <w:r>
        <w:rPr>
          <w:rFonts w:ascii="Arial" w:cs="Arial" w:eastAsia="Arial" w:hAnsi="Arial"/>
          <w:color w:val="000000"/>
          <w:sz w:val="22"/>
          <w:szCs w:val="22"/>
        </w:rPr>
        <w:t xml:space="preserve">Réverbérateur artificiel (reverb) : ajout d'ambiance ou compensation de salle trop sèche.</w:t>
      </w:r>
    </w:p>
    <w:p>
      <w:pPr>
        <w:pStyle w:val="ListParagraph"/>
        <w:numPr>
          <w:ilvl w:val="0"/>
          <w:numId w:val="3"/>
        </w:numPr>
        <w:spacing w:after="80"/>
      </w:pPr>
      <w:r>
        <w:rPr>
          <w:rFonts w:ascii="Arial" w:cs="Arial" w:eastAsia="Arial" w:hAnsi="Arial"/>
          <w:color w:val="000000"/>
          <w:sz w:val="22"/>
          <w:szCs w:val="22"/>
        </w:rPr>
        <w:t xml:space="preserve">Processeur de haut-parleurs (DSP) : filtrage actif, crossover, correction de délai par voie, protection thermique.</w:t>
      </w:r>
    </w:p>
    <w:p>
      <w:pPr>
        <w:pStyle w:val="ListParagraph"/>
        <w:numPr>
          <w:ilvl w:val="0"/>
          <w:numId w:val="3"/>
        </w:numPr>
        <w:spacing w:after="80"/>
      </w:pPr>
      <w:r>
        <w:rPr>
          <w:rFonts w:ascii="Arial" w:cs="Arial" w:eastAsia="Arial" w:hAnsi="Arial"/>
          <w:color w:val="000000"/>
          <w:sz w:val="22"/>
          <w:szCs w:val="22"/>
        </w:rPr>
        <w:t xml:space="preserve">Ampli de puissance : conversion du signal en courant pour piloter les transducteurs.</w:t>
      </w:r>
    </w:p>
    <w:p>
      <w:r>
        <w:br w:type="page"/>
      </w:r>
    </w:p>
    <w:p>
      <w:pPr>
        <w:pStyle w:val="Heading1"/>
        <w:shd w:fill="1F4E79" w:val="clear"/>
        <w:spacing w:after="240" w:before="360"/>
      </w:pPr>
      <w:r>
        <w:rPr>
          <w:rFonts w:ascii="Arial" w:cs="Arial" w:eastAsia="Arial" w:hAnsi="Arial"/>
          <w:b/>
          <w:bCs/>
          <w:color w:val="FFFFFF"/>
          <w:sz w:val="32"/>
          <w:szCs w:val="32"/>
        </w:rPr>
        <w:t xml:space="preserve">MODULE 8 — CONCEPTION ACOUSTIQUE DES DIFFÉRENTS TYPES D'ESPACES</w:t>
      </w:r>
    </w:p>
    <w:p>
      <w:pPr>
        <w:pStyle w:val="Heading2"/>
        <w:pBdr>
          <w:bottom w:val="single" w:color="2E75B6" w:sz="4" w:space="1"/>
        </w:pBdr>
        <w:spacing w:after="160" w:before="280"/>
      </w:pPr>
      <w:r>
        <w:rPr>
          <w:rFonts w:ascii="Arial" w:cs="Arial" w:eastAsia="Arial" w:hAnsi="Arial"/>
          <w:b/>
          <w:bCs/>
          <w:color w:val="2E75B6"/>
          <w:sz w:val="26"/>
          <w:szCs w:val="26"/>
        </w:rPr>
        <w:t xml:space="preserve">8.1 Salles de concert de musique classique</w:t>
      </w:r>
    </w:p>
    <w:p>
      <w:pPr>
        <w:pStyle w:val="Heading3"/>
        <w:spacing w:after="120" w:before="200"/>
      </w:pPr>
      <w:r>
        <w:rPr>
          <w:rFonts w:ascii="Arial" w:cs="Arial" w:eastAsia="Arial" w:hAnsi="Arial"/>
          <w:b/>
          <w:bCs/>
          <w:color w:val="2E4057"/>
          <w:sz w:val="24"/>
          <w:szCs w:val="24"/>
        </w:rPr>
        <w:t xml:space="preserve">8.1.1 Critères de conception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Paramètre</w:t>
            </w:r>
          </w:p>
        </w:tc>
        <w:tc>
          <w:tcPr>
            <w:tcW w:type="dxa" w:w="20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Valeur cible</w:t>
            </w:r>
          </w:p>
        </w:tc>
        <w:tc>
          <w:tcPr>
            <w:tcW w:type="dxa" w:w="48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Commentaire</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Volume par siège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6–12 m³/siège</w:t>
            </w:r>
          </w:p>
        </w:tc>
        <w:tc>
          <w:tcPr>
            <w:tcW w:type="dxa" w:w="4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Favorise une réverbération suffisante</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T60 (500–1000 Hz, occupé)</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1.8–2.2 s (symphonique)</w:t>
            </w:r>
          </w:p>
        </w:tc>
        <w:tc>
          <w:tcPr>
            <w:tcW w:type="dxa" w:w="4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Enveloppement et chaleur</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EDT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Proche de T30 (&lt; +20%)</w:t>
            </w:r>
          </w:p>
        </w:tc>
        <w:tc>
          <w:tcPr>
            <w:tcW w:type="dxa" w:w="4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Impression de vivacité</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C80 (moyen, 500–2000 Hz)</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−2 à +2 dB</w:t>
            </w:r>
          </w:p>
        </w:tc>
        <w:tc>
          <w:tcPr>
            <w:tcW w:type="dxa" w:w="4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Balance clarté/réverbérance</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ITDG (premières loges)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&lt; 20 ms</w:t>
            </w:r>
          </w:p>
        </w:tc>
        <w:tc>
          <w:tcPr>
            <w:tcW w:type="dxa" w:w="4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Intimité acoustique</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G (strength, moyen)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4–6 dB</w:t>
            </w:r>
          </w:p>
        </w:tc>
        <w:tc>
          <w:tcPr>
            <w:tcW w:type="dxa" w:w="4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Présence et loudness</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JLF (énergie latérale)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&gt; 0.15</w:t>
            </w:r>
          </w:p>
        </w:tc>
        <w:tc>
          <w:tcPr>
            <w:tcW w:type="dxa" w:w="4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Largeur de source musicale (ASW)</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IACC_early (moyen)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&lt; 0.5</w:t>
            </w:r>
          </w:p>
        </w:tc>
        <w:tc>
          <w:tcPr>
            <w:tcW w:type="dxa" w:w="4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Diffusion et enveloppement</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Ratio largeur/hauteur (shoebox)</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~0.7–1.0</w:t>
            </w:r>
          </w:p>
        </w:tc>
        <w:tc>
          <w:tcPr>
            <w:tcW w:type="dxa" w:w="4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Favorise les réflexions latérales fortes</w:t>
            </w:r>
          </w:p>
        </w:tc>
      </w:tr>
    </w:tbl>
    <w:p>
      <w:pPr>
        <w:spacing w:after="100"/>
      </w:pPr>
      <w:r>
        <w:t xml:space="preserve"/>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Ces valeurs sont issues de Beranek (2004) 'Concert Halls and Opera Houses' et de la littérature ISO 3382. Des études récentes (Lokki et al. 2012, Pätynen et al.) montrent que la préférence subjective des auditeurs et des musiciens n'est pas toujours corrélée linéairement à ces paramètres. La qualité perçue d'une salle reste partiellement subjective et dépend du répertoire, de la formation de l'auditeur et du contexte.</w:t>
      </w:r>
    </w:p>
    <w:p>
      <w:pPr>
        <w:pStyle w:val="Heading3"/>
        <w:spacing w:after="120" w:before="200"/>
      </w:pPr>
      <w:r>
        <w:rPr>
          <w:rFonts w:ascii="Arial" w:cs="Arial" w:eastAsia="Arial" w:hAnsi="Arial"/>
          <w:b/>
          <w:bCs/>
          <w:color w:val="2E4057"/>
          <w:sz w:val="24"/>
          <w:szCs w:val="24"/>
        </w:rPr>
        <w:t xml:space="preserve">8.1.2 Formes de salles</w:t>
      </w:r>
    </w:p>
    <w:p>
      <w:pPr>
        <w:pStyle w:val="ListParagraph"/>
        <w:numPr>
          <w:ilvl w:val="0"/>
          <w:numId w:val="2"/>
        </w:numPr>
        <w:spacing w:after="80"/>
      </w:pPr>
      <w:r>
        <w:rPr>
          <w:rFonts w:ascii="Arial" w:cs="Arial" w:eastAsia="Arial" w:hAnsi="Arial"/>
          <w:color w:val="000000"/>
          <w:sz w:val="22"/>
          <w:szCs w:val="22"/>
        </w:rPr>
        <w:t xml:space="preserve">Boîte à chaussures (Shoebox) : forme rectangulaire, balcons peu profonds. Standard européen (Musikverein Vienne, Boston Symphony Hall). Excellentes réflexions latérales naturelles, fort ASW.</w:t>
      </w:r>
    </w:p>
    <w:p>
      <w:pPr>
        <w:pStyle w:val="ListParagraph"/>
        <w:numPr>
          <w:ilvl w:val="0"/>
          <w:numId w:val="2"/>
        </w:numPr>
        <w:spacing w:after="80"/>
      </w:pPr>
      <w:r>
        <w:rPr>
          <w:rFonts w:ascii="Arial" w:cs="Arial" w:eastAsia="Arial" w:hAnsi="Arial"/>
          <w:color w:val="000000"/>
          <w:sz w:val="22"/>
          <w:szCs w:val="22"/>
        </w:rPr>
        <w:t xml:space="preserve">Amphithéâtre (fan-shaped) : plus large à l'avant, sièges en éventail. Bonne visibilité mais réflexions latérales plus faibles. Correction par éléments suspendus ou murs latéraux.</w:t>
      </w:r>
    </w:p>
    <w:p>
      <w:pPr>
        <w:pStyle w:val="ListParagraph"/>
        <w:numPr>
          <w:ilvl w:val="0"/>
          <w:numId w:val="2"/>
        </w:numPr>
        <w:spacing w:after="80"/>
      </w:pPr>
      <w:r>
        <w:rPr>
          <w:rFonts w:ascii="Arial" w:cs="Arial" w:eastAsia="Arial" w:hAnsi="Arial"/>
          <w:color w:val="000000"/>
          <w:sz w:val="22"/>
          <w:szCs w:val="22"/>
        </w:rPr>
        <w:t xml:space="preserve">Vignoble (Vineyard) : terrassettes entourant l'orchestre (Berlin Philharmonie, Walt Disney Concert Hall). Enveloppement maximal, IACC très faible.</w:t>
      </w:r>
    </w:p>
    <w:p>
      <w:pPr>
        <w:pStyle w:val="ListParagraph"/>
        <w:numPr>
          <w:ilvl w:val="0"/>
          <w:numId w:val="2"/>
        </w:numPr>
        <w:spacing w:after="80"/>
      </w:pPr>
      <w:r>
        <w:rPr>
          <w:rFonts w:ascii="Arial" w:cs="Arial" w:eastAsia="Arial" w:hAnsi="Arial"/>
          <w:color w:val="000000"/>
          <w:sz w:val="22"/>
          <w:szCs w:val="22"/>
        </w:rPr>
        <w:t xml:space="preserve">En fer à cheval : traditionnel pour l'opéra (Paris Opéra Garnier, La Scala). Loges latérales réfléchissantes.</w:t>
      </w:r>
    </w:p>
    <w:p>
      <w:pPr>
        <w:pStyle w:val="Heading2"/>
        <w:pBdr>
          <w:bottom w:val="single" w:color="2E75B6" w:sz="4" w:space="1"/>
        </w:pBdr>
        <w:spacing w:after="160" w:before="280"/>
      </w:pPr>
      <w:r>
        <w:rPr>
          <w:rFonts w:ascii="Arial" w:cs="Arial" w:eastAsia="Arial" w:hAnsi="Arial"/>
          <w:b/>
          <w:bCs/>
          <w:color w:val="2E75B6"/>
          <w:sz w:val="26"/>
          <w:szCs w:val="26"/>
        </w:rPr>
        <w:t xml:space="preserve">8.2 Théâtre et opéra</w:t>
      </w:r>
    </w:p>
    <w:p>
      <w:pPr>
        <w:spacing w:after="160"/>
        <w:jc w:val="both"/>
      </w:pPr>
      <w:r>
        <w:rPr>
          <w:rFonts w:ascii="Arial" w:cs="Arial" w:eastAsia="Arial" w:hAnsi="Arial"/>
          <w:color w:val="000000"/>
          <w:sz w:val="22"/>
          <w:szCs w:val="22"/>
        </w:rPr>
        <w:t xml:space="preserve">Priorité à l'intelligibilité (T60 ≈ 1.2–1.5 s pour l'opéra). Les revêtements textiles apportent une absorption naturelle. Problème spécifique : feedback micro/enceinte dans les productions amplifiées modernes.</w:t>
      </w:r>
    </w:p>
    <w:p>
      <w:pPr>
        <w:pStyle w:val="Heading2"/>
        <w:pBdr>
          <w:bottom w:val="single" w:color="2E75B6" w:sz="4" w:space="1"/>
        </w:pBdr>
        <w:spacing w:after="160" w:before="280"/>
      </w:pPr>
      <w:r>
        <w:rPr>
          <w:rFonts w:ascii="Arial" w:cs="Arial" w:eastAsia="Arial" w:hAnsi="Arial"/>
          <w:b/>
          <w:bCs/>
          <w:color w:val="2E75B6"/>
          <w:sz w:val="26"/>
          <w:szCs w:val="26"/>
        </w:rPr>
        <w:t xml:space="preserve">8.3 Salles de conférence et auditoires</w:t>
      </w:r>
    </w:p>
    <w:p>
      <w:pPr>
        <w:spacing w:after="160"/>
        <w:jc w:val="both"/>
      </w:pPr>
      <w:r>
        <w:rPr>
          <w:rFonts w:ascii="Arial" w:cs="Arial" w:eastAsia="Arial" w:hAnsi="Arial"/>
          <w:color w:val="000000"/>
          <w:sz w:val="22"/>
          <w:szCs w:val="22"/>
        </w:rPr>
        <w:t xml:space="preserve">Priorité absolue : intelligibilité de la parole (STI &gt; 0.60). T60 court (0.4–0.8 s). Bruit de fond minimal (NC-30 max).</w:t>
      </w:r>
    </w:p>
    <w:p>
      <w:pPr>
        <w:pStyle w:val="ListParagraph"/>
        <w:numPr>
          <w:ilvl w:val="0"/>
          <w:numId w:val="2"/>
        </w:numPr>
        <w:spacing w:after="80"/>
      </w:pPr>
      <w:r>
        <w:rPr>
          <w:rFonts w:ascii="Arial" w:cs="Arial" w:eastAsia="Arial" w:hAnsi="Arial"/>
          <w:color w:val="000000"/>
          <w:sz w:val="22"/>
          <w:szCs w:val="22"/>
        </w:rPr>
        <w:t xml:space="preserve">Volume limité : &lt; 5 m³/siège pour maintenir T60 court naturellement.</w:t>
      </w:r>
    </w:p>
    <w:p>
      <w:pPr>
        <w:pStyle w:val="ListParagraph"/>
        <w:numPr>
          <w:ilvl w:val="0"/>
          <w:numId w:val="2"/>
        </w:numPr>
        <w:spacing w:after="80"/>
      </w:pPr>
      <w:r>
        <w:rPr>
          <w:rFonts w:ascii="Arial" w:cs="Arial" w:eastAsia="Arial" w:hAnsi="Arial"/>
          <w:color w:val="000000"/>
          <w:sz w:val="22"/>
          <w:szCs w:val="22"/>
        </w:rPr>
        <w:t xml:space="preserve">Traitement absorbant sur parois arrières et plafond.</w:t>
      </w:r>
    </w:p>
    <w:p>
      <w:pPr>
        <w:pStyle w:val="ListParagraph"/>
        <w:numPr>
          <w:ilvl w:val="0"/>
          <w:numId w:val="2"/>
        </w:numPr>
        <w:spacing w:after="80"/>
      </w:pPr>
      <w:r>
        <w:rPr>
          <w:rFonts w:ascii="Arial" w:cs="Arial" w:eastAsia="Arial" w:hAnsi="Arial"/>
          <w:color w:val="000000"/>
          <w:sz w:val="22"/>
          <w:szCs w:val="22"/>
        </w:rPr>
        <w:t xml:space="preserve">Éviter les grandes surfaces réfléchissantes parallèles (flutter echo).</w:t>
      </w:r>
    </w:p>
    <w:p>
      <w:pPr>
        <w:pStyle w:val="Heading2"/>
        <w:pBdr>
          <w:bottom w:val="single" w:color="2E75B6" w:sz="4" w:space="1"/>
        </w:pBdr>
        <w:spacing w:after="160" w:before="280"/>
      </w:pPr>
      <w:r>
        <w:rPr>
          <w:rFonts w:ascii="Arial" w:cs="Arial" w:eastAsia="Arial" w:hAnsi="Arial"/>
          <w:b/>
          <w:bCs/>
          <w:color w:val="2E75B6"/>
          <w:sz w:val="26"/>
          <w:szCs w:val="26"/>
        </w:rPr>
        <w:t xml:space="preserve">8.4 Studios d'enregistrement</w:t>
      </w:r>
    </w:p>
    <w:p>
      <w:pPr>
        <w:pStyle w:val="Heading3"/>
        <w:spacing w:after="120" w:before="200"/>
      </w:pPr>
      <w:r>
        <w:rPr>
          <w:rFonts w:ascii="Arial" w:cs="Arial" w:eastAsia="Arial" w:hAnsi="Arial"/>
          <w:b/>
          <w:bCs/>
          <w:color w:val="2E4057"/>
          <w:sz w:val="24"/>
          <w:szCs w:val="24"/>
        </w:rPr>
        <w:t xml:space="preserve">8.4.1 Structure</w:t>
      </w:r>
    </w:p>
    <w:p>
      <w:pPr>
        <w:pStyle w:val="ListParagraph"/>
        <w:numPr>
          <w:ilvl w:val="0"/>
          <w:numId w:val="2"/>
        </w:numPr>
        <w:spacing w:after="80"/>
      </w:pPr>
      <w:r>
        <w:rPr>
          <w:rFonts w:ascii="Arial" w:cs="Arial" w:eastAsia="Arial" w:hAnsi="Arial"/>
          <w:color w:val="000000"/>
          <w:sz w:val="22"/>
          <w:szCs w:val="22"/>
        </w:rPr>
        <w:t xml:space="preserve">Régie (Control Room) : pièce d'écoute critique. LEDE (Live End Dead End) ou RFZ (Reflection Free Zone). T60 ≈ 0.2–0.4 s. Bass traps en coins, diffuseurs arrière.</w:t>
      </w:r>
    </w:p>
    <w:p>
      <w:pPr>
        <w:pStyle w:val="ListParagraph"/>
        <w:numPr>
          <w:ilvl w:val="0"/>
          <w:numId w:val="2"/>
        </w:numPr>
        <w:spacing w:after="80"/>
      </w:pPr>
      <w:r>
        <w:rPr>
          <w:rFonts w:ascii="Arial" w:cs="Arial" w:eastAsia="Arial" w:hAnsi="Arial"/>
          <w:color w:val="000000"/>
          <w:sz w:val="22"/>
          <w:szCs w:val="22"/>
        </w:rPr>
        <w:t xml:space="preserve">Studio (Live Room) : T60 variable selon le genre. Panneaux mobiles pour ajuster l'acoustique.</w:t>
      </w:r>
    </w:p>
    <w:p>
      <w:pPr>
        <w:pStyle w:val="ListParagraph"/>
        <w:numPr>
          <w:ilvl w:val="0"/>
          <w:numId w:val="2"/>
        </w:numPr>
        <w:spacing w:after="80"/>
      </w:pPr>
      <w:r>
        <w:rPr>
          <w:rFonts w:ascii="Arial" w:cs="Arial" w:eastAsia="Arial" w:hAnsi="Arial"/>
          <w:color w:val="000000"/>
          <w:sz w:val="22"/>
          <w:szCs w:val="22"/>
        </w:rPr>
        <w:t xml:space="preserve">Vocal Booth : T60 &lt; 0.2 s. Risque de colorations modales si V &lt; 10 m³ : bass traps obligatoires dans tous les coins.</w:t>
      </w:r>
    </w:p>
    <w:p>
      <w:pPr>
        <w:pStyle w:val="Heading3"/>
        <w:spacing w:after="120" w:before="200"/>
      </w:pPr>
      <w:r>
        <w:rPr>
          <w:rFonts w:ascii="Arial" w:cs="Arial" w:eastAsia="Arial" w:hAnsi="Arial"/>
          <w:b/>
          <w:bCs/>
          <w:color w:val="2E4057"/>
          <w:sz w:val="24"/>
          <w:szCs w:val="24"/>
        </w:rPr>
        <w:t xml:space="preserve">8.4.2 Isolation — principe de la double boîte</w:t>
      </w:r>
    </w:p>
    <w:p>
      <w:pPr>
        <w:pStyle w:val="ListParagraph"/>
        <w:numPr>
          <w:ilvl w:val="0"/>
          <w:numId w:val="2"/>
        </w:numPr>
        <w:spacing w:after="80"/>
      </w:pPr>
      <w:r>
        <w:rPr>
          <w:rFonts w:ascii="Arial" w:cs="Arial" w:eastAsia="Arial" w:hAnsi="Arial"/>
          <w:color w:val="000000"/>
          <w:sz w:val="22"/>
          <w:szCs w:val="22"/>
        </w:rPr>
        <w:t xml:space="preserve">Dalle flottante (chape + plots élastomères) : isolation des impacts depuis le sol.</w:t>
      </w:r>
    </w:p>
    <w:p>
      <w:pPr>
        <w:pStyle w:val="ListParagraph"/>
        <w:numPr>
          <w:ilvl w:val="0"/>
          <w:numId w:val="2"/>
        </w:numPr>
        <w:spacing w:after="80"/>
      </w:pPr>
      <w:r>
        <w:rPr>
          <w:rFonts w:ascii="Arial" w:cs="Arial" w:eastAsia="Arial" w:hAnsi="Arial"/>
          <w:color w:val="000000"/>
          <w:sz w:val="22"/>
          <w:szCs w:val="22"/>
        </w:rPr>
        <w:t xml:space="preserve">Murs doubles désolidarisés : aucun pont phonique (vis, conduits rigides).</w:t>
      </w:r>
    </w:p>
    <w:p>
      <w:pPr>
        <w:pStyle w:val="ListParagraph"/>
        <w:numPr>
          <w:ilvl w:val="0"/>
          <w:numId w:val="2"/>
        </w:numPr>
        <w:spacing w:after="80"/>
      </w:pPr>
      <w:r>
        <w:rPr>
          <w:rFonts w:ascii="Arial" w:cs="Arial" w:eastAsia="Arial" w:hAnsi="Arial"/>
          <w:color w:val="000000"/>
          <w:sz w:val="22"/>
          <w:szCs w:val="22"/>
        </w:rPr>
        <w:t xml:space="preserve">Plafond suspendu sur silent-blocs.</w:t>
      </w:r>
    </w:p>
    <w:p>
      <w:pPr>
        <w:pStyle w:val="ListParagraph"/>
        <w:numPr>
          <w:ilvl w:val="0"/>
          <w:numId w:val="2"/>
        </w:numPr>
        <w:spacing w:after="80"/>
      </w:pPr>
      <w:r>
        <w:rPr>
          <w:rFonts w:ascii="Arial" w:cs="Arial" w:eastAsia="Arial" w:hAnsi="Arial"/>
          <w:color w:val="000000"/>
          <w:sz w:val="22"/>
          <w:szCs w:val="22"/>
        </w:rPr>
        <w:t xml:space="preserve">Portes acoustiques : double porte avec sas, masse ≥ 50 kg/m², joints périmétrique + seuil relevable automatique.</w:t>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La désolidarisation mécanique est la règle n°1 : un seul pont phonique (une vis traversant les deux parois) peut réduire l'isolement de 10–15 dB. La masse est importante mais insuffisante sans désolidarisation complète.</w:t>
      </w:r>
    </w:p>
    <w:p>
      <w:r>
        <w:br w:type="page"/>
      </w:r>
    </w:p>
    <w:p>
      <w:pPr>
        <w:pStyle w:val="Heading1"/>
        <w:shd w:fill="1F4E79" w:val="clear"/>
        <w:spacing w:after="240" w:before="360"/>
      </w:pPr>
      <w:r>
        <w:rPr>
          <w:rFonts w:ascii="Arial" w:cs="Arial" w:eastAsia="Arial" w:hAnsi="Arial"/>
          <w:b/>
          <w:bCs/>
          <w:color w:val="FFFFFF"/>
          <w:sz w:val="32"/>
          <w:szCs w:val="32"/>
        </w:rPr>
        <w:t xml:space="preserve">MODULE 9 — ACOUSTIQUE MUSICALE</w:t>
      </w:r>
    </w:p>
    <w:p>
      <w:pPr>
        <w:pStyle w:val="Heading2"/>
        <w:pBdr>
          <w:bottom w:val="single" w:color="2E75B6" w:sz="4" w:space="1"/>
        </w:pBdr>
        <w:spacing w:after="160" w:before="280"/>
      </w:pPr>
      <w:r>
        <w:rPr>
          <w:rFonts w:ascii="Arial" w:cs="Arial" w:eastAsia="Arial" w:hAnsi="Arial"/>
          <w:b/>
          <w:bCs/>
          <w:color w:val="2E75B6"/>
          <w:sz w:val="26"/>
          <w:szCs w:val="26"/>
        </w:rPr>
        <w:t xml:space="preserve">9.1 Instruments de musique et rayonnement acoustique</w:t>
      </w:r>
    </w:p>
    <w:p>
      <w:pPr>
        <w:pStyle w:val="ListParagraph"/>
        <w:numPr>
          <w:ilvl w:val="0"/>
          <w:numId w:val="2"/>
        </w:numPr>
        <w:spacing w:after="80"/>
      </w:pPr>
      <w:r>
        <w:rPr>
          <w:rFonts w:ascii="Arial" w:cs="Arial" w:eastAsia="Arial" w:hAnsi="Arial"/>
          <w:color w:val="000000"/>
          <w:sz w:val="22"/>
          <w:szCs w:val="22"/>
        </w:rPr>
        <w:t xml:space="preserve">Cordes frottées (violon, alto, violoncelle) : rayonnement principalement par la table d'harmonie et les ouïes. Directivité complexe et fréquence-dépendante.</w:t>
      </w:r>
    </w:p>
    <w:p>
      <w:pPr>
        <w:pStyle w:val="ListParagraph"/>
        <w:numPr>
          <w:ilvl w:val="0"/>
          <w:numId w:val="2"/>
        </w:numPr>
        <w:spacing w:after="80"/>
      </w:pPr>
      <w:r>
        <w:rPr>
          <w:rFonts w:ascii="Arial" w:cs="Arial" w:eastAsia="Arial" w:hAnsi="Arial"/>
          <w:color w:val="000000"/>
          <w:sz w:val="22"/>
          <w:szCs w:val="22"/>
        </w:rPr>
        <w:t xml:space="preserve">Cuivres : rayonnement principalement par le pavillon, très directif dans les aigus.</w:t>
      </w:r>
    </w:p>
    <w:p>
      <w:pPr>
        <w:pStyle w:val="ListParagraph"/>
        <w:numPr>
          <w:ilvl w:val="0"/>
          <w:numId w:val="2"/>
        </w:numPr>
        <w:spacing w:after="80"/>
      </w:pPr>
      <w:r>
        <w:rPr>
          <w:rFonts w:ascii="Arial" w:cs="Arial" w:eastAsia="Arial" w:hAnsi="Arial"/>
          <w:color w:val="000000"/>
          <w:sz w:val="22"/>
          <w:szCs w:val="22"/>
        </w:rPr>
        <w:t xml:space="preserve">Bois : rayonnement par les toneholes (trous) et le pavillon. Plus omnidirectionnel.</w:t>
      </w:r>
    </w:p>
    <w:p>
      <w:pPr>
        <w:pStyle w:val="ListParagraph"/>
        <w:numPr>
          <w:ilvl w:val="0"/>
          <w:numId w:val="2"/>
        </w:numPr>
        <w:spacing w:after="80"/>
      </w:pPr>
      <w:r>
        <w:rPr>
          <w:rFonts w:ascii="Arial" w:cs="Arial" w:eastAsia="Arial" w:hAnsi="Arial"/>
          <w:color w:val="000000"/>
          <w:sz w:val="22"/>
          <w:szCs w:val="22"/>
        </w:rPr>
        <w:t xml:space="preserve">Piano : très large gamme dynamique. Rayonnement depuis toute la table d'harmonie. Le couvercle réfléchit vers le public.</w:t>
      </w:r>
    </w:p>
    <w:p>
      <w:pPr>
        <w:pStyle w:val="ListParagraph"/>
        <w:numPr>
          <w:ilvl w:val="0"/>
          <w:numId w:val="2"/>
        </w:numPr>
        <w:spacing w:after="80"/>
      </w:pPr>
      <w:r>
        <w:rPr>
          <w:rFonts w:ascii="Arial" w:cs="Arial" w:eastAsia="Arial" w:hAnsi="Arial"/>
          <w:color w:val="000000"/>
          <w:sz w:val="22"/>
          <w:szCs w:val="22"/>
        </w:rPr>
        <w:t xml:space="preserve">Voix humaine : directivité maximale à l'avant, réduction dans les graves.</w:t>
      </w:r>
    </w:p>
    <w:p>
      <w:pPr>
        <w:pStyle w:val="Heading2"/>
        <w:pBdr>
          <w:bottom w:val="single" w:color="2E75B6" w:sz="4" w:space="1"/>
        </w:pBdr>
        <w:spacing w:after="160" w:before="280"/>
      </w:pPr>
      <w:r>
        <w:rPr>
          <w:rFonts w:ascii="Arial" w:cs="Arial" w:eastAsia="Arial" w:hAnsi="Arial"/>
          <w:b/>
          <w:bCs/>
          <w:color w:val="2E75B6"/>
          <w:sz w:val="26"/>
          <w:szCs w:val="26"/>
        </w:rPr>
        <w:t xml:space="preserve">9.2 Soutien de scène (Stage Support, ST_early)</w:t>
      </w:r>
    </w:p>
    <w:p>
      <w:pPr>
        <w:spacing w:after="160"/>
        <w:jc w:val="both"/>
      </w:pPr>
      <w:r>
        <w:rPr>
          <w:rFonts w:ascii="Arial" w:cs="Arial" w:eastAsia="Arial" w:hAnsi="Arial"/>
          <w:color w:val="000000"/>
          <w:sz w:val="22"/>
          <w:szCs w:val="22"/>
        </w:rPr>
        <w:t xml:space="preserve">Les musiciens ont besoin d'entendre leurs propres sons et ceux de leurs collègues. Le paramètre ST mesure l'énergie des premières réflexions de scène :</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ST_early = 10 × log₁₀ (∫₂₀^100ms p²dt / ∫₀^10ms p²dt)   [dB]</w:t>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La définition exacte de ST varie selon les sources. Gade (1989) utilise 20–100 ms pour ST_early. D'autres définitions existent (ISO 3382-1 définit ST1 de 20 à 100 ms et ST2 de 20 à 200 ms). Toujours préciser la définition utilisée. Valeur cible ST_early : −13 à −11 dB (Gade 1989). Une scène trop réfléchissante (ST trop élevé) crée confusion rythmique ; une scène trop absorbante prive les musiciens du retour naturel.</w:t>
      </w:r>
    </w:p>
    <w:p>
      <w:pPr>
        <w:pStyle w:val="Heading2"/>
        <w:pBdr>
          <w:bottom w:val="single" w:color="2E75B6" w:sz="4" w:space="1"/>
        </w:pBdr>
        <w:spacing w:after="160" w:before="280"/>
      </w:pPr>
      <w:r>
        <w:rPr>
          <w:rFonts w:ascii="Arial" w:cs="Arial" w:eastAsia="Arial" w:hAnsi="Arial"/>
          <w:b/>
          <w:bCs/>
          <w:color w:val="2E75B6"/>
          <w:sz w:val="26"/>
          <w:szCs w:val="26"/>
        </w:rPr>
        <w:t xml:space="preserve">9.3 Interaction salle – musicien</w:t>
      </w:r>
    </w:p>
    <w:p>
      <w:pPr>
        <w:spacing w:after="160"/>
        <w:jc w:val="both"/>
      </w:pPr>
      <w:r>
        <w:rPr>
          <w:rFonts w:ascii="Arial" w:cs="Arial" w:eastAsia="Arial" w:hAnsi="Arial"/>
          <w:color w:val="000000"/>
          <w:sz w:val="22"/>
          <w:szCs w:val="22"/>
        </w:rPr>
        <w:t xml:space="preserve">L'interaction salle-musicien est bidirectionnelle. La réverbération trop longue complique l'ensemble ; une salle trop sèche prive de retour naturel. L'équilibre entre les pupitres (balance), la fusion des timbres (blend) et la précision rythmique (ensemble) dépendent de la géométrie de la scène et des surfaces de réflexion proches.</w:t>
      </w:r>
    </w:p>
    <w:p>
      <w:r>
        <w:br w:type="page"/>
      </w:r>
    </w:p>
    <w:p>
      <w:pPr>
        <w:pStyle w:val="Heading1"/>
        <w:shd w:fill="1F4E79" w:val="clear"/>
        <w:spacing w:after="240" w:before="360"/>
      </w:pPr>
      <w:r>
        <w:rPr>
          <w:rFonts w:ascii="Arial" w:cs="Arial" w:eastAsia="Arial" w:hAnsi="Arial"/>
          <w:b/>
          <w:bCs/>
          <w:color w:val="FFFFFF"/>
          <w:sz w:val="32"/>
          <w:szCs w:val="32"/>
        </w:rPr>
        <w:t xml:space="preserve">MODULE 10 — TRAVAUX PRATIQUES ET EXERCICES CORRIGÉS</w:t>
      </w:r>
    </w:p>
    <w:p>
      <w:pPr>
        <w:pStyle w:val="Heading2"/>
        <w:pBdr>
          <w:bottom w:val="single" w:color="2E75B6" w:sz="4" w:space="1"/>
        </w:pBdr>
        <w:spacing w:after="160" w:before="280"/>
      </w:pPr>
      <w:r>
        <w:rPr>
          <w:rFonts w:ascii="Arial" w:cs="Arial" w:eastAsia="Arial" w:hAnsi="Arial"/>
          <w:b/>
          <w:bCs/>
          <w:color w:val="2E75B6"/>
          <w:sz w:val="26"/>
          <w:szCs w:val="26"/>
        </w:rPr>
        <w:t xml:space="preserve">10.1 Exercice 1 — Calcul de T60 par la formule de Sabine</w:t>
      </w:r>
    </w:p>
    <w:p>
      <w:pPr>
        <w:pStyle w:val="Heading3"/>
        <w:spacing w:after="120" w:before="200"/>
      </w:pPr>
      <w:r>
        <w:rPr>
          <w:rFonts w:ascii="Arial" w:cs="Arial" w:eastAsia="Arial" w:hAnsi="Arial"/>
          <w:b/>
          <w:bCs/>
          <w:color w:val="2E4057"/>
          <w:sz w:val="24"/>
          <w:szCs w:val="24"/>
        </w:rPr>
        <w:t xml:space="preserve">Énoncé</w:t>
      </w:r>
    </w:p>
    <w:p>
      <w:pPr>
        <w:spacing w:after="160"/>
        <w:jc w:val="both"/>
      </w:pPr>
      <w:r>
        <w:rPr>
          <w:rFonts w:ascii="Arial" w:cs="Arial" w:eastAsia="Arial" w:hAnsi="Arial"/>
          <w:color w:val="000000"/>
          <w:sz w:val="22"/>
          <w:szCs w:val="22"/>
        </w:rPr>
        <w:t xml:space="preserve">Salle de conférence rectangulaire : 12 m × 8 m × 3 m. Surfaces en configuration occupée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Surface</w:t>
            </w:r>
          </w:p>
        </w:tc>
        <w:tc>
          <w:tcPr>
            <w:tcW w:type="dxa" w:w="24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Dimensions</w:t>
            </w:r>
          </w:p>
        </w:tc>
        <w:tc>
          <w:tcPr>
            <w:tcW w:type="dxa" w:w="28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Matériau</w:t>
            </w:r>
          </w:p>
        </w:tc>
        <w:tc>
          <w:tcPr>
            <w:tcW w:type="dxa" w:w="21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α à 500 Hz</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Plafond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96 m²</w:t>
            </w:r>
          </w:p>
        </w:tc>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Faux-plafond dalles minérales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0.60</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Sol (hors sièges)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96 − 30 = 66 m²</w:t>
            </w:r>
          </w:p>
        </w:tc>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Moquette épaisse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0.35</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Murs (4 surfaces)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2×(12×3) + 2×(8×3) = 120 m²</w:t>
            </w:r>
          </w:p>
        </w:tc>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Plâtre lisse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0.04</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60 sièges rembourrés occupés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60 × 0.5 = 30 m²</w:t>
            </w:r>
          </w:p>
        </w:tc>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Siège occupé</w:t>
            </w:r>
          </w:p>
        </w:tc>
        <w:tc>
          <w:tcPr>
            <w:tcW w:type="dxa" w:w="2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0.74</w:t>
            </w:r>
          </w:p>
        </w:tc>
      </w:tr>
    </w:tbl>
    <w:p>
      <w:pPr>
        <w:spacing w:after="100"/>
      </w:pPr>
      <w:r>
        <w:t xml:space="preserve"/>
      </w:r>
    </w:p>
    <w:p>
      <w:pPr>
        <w:spacing w:after="80" w:before="160"/>
      </w:pPr>
      <w:r>
        <w:rPr>
          <w:rFonts w:ascii="Arial" w:cs="Arial" w:eastAsia="Arial" w:hAnsi="Arial"/>
          <w:b/>
          <w:bCs/>
          <w:color w:val="2E4057"/>
          <w:sz w:val="22"/>
          <w:szCs w:val="22"/>
          <w:u w:val="single"/>
        </w:rPr>
        <w:t xml:space="preserve">Solution vérifiée</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V = 12 × 8 × 3 = 288 m³</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A = 0.60×96 + 0.35×66 + 0.74×30 + 0.04×120</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  = 57.60 + 23.10 + 22.20 + 4.80 = 107.70 m² Sabine</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T60 = 0.161 × 288 / 107.70 = 46.368 / 107.70 ≈ 0.43 s</w:t>
      </w:r>
    </w:p>
    <w:p>
      <w:pPr>
        <w:shd w:fill="D6EAD8" w:val="clear"/>
        <w:spacing w:after="80" w:before="80"/>
        <w:ind w:left="360" w:right="360"/>
      </w:pPr>
      <w:r>
        <w:rPr>
          <w:rFonts w:ascii="Arial" w:cs="Arial" w:eastAsia="Arial" w:hAnsi="Arial"/>
          <w:b/>
          <w:bCs/>
          <w:color w:val="1E5C2E"/>
          <w:sz w:val="20"/>
          <w:szCs w:val="20"/>
        </w:rPr>
        <w:t xml:space="preserve">✓ VÉRIFIÉ  </w:t>
      </w:r>
      <w:r>
        <w:rPr>
          <w:rFonts w:ascii="Arial" w:cs="Arial" w:eastAsia="Arial" w:hAnsi="Arial"/>
          <w:color w:val="1E5C2E"/>
          <w:sz w:val="20"/>
          <w:szCs w:val="20"/>
        </w:rPr>
        <w:t xml:space="preserve">Calcul vérifié pas à pas. V = 288 m³ ✓. A = 107.70 m² ✓. T60 = 0.43 s ✓.</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Interprétation :  </w:t>
      </w:r>
      <w:r>
        <w:rPr>
          <w:rFonts w:ascii="Arial" w:cs="Arial" w:eastAsia="Arial" w:hAnsi="Arial"/>
          <w:i/>
          <w:iCs/>
          <w:color w:val="444444"/>
          <w:sz w:val="21"/>
          <w:szCs w:val="21"/>
        </w:rPr>
        <w:t xml:space="preserve">T60 = 0.43 s est légèrement court pour une salle de conférence (cible : 0.5–0.7 s). On peut réduire légèrement l'absorption du plafond (utiliser des dalles moins absorbantes) ou supprimer une partie de la moquette pour gagner quelques dixièmes de seconde.</w:t>
      </w:r>
    </w:p>
    <w:p>
      <w:pPr>
        <w:pStyle w:val="Heading2"/>
        <w:pBdr>
          <w:bottom w:val="single" w:color="2E75B6" w:sz="4" w:space="1"/>
        </w:pBdr>
        <w:spacing w:after="160" w:before="280"/>
      </w:pPr>
      <w:r>
        <w:rPr>
          <w:rFonts w:ascii="Arial" w:cs="Arial" w:eastAsia="Arial" w:hAnsi="Arial"/>
          <w:b/>
          <w:bCs/>
          <w:color w:val="2E75B6"/>
          <w:sz w:val="26"/>
          <w:szCs w:val="26"/>
        </w:rPr>
        <w:t xml:space="preserve">10.2 Exercice 2 — Modes de salle et fréquence de Schroeder</w:t>
      </w:r>
    </w:p>
    <w:p>
      <w:pPr>
        <w:pStyle w:val="Heading3"/>
        <w:spacing w:after="120" w:before="200"/>
      </w:pPr>
      <w:r>
        <w:rPr>
          <w:rFonts w:ascii="Arial" w:cs="Arial" w:eastAsia="Arial" w:hAnsi="Arial"/>
          <w:b/>
          <w:bCs/>
          <w:color w:val="2E4057"/>
          <w:sz w:val="24"/>
          <w:szCs w:val="24"/>
        </w:rPr>
        <w:t xml:space="preserve">Énoncé</w:t>
      </w:r>
    </w:p>
    <w:p>
      <w:pPr>
        <w:spacing w:after="160"/>
        <w:jc w:val="both"/>
      </w:pPr>
      <w:r>
        <w:rPr>
          <w:rFonts w:ascii="Arial" w:cs="Arial" w:eastAsia="Arial" w:hAnsi="Arial"/>
          <w:color w:val="000000"/>
          <w:sz w:val="22"/>
          <w:szCs w:val="22"/>
        </w:rPr>
        <w:t xml:space="preserve">Studio de production : 5.4 m × 4.2 m × 2.6 m (dimensions choisies pour des ratios non entiers). T60 moyen = 0.35 s. Calculer les 5 premiers modes axiaux par dimension et la fréquence de Schroeder.</w:t>
      </w:r>
    </w:p>
    <w:p>
      <w:pPr>
        <w:spacing w:after="80" w:before="160"/>
      </w:pPr>
      <w:r>
        <w:rPr>
          <w:rFonts w:ascii="Arial" w:cs="Arial" w:eastAsia="Arial" w:hAnsi="Arial"/>
          <w:b/>
          <w:bCs/>
          <w:color w:val="2E4057"/>
          <w:sz w:val="22"/>
          <w:szCs w:val="22"/>
          <w:u w:val="single"/>
        </w:rPr>
        <w:t xml:space="preserve">Solution vérifiée</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Volume : V = 5.4 × 4.2 × 2.6 = 59.0 m³  (et non 113 m³ — erreur corrigée)</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Modes axiaux : f_n = n × c / (2 × L) = n × 343 / (2 × L)</w:t>
      </w:r>
    </w:p>
    <w:p>
      <w:pPr>
        <w:pStyle w:val="ListParagraph"/>
        <w:numPr>
          <w:ilvl w:val="0"/>
          <w:numId w:val="2"/>
        </w:numPr>
        <w:spacing w:after="80"/>
      </w:pPr>
      <w:r>
        <w:rPr>
          <w:rFonts w:ascii="Arial" w:cs="Arial" w:eastAsia="Arial" w:hAnsi="Arial"/>
          <w:color w:val="000000"/>
          <w:sz w:val="22"/>
          <w:szCs w:val="22"/>
        </w:rPr>
        <w:t xml:space="preserve">Axe X (L = 5.4 m) : n=1 → 32 Hz | n=2 → 64 Hz | n=3 → 95 Hz | n=4 → 127 Hz | n=5 → 159 Hz</w:t>
      </w:r>
    </w:p>
    <w:p>
      <w:pPr>
        <w:pStyle w:val="ListParagraph"/>
        <w:numPr>
          <w:ilvl w:val="0"/>
          <w:numId w:val="2"/>
        </w:numPr>
        <w:spacing w:after="80"/>
      </w:pPr>
      <w:r>
        <w:rPr>
          <w:rFonts w:ascii="Arial" w:cs="Arial" w:eastAsia="Arial" w:hAnsi="Arial"/>
          <w:color w:val="000000"/>
          <w:sz w:val="22"/>
          <w:szCs w:val="22"/>
        </w:rPr>
        <w:t xml:space="preserve">Axe Y (L = 4.2 m) : n=1 → 41 Hz | n=2 → 82 Hz | n=3 → 123 Hz | n=4 → 163 Hz | n=5 → 204 Hz</w:t>
      </w:r>
    </w:p>
    <w:p>
      <w:pPr>
        <w:pStyle w:val="ListParagraph"/>
        <w:numPr>
          <w:ilvl w:val="0"/>
          <w:numId w:val="2"/>
        </w:numPr>
        <w:spacing w:after="80"/>
      </w:pPr>
      <w:r>
        <w:rPr>
          <w:rFonts w:ascii="Arial" w:cs="Arial" w:eastAsia="Arial" w:hAnsi="Arial"/>
          <w:color w:val="000000"/>
          <w:sz w:val="22"/>
          <w:szCs w:val="22"/>
        </w:rPr>
        <w:t xml:space="preserve">Axe Z (L = 2.6 m) : n=1 → 66 Hz | n=2 → 132 Hz | n=3 → 198 Hz | n=4 → 264 Hz | n=5 → 330 Hz</w:t>
      </w:r>
    </w:p>
    <w:p>
      <w:pPr>
        <w:shd w:fill="D6EAD8" w:val="clear"/>
        <w:spacing w:after="80" w:before="80"/>
        <w:ind w:left="360" w:right="360"/>
      </w:pPr>
      <w:r>
        <w:rPr>
          <w:rFonts w:ascii="Arial" w:cs="Arial" w:eastAsia="Arial" w:hAnsi="Arial"/>
          <w:b/>
          <w:bCs/>
          <w:color w:val="1E5C2E"/>
          <w:sz w:val="20"/>
          <w:szCs w:val="20"/>
        </w:rPr>
        <w:t xml:space="preserve">✓ VÉRIFIÉ  </w:t>
      </w:r>
      <w:r>
        <w:rPr>
          <w:rFonts w:ascii="Arial" w:cs="Arial" w:eastAsia="Arial" w:hAnsi="Arial"/>
          <w:color w:val="1E5C2E"/>
          <w:sz w:val="20"/>
          <w:szCs w:val="20"/>
        </w:rPr>
        <w:t xml:space="preserve">Vérification axe X : 343/(2×5.4) = 343/10.8 = 31.76 Hz ✓. Axe Y : 343/(2×4.2) = 40.83 Hz ✓. Axe Z : 343/(2×2.6) = 65.96 Hz ✓.</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fs = 2000 × √(T60 / V) = 2000 × √(0.35 / 59.0) = 2000 × √(0.00593) = 2000 × 0.0770 ≈ 154 Hz</w:t>
      </w:r>
    </w:p>
    <w:p>
      <w:pPr>
        <w:shd w:fill="D6EAD8" w:val="clear"/>
        <w:spacing w:after="80" w:before="80"/>
        <w:ind w:left="360" w:right="360"/>
      </w:pPr>
      <w:r>
        <w:rPr>
          <w:rFonts w:ascii="Arial" w:cs="Arial" w:eastAsia="Arial" w:hAnsi="Arial"/>
          <w:b/>
          <w:bCs/>
          <w:color w:val="1E5C2E"/>
          <w:sz w:val="20"/>
          <w:szCs w:val="20"/>
        </w:rPr>
        <w:t xml:space="preserve">✓ VÉRIFIÉ  </w:t>
      </w:r>
      <w:r>
        <w:rPr>
          <w:rFonts w:ascii="Arial" w:cs="Arial" w:eastAsia="Arial" w:hAnsi="Arial"/>
          <w:color w:val="1E5C2E"/>
          <w:sz w:val="20"/>
          <w:szCs w:val="20"/>
        </w:rPr>
        <w:t xml:space="preserve">fs = 154 Hz vérifié. En dessous de 154 Hz, 5 modes axiaux principaux à traiter (41, 64, 66, 82, 95 Hz notamment).</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Recommandations de traitement :  </w:t>
      </w:r>
      <w:r>
        <w:rPr>
          <w:rFonts w:ascii="Arial" w:cs="Arial" w:eastAsia="Arial" w:hAnsi="Arial"/>
          <w:i/>
          <w:iCs/>
          <w:color w:val="444444"/>
          <w:sz w:val="21"/>
          <w:szCs w:val="21"/>
        </w:rPr>
        <w:t xml:space="preserve">Les modes les plus critiques à traiter en priorité sont les modes axiaux de l'axe Y (le plus long → les plus graves) : 41 Hz (n=1) et 82 Hz (n=2). Bass traps à panneaux accordés sur ces fréquences dans tous les coins basse-fréquence. Résonateurs de Helmholtz pour les modes entre 60 et 100 Hz.</w:t>
      </w:r>
    </w:p>
    <w:p>
      <w:pPr>
        <w:pStyle w:val="Heading2"/>
        <w:pBdr>
          <w:bottom w:val="single" w:color="2E75B6" w:sz="4" w:space="1"/>
        </w:pBdr>
        <w:spacing w:after="160" w:before="280"/>
      </w:pPr>
      <w:r>
        <w:rPr>
          <w:rFonts w:ascii="Arial" w:cs="Arial" w:eastAsia="Arial" w:hAnsi="Arial"/>
          <w:b/>
          <w:bCs/>
          <w:color w:val="2E75B6"/>
          <w:sz w:val="26"/>
          <w:szCs w:val="26"/>
        </w:rPr>
        <w:t xml:space="preserve">10.3 Exercice 3 — Conception d'un traitement acoustique de studio</w:t>
      </w:r>
    </w:p>
    <w:p>
      <w:pPr>
        <w:pStyle w:val="Heading3"/>
        <w:spacing w:after="120" w:before="200"/>
      </w:pPr>
      <w:r>
        <w:rPr>
          <w:rFonts w:ascii="Arial" w:cs="Arial" w:eastAsia="Arial" w:hAnsi="Arial"/>
          <w:b/>
          <w:bCs/>
          <w:color w:val="2E4057"/>
          <w:sz w:val="24"/>
          <w:szCs w:val="24"/>
        </w:rPr>
        <w:t xml:space="preserve">Scénario</w:t>
      </w:r>
    </w:p>
    <w:p>
      <w:pPr>
        <w:spacing w:after="160"/>
        <w:jc w:val="both"/>
      </w:pPr>
      <w:r>
        <w:rPr>
          <w:rFonts w:ascii="Arial" w:cs="Arial" w:eastAsia="Arial" w:hAnsi="Arial"/>
          <w:color w:val="000000"/>
          <w:sz w:val="22"/>
          <w:szCs w:val="22"/>
        </w:rPr>
        <w:t xml:space="preserve">Pièce de 6 m × 4.5 m × 2.8 m (V = 75.6 m³) à convertir en home studio. T60 mesuré : 0.65 s. Objectif : T60 ≈ 0.35 s à 500 Hz.</w:t>
      </w:r>
    </w:p>
    <w:p>
      <w:pPr>
        <w:spacing w:after="80" w:before="160"/>
      </w:pPr>
      <w:r>
        <w:rPr>
          <w:rFonts w:ascii="Arial" w:cs="Arial" w:eastAsia="Arial" w:hAnsi="Arial"/>
          <w:b/>
          <w:bCs/>
          <w:color w:val="2E4057"/>
          <w:sz w:val="22"/>
          <w:szCs w:val="22"/>
          <w:u w:val="single"/>
        </w:rPr>
        <w:t xml:space="preserve">Calcul de l'absorption nécessaire</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A_actuelle = 0.161 × 75.6 / 0.65 = 12.17 / 0.65 = 18.72 m² Sabine</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A_cible    = 0.161 × 75.6 / 0.35 = 12.17 / 0.35 = 34.77 m² Sabine</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ΔA nécessaire = 34.77 − 18.72 = 16.05 m² Sabine à ajouter à 500 Hz</w:t>
      </w:r>
    </w:p>
    <w:p>
      <w:pPr>
        <w:shd w:fill="D6EAD8" w:val="clear"/>
        <w:spacing w:after="80" w:before="80"/>
        <w:ind w:left="360" w:right="360"/>
      </w:pPr>
      <w:r>
        <w:rPr>
          <w:rFonts w:ascii="Arial" w:cs="Arial" w:eastAsia="Arial" w:hAnsi="Arial"/>
          <w:b/>
          <w:bCs/>
          <w:color w:val="1E5C2E"/>
          <w:sz w:val="20"/>
          <w:szCs w:val="20"/>
        </w:rPr>
        <w:t xml:space="preserve">✓ VÉRIFIÉ  </w:t>
      </w:r>
      <w:r>
        <w:rPr>
          <w:rFonts w:ascii="Arial" w:cs="Arial" w:eastAsia="Arial" w:hAnsi="Arial"/>
          <w:color w:val="1E5C2E"/>
          <w:sz w:val="20"/>
          <w:szCs w:val="20"/>
        </w:rPr>
        <w:t xml:space="preserve">Calculs vérifiés. V=75.6 m³ ✓. A_actuelle=18.72 ✓. A_cible=34.77 ✓. ΔA=16.05 ✓.</w:t>
      </w:r>
    </w:p>
    <w:p>
      <w:pPr>
        <w:spacing w:after="80" w:before="160"/>
      </w:pPr>
      <w:r>
        <w:rPr>
          <w:rFonts w:ascii="Arial" w:cs="Arial" w:eastAsia="Arial" w:hAnsi="Arial"/>
          <w:b/>
          <w:bCs/>
          <w:color w:val="2E4057"/>
          <w:sz w:val="22"/>
          <w:szCs w:val="22"/>
          <w:u w:val="single"/>
        </w:rPr>
        <w:t xml:space="preserve">Plan de traitement estimatif</w:t>
      </w:r>
    </w:p>
    <w:p>
      <w:pPr>
        <w:pStyle w:val="ListParagraph"/>
        <w:numPr>
          <w:ilvl w:val="0"/>
          <w:numId w:val="3"/>
        </w:numPr>
        <w:spacing w:after="80"/>
      </w:pPr>
      <w:r>
        <w:rPr>
          <w:rFonts w:ascii="Arial" w:cs="Arial" w:eastAsia="Arial" w:hAnsi="Arial"/>
          <w:color w:val="000000"/>
          <w:sz w:val="22"/>
          <w:szCs w:val="22"/>
        </w:rPr>
        <w:t xml:space="preserve">Bass traps en laine minérale 100 mm dans les 4 coins verticaux (2 m × 0.5 m chacun) : 4 × 1.0 × 0.85 = 3.4 m²</w:t>
      </w:r>
    </w:p>
    <w:p>
      <w:pPr>
        <w:pStyle w:val="ListParagraph"/>
        <w:numPr>
          <w:ilvl w:val="0"/>
          <w:numId w:val="3"/>
        </w:numPr>
        <w:spacing w:after="80"/>
      </w:pPr>
      <w:r>
        <w:rPr>
          <w:rFonts w:ascii="Arial" w:cs="Arial" w:eastAsia="Arial" w:hAnsi="Arial"/>
          <w:color w:val="000000"/>
          <w:sz w:val="22"/>
          <w:szCs w:val="22"/>
        </w:rPr>
        <w:t xml:space="preserve">6 panneaux absorbants 600×900 mm laine 50 mm (réflexions latérales) : 6 × 0.54 × 0.85 = 2.75 m²</w:t>
      </w:r>
    </w:p>
    <w:p>
      <w:pPr>
        <w:pStyle w:val="ListParagraph"/>
        <w:numPr>
          <w:ilvl w:val="0"/>
          <w:numId w:val="3"/>
        </w:numPr>
        <w:spacing w:after="80"/>
      </w:pPr>
      <w:r>
        <w:rPr>
          <w:rFonts w:ascii="Arial" w:cs="Arial" w:eastAsia="Arial" w:hAnsi="Arial"/>
          <w:color w:val="000000"/>
          <w:sz w:val="22"/>
          <w:szCs w:val="22"/>
        </w:rPr>
        <w:t xml:space="preserve">4 panneaux de plafond 600×1200 mm (trap ceiling) : 4 × 0.72 × 0.90 = 2.59 m²</w:t>
      </w:r>
    </w:p>
    <w:p>
      <w:pPr>
        <w:pStyle w:val="ListParagraph"/>
        <w:numPr>
          <w:ilvl w:val="0"/>
          <w:numId w:val="3"/>
        </w:numPr>
        <w:spacing w:after="80"/>
      </w:pPr>
      <w:r>
        <w:rPr>
          <w:rFonts w:ascii="Arial" w:cs="Arial" w:eastAsia="Arial" w:hAnsi="Arial"/>
          <w:color w:val="000000"/>
          <w:sz w:val="22"/>
          <w:szCs w:val="22"/>
        </w:rPr>
        <w:t xml:space="preserve">Diffuseurs QRD paroi arrière (2 m², absorption partielle) : ~1.5 m²</w:t>
      </w:r>
    </w:p>
    <w:p>
      <w:pPr>
        <w:pStyle w:val="ListParagraph"/>
        <w:numPr>
          <w:ilvl w:val="0"/>
          <w:numId w:val="3"/>
        </w:numPr>
        <w:spacing w:after="80"/>
      </w:pPr>
      <w:r>
        <w:rPr>
          <w:rFonts w:ascii="Arial" w:cs="Arial" w:eastAsia="Arial" w:hAnsi="Arial"/>
          <w:color w:val="000000"/>
          <w:sz w:val="22"/>
          <w:szCs w:val="22"/>
        </w:rPr>
        <w:t xml:space="preserve">Moquette épaisse + mobilier : ~4.0 m² (estimation)</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Total estimé :  </w:t>
      </w:r>
      <w:r>
        <w:rPr>
          <w:rFonts w:ascii="Arial" w:cs="Arial" w:eastAsia="Arial" w:hAnsi="Arial"/>
          <w:i/>
          <w:iCs/>
          <w:color w:val="444444"/>
          <w:sz w:val="21"/>
          <w:szCs w:val="21"/>
        </w:rPr>
        <w:t xml:space="preserve">ΔA ≈ 3.4 + 2.75 + 2.59 + 1.5 + 4.0 = 14.24 m². Légèrement insuffisant : compléter avec rideaux lourds ou épaissir les bass traps. Une mesure REW après installation validera l'objectif.</w:t>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Ces estimations de ΔA sont calculées pour 500 Hz. Le traitement réel doit être vérifié par bande d'octave : les basses fréquences (125–250 Hz) nécessitent des absorbeurs à panneaux supplémentaires car les panneaux poreux de 50–100 mm sont peu efficaces à ces fréquences.</w:t>
      </w:r>
    </w:p>
    <w:p>
      <w:pPr>
        <w:pStyle w:val="Heading2"/>
        <w:pBdr>
          <w:bottom w:val="single" w:color="2E75B6" w:sz="4" w:space="1"/>
        </w:pBdr>
        <w:spacing w:after="160" w:before="280"/>
      </w:pPr>
      <w:r>
        <w:rPr>
          <w:rFonts w:ascii="Arial" w:cs="Arial" w:eastAsia="Arial" w:hAnsi="Arial"/>
          <w:b/>
          <w:bCs/>
          <w:color w:val="2E75B6"/>
          <w:sz w:val="26"/>
          <w:szCs w:val="26"/>
        </w:rPr>
        <w:t xml:space="preserve">10.4 Exercice 4 — Mesure de réponse impulsionnelle avec REW</w:t>
      </w:r>
    </w:p>
    <w:p>
      <w:pPr>
        <w:pStyle w:val="Heading3"/>
        <w:spacing w:after="120" w:before="200"/>
      </w:pPr>
      <w:r>
        <w:rPr>
          <w:rFonts w:ascii="Arial" w:cs="Arial" w:eastAsia="Arial" w:hAnsi="Arial"/>
          <w:b/>
          <w:bCs/>
          <w:color w:val="2E4057"/>
          <w:sz w:val="24"/>
          <w:szCs w:val="24"/>
        </w:rPr>
        <w:t xml:space="preserve">Protocole pratique</w:t>
      </w:r>
    </w:p>
    <w:p>
      <w:pPr>
        <w:pStyle w:val="ListParagraph"/>
        <w:numPr>
          <w:ilvl w:val="0"/>
          <w:numId w:val="3"/>
        </w:numPr>
        <w:spacing w:after="80"/>
      </w:pPr>
      <w:r>
        <w:rPr>
          <w:rFonts w:ascii="Arial" w:cs="Arial" w:eastAsia="Arial" w:hAnsi="Arial"/>
          <w:color w:val="000000"/>
          <w:sz w:val="22"/>
          <w:szCs w:val="22"/>
        </w:rPr>
        <w:t xml:space="preserve">Installer REW (roomeqwizard.com), gratuit. Configurer l'interface audio (ASIO recommandé sous Windows).</w:t>
      </w:r>
    </w:p>
    <w:p>
      <w:pPr>
        <w:pStyle w:val="ListParagraph"/>
        <w:numPr>
          <w:ilvl w:val="0"/>
          <w:numId w:val="3"/>
        </w:numPr>
        <w:spacing w:after="80"/>
      </w:pPr>
      <w:r>
        <w:rPr>
          <w:rFonts w:ascii="Arial" w:cs="Arial" w:eastAsia="Arial" w:hAnsi="Arial"/>
          <w:color w:val="000000"/>
          <w:sz w:val="22"/>
          <w:szCs w:val="22"/>
        </w:rPr>
        <w:t xml:space="preserve">Importer le fichier de calibration du microphone de mesure (.cal) : Preferences → Microphone cal file.</w:t>
      </w:r>
    </w:p>
    <w:p>
      <w:pPr>
        <w:pStyle w:val="ListParagraph"/>
        <w:numPr>
          <w:ilvl w:val="0"/>
          <w:numId w:val="3"/>
        </w:numPr>
        <w:spacing w:after="80"/>
      </w:pPr>
      <w:r>
        <w:rPr>
          <w:rFonts w:ascii="Arial" w:cs="Arial" w:eastAsia="Arial" w:hAnsi="Arial"/>
          <w:color w:val="000000"/>
          <w:sz w:val="22"/>
          <w:szCs w:val="22"/>
        </w:rPr>
        <w:t xml:space="preserve">Calibrer le niveau : ajuster la sortie pour un SPL de 75–80 dB à la position d'écoute.</w:t>
      </w:r>
    </w:p>
    <w:p>
      <w:pPr>
        <w:pStyle w:val="ListParagraph"/>
        <w:numPr>
          <w:ilvl w:val="0"/>
          <w:numId w:val="3"/>
        </w:numPr>
        <w:spacing w:after="80"/>
      </w:pPr>
      <w:r>
        <w:rPr>
          <w:rFonts w:ascii="Arial" w:cs="Arial" w:eastAsia="Arial" w:hAnsi="Arial"/>
          <w:color w:val="000000"/>
          <w:sz w:val="22"/>
          <w:szCs w:val="22"/>
        </w:rPr>
        <w:t xml:space="preserve">Choisir Swept Sine (recommandé), 512 k samples, sweep de 20 Hz à 20 kHz.</w:t>
      </w:r>
    </w:p>
    <w:p>
      <w:pPr>
        <w:pStyle w:val="ListParagraph"/>
        <w:numPr>
          <w:ilvl w:val="0"/>
          <w:numId w:val="3"/>
        </w:numPr>
        <w:spacing w:after="80"/>
      </w:pPr>
      <w:r>
        <w:rPr>
          <w:rFonts w:ascii="Arial" w:cs="Arial" w:eastAsia="Arial" w:hAnsi="Arial"/>
          <w:color w:val="000000"/>
          <w:sz w:val="22"/>
          <w:szCs w:val="22"/>
        </w:rPr>
        <w:t xml:space="preserve">Effectuer au moins 3 mesures à différentes positions. Analyser l'onglet RT60 par bande d'octave.</w:t>
      </w:r>
    </w:p>
    <w:p>
      <w:pPr>
        <w:pStyle w:val="ListParagraph"/>
        <w:numPr>
          <w:ilvl w:val="0"/>
          <w:numId w:val="3"/>
        </w:numPr>
        <w:spacing w:after="80"/>
      </w:pPr>
      <w:r>
        <w:rPr>
          <w:rFonts w:ascii="Arial" w:cs="Arial" w:eastAsia="Arial" w:hAnsi="Arial"/>
          <w:color w:val="000000"/>
          <w:sz w:val="22"/>
          <w:szCs w:val="22"/>
        </w:rPr>
        <w:t xml:space="preserve">Onglet SPL : identifier les modes de salle (pics et creux dans la réponse en fréquence).</w:t>
      </w:r>
    </w:p>
    <w:p>
      <w:pPr>
        <w:pStyle w:val="ListParagraph"/>
        <w:numPr>
          <w:ilvl w:val="0"/>
          <w:numId w:val="3"/>
        </w:numPr>
        <w:spacing w:after="80"/>
      </w:pPr>
      <w:r>
        <w:rPr>
          <w:rFonts w:ascii="Arial" w:cs="Arial" w:eastAsia="Arial" w:hAnsi="Arial"/>
          <w:color w:val="000000"/>
          <w:sz w:val="22"/>
          <w:szCs w:val="22"/>
        </w:rPr>
        <w:t xml:space="preserve">Onglet Spectrogram (Waterfall) : visualiser la décroissance temporelle par fréquence.</w:t>
      </w:r>
    </w:p>
    <w:p>
      <w:pPr>
        <w:pStyle w:val="ListParagraph"/>
        <w:numPr>
          <w:ilvl w:val="0"/>
          <w:numId w:val="3"/>
        </w:numPr>
        <w:spacing w:after="80"/>
      </w:pPr>
      <w:r>
        <w:rPr>
          <w:rFonts w:ascii="Arial" w:cs="Arial" w:eastAsia="Arial" w:hAnsi="Arial"/>
          <w:color w:val="000000"/>
          <w:sz w:val="22"/>
          <w:szCs w:val="22"/>
        </w:rPr>
        <w:t xml:space="preserve">Comparer T20 et T30 : un écart &gt; 10 % signale une décroissance non linéaire (modes non traités).</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Lecture du spectrogramme :  </w:t>
      </w:r>
      <w:r>
        <w:rPr>
          <w:rFonts w:ascii="Arial" w:cs="Arial" w:eastAsia="Arial" w:hAnsi="Arial"/>
          <w:i/>
          <w:iCs/>
          <w:color w:val="444444"/>
          <w:sz w:val="21"/>
          <w:szCs w:val="21"/>
        </w:rPr>
        <w:t xml:space="preserve">Une traîne longue (couleur rouge/orange prolongée) aux basses fréquences (50–150 Hz) révèle des modes non traités. Le traitement ciblé de ces fréquences aura l'impact perceptif le plus important sur la qualité d'écoute en studio.</w:t>
      </w:r>
    </w:p>
    <w:p>
      <w:pPr>
        <w:pStyle w:val="Heading2"/>
        <w:pBdr>
          <w:bottom w:val="single" w:color="2E75B6" w:sz="4" w:space="1"/>
        </w:pBdr>
        <w:spacing w:after="160" w:before="280"/>
      </w:pPr>
      <w:r>
        <w:rPr>
          <w:rFonts w:ascii="Arial" w:cs="Arial" w:eastAsia="Arial" w:hAnsi="Arial"/>
          <w:b/>
          <w:bCs/>
          <w:color w:val="2E75B6"/>
          <w:sz w:val="26"/>
          <w:szCs w:val="26"/>
        </w:rPr>
        <w:t xml:space="preserve">10.5 Exercice 5 — Audit et correction d'une salle de spectacle</w:t>
      </w:r>
    </w:p>
    <w:p>
      <w:pPr>
        <w:pStyle w:val="Heading3"/>
        <w:spacing w:after="120" w:before="200"/>
      </w:pPr>
      <w:r>
        <w:rPr>
          <w:rFonts w:ascii="Arial" w:cs="Arial" w:eastAsia="Arial" w:hAnsi="Arial"/>
          <w:b/>
          <w:bCs/>
          <w:color w:val="2E4057"/>
          <w:sz w:val="24"/>
          <w:szCs w:val="24"/>
        </w:rPr>
        <w:t xml:space="preserve">Méthodologie complète (d'après RWTH Intensivkurs)</w:t>
      </w:r>
    </w:p>
    <w:p>
      <w:pPr>
        <w:pStyle w:val="ListParagraph"/>
        <w:numPr>
          <w:ilvl w:val="0"/>
          <w:numId w:val="3"/>
        </w:numPr>
        <w:spacing w:after="80"/>
      </w:pPr>
      <w:r>
        <w:rPr>
          <w:rFonts w:ascii="Arial" w:cs="Arial" w:eastAsia="Arial" w:hAnsi="Arial"/>
          <w:color w:val="000000"/>
          <w:sz w:val="22"/>
          <w:szCs w:val="22"/>
        </w:rPr>
        <w:t xml:space="preserve">Visite et relevé : dimensions, volumes, matériaux, équipements sonores existants.</w:t>
      </w:r>
    </w:p>
    <w:p>
      <w:pPr>
        <w:pStyle w:val="ListParagraph"/>
        <w:numPr>
          <w:ilvl w:val="0"/>
          <w:numId w:val="3"/>
        </w:numPr>
        <w:spacing w:after="80"/>
      </w:pPr>
      <w:r>
        <w:rPr>
          <w:rFonts w:ascii="Arial" w:cs="Arial" w:eastAsia="Arial" w:hAnsi="Arial"/>
          <w:color w:val="000000"/>
          <w:sz w:val="22"/>
          <w:szCs w:val="22"/>
        </w:rPr>
        <w:t xml:space="preserve">Mesures ISO 3382 : source dodécaédrique calibrée ou swept sine, ≥ 6 positions microphone.</w:t>
      </w:r>
    </w:p>
    <w:p>
      <w:pPr>
        <w:pStyle w:val="ListParagraph"/>
        <w:numPr>
          <w:ilvl w:val="0"/>
          <w:numId w:val="3"/>
        </w:numPr>
        <w:spacing w:after="80"/>
      </w:pPr>
      <w:r>
        <w:rPr>
          <w:rFonts w:ascii="Arial" w:cs="Arial" w:eastAsia="Arial" w:hAnsi="Arial"/>
          <w:color w:val="000000"/>
          <w:sz w:val="22"/>
          <w:szCs w:val="22"/>
        </w:rPr>
        <w:t xml:space="preserve">Calcul des paramètres : T30 par octave, EDT, C80, D50, G, STI (si applicable).</w:t>
      </w:r>
    </w:p>
    <w:p>
      <w:pPr>
        <w:pStyle w:val="ListParagraph"/>
        <w:numPr>
          <w:ilvl w:val="0"/>
          <w:numId w:val="3"/>
        </w:numPr>
        <w:spacing w:after="80"/>
      </w:pPr>
      <w:r>
        <w:rPr>
          <w:rFonts w:ascii="Arial" w:cs="Arial" w:eastAsia="Arial" w:hAnsi="Arial"/>
          <w:color w:val="000000"/>
          <w:sz w:val="22"/>
          <w:szCs w:val="22"/>
        </w:rPr>
        <w:t xml:space="preserve">Modélisation 3D : dessin dans CATT-Acoustic ou Pachyderm. Attribution des coefficients α et scattering à chaque surface.</w:t>
      </w:r>
    </w:p>
    <w:p>
      <w:pPr>
        <w:pStyle w:val="ListParagraph"/>
        <w:numPr>
          <w:ilvl w:val="0"/>
          <w:numId w:val="3"/>
        </w:numPr>
        <w:spacing w:after="80"/>
      </w:pPr>
      <w:r>
        <w:rPr>
          <w:rFonts w:ascii="Arial" w:cs="Arial" w:eastAsia="Arial" w:hAnsi="Arial"/>
          <w:color w:val="000000"/>
          <w:sz w:val="22"/>
          <w:szCs w:val="22"/>
        </w:rPr>
        <w:t xml:space="preserve">Calage du modèle : itérer les coefficients jusqu'à correspondance mesure/simulation (T30 ± 10 %).</w:t>
      </w:r>
    </w:p>
    <w:p>
      <w:pPr>
        <w:pStyle w:val="ListParagraph"/>
        <w:numPr>
          <w:ilvl w:val="0"/>
          <w:numId w:val="3"/>
        </w:numPr>
        <w:spacing w:after="80"/>
      </w:pPr>
      <w:r>
        <w:rPr>
          <w:rFonts w:ascii="Arial" w:cs="Arial" w:eastAsia="Arial" w:hAnsi="Arial"/>
          <w:color w:val="000000"/>
          <w:sz w:val="22"/>
          <w:szCs w:val="22"/>
        </w:rPr>
        <w:t xml:space="preserve">Variantes de traitement : simuler l'ajout d'absorbeurs, de diffuseurs, de panneaux suspendus. Comparer les T30 et C80 résultants.</w:t>
      </w:r>
    </w:p>
    <w:p>
      <w:pPr>
        <w:pStyle w:val="ListParagraph"/>
        <w:numPr>
          <w:ilvl w:val="0"/>
          <w:numId w:val="3"/>
        </w:numPr>
        <w:spacing w:after="80"/>
      </w:pPr>
      <w:r>
        <w:rPr>
          <w:rFonts w:ascii="Arial" w:cs="Arial" w:eastAsia="Arial" w:hAnsi="Arial"/>
          <w:color w:val="000000"/>
          <w:sz w:val="22"/>
          <w:szCs w:val="22"/>
        </w:rPr>
        <w:t xml:space="preserve">Auralization : convoluer un signal musical anéchoïque avec la RIR simulée avant et après traitement.</w:t>
      </w:r>
    </w:p>
    <w:p>
      <w:pPr>
        <w:pStyle w:val="ListParagraph"/>
        <w:numPr>
          <w:ilvl w:val="0"/>
          <w:numId w:val="3"/>
        </w:numPr>
        <w:spacing w:after="80"/>
      </w:pPr>
      <w:r>
        <w:rPr>
          <w:rFonts w:ascii="Arial" w:cs="Arial" w:eastAsia="Arial" w:hAnsi="Arial"/>
          <w:color w:val="000000"/>
          <w:sz w:val="22"/>
          <w:szCs w:val="22"/>
        </w:rPr>
        <w:t xml:space="preserve">Rapport et recommandations : diagnostic écrit + présentation auralization aux parties prenantes.</w:t>
      </w:r>
    </w:p>
    <w:p>
      <w:r>
        <w:br w:type="page"/>
      </w:r>
    </w:p>
    <w:p>
      <w:pPr>
        <w:pStyle w:val="Heading1"/>
        <w:shd w:fill="1F4E79" w:val="clear"/>
        <w:spacing w:after="240" w:before="360"/>
      </w:pPr>
      <w:r>
        <w:rPr>
          <w:rFonts w:ascii="Arial" w:cs="Arial" w:eastAsia="Arial" w:hAnsi="Arial"/>
          <w:b/>
          <w:bCs/>
          <w:color w:val="FFFFFF"/>
          <w:sz w:val="32"/>
          <w:szCs w:val="32"/>
        </w:rPr>
        <w:t xml:space="preserve">MODULE 11 — NOTIONS CLÉS ET MÉTHODES DE TRAVAIL PRATIQUE</w:t>
      </w:r>
    </w:p>
    <w:p>
      <w:pPr>
        <w:pStyle w:val="Heading2"/>
        <w:pBdr>
          <w:bottom w:val="single" w:color="2E75B6" w:sz="4" w:space="1"/>
        </w:pBdr>
        <w:spacing w:after="160" w:before="280"/>
      </w:pPr>
      <w:r>
        <w:rPr>
          <w:rFonts w:ascii="Arial" w:cs="Arial" w:eastAsia="Arial" w:hAnsi="Arial"/>
          <w:b/>
          <w:bCs/>
          <w:color w:val="2E75B6"/>
          <w:sz w:val="26"/>
          <w:szCs w:val="26"/>
        </w:rPr>
        <w:t xml:space="preserve">11.1 Les 12 notions fondamentales à maîtriser absolument</w:t>
      </w:r>
    </w:p>
    <w:p>
      <w:pPr>
        <w:pStyle w:val="Heading3"/>
        <w:spacing w:after="120" w:before="200"/>
      </w:pPr>
      <w:r>
        <w:rPr>
          <w:rFonts w:ascii="Arial" w:cs="Arial" w:eastAsia="Arial" w:hAnsi="Arial"/>
          <w:b/>
          <w:bCs/>
          <w:color w:val="2E4057"/>
          <w:sz w:val="24"/>
          <w:szCs w:val="24"/>
        </w:rPr>
        <w:t xml:space="preserve">1. Le décibel et l'addition logarithmique</w:t>
      </w:r>
    </w:p>
    <w:p>
      <w:pPr>
        <w:spacing w:after="160"/>
        <w:jc w:val="both"/>
      </w:pPr>
      <w:r>
        <w:rPr>
          <w:rFonts w:ascii="Arial" w:cs="Arial" w:eastAsia="Arial" w:hAnsi="Arial"/>
          <w:color w:val="000000"/>
          <w:sz w:val="22"/>
          <w:szCs w:val="22"/>
        </w:rPr>
        <w:t xml:space="preserve">Savoir convertir des ratios en dB et inversement. Calculer la somme de sources incohérentes. Retenir la loi 6 dB/doublement de distance.</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Comment travailler :  </w:t>
      </w:r>
      <w:r>
        <w:rPr>
          <w:rFonts w:ascii="Arial" w:cs="Arial" w:eastAsia="Arial" w:hAnsi="Arial"/>
          <w:i/>
          <w:iCs/>
          <w:color w:val="444444"/>
          <w:sz w:val="21"/>
          <w:szCs w:val="21"/>
        </w:rPr>
        <w:t xml:space="preserve">S'exercer quotidiennement : convertir 20 Pa, 0.1 Pa, 2×10⁻³ Pa en dB SPL. Mémoriser : +10 dB = ×10 en puissance, ≈ ×3.16 en pression ; +6 dB ≈ ×2 en pression.</w:t>
      </w:r>
    </w:p>
    <w:p>
      <w:pPr>
        <w:pStyle w:val="Heading3"/>
        <w:spacing w:after="120" w:before="200"/>
      </w:pPr>
      <w:r>
        <w:rPr>
          <w:rFonts w:ascii="Arial" w:cs="Arial" w:eastAsia="Arial" w:hAnsi="Arial"/>
          <w:b/>
          <w:bCs/>
          <w:color w:val="2E4057"/>
          <w:sz w:val="24"/>
          <w:szCs w:val="24"/>
        </w:rPr>
        <w:t xml:space="preserve">2. Le temps de réverbération T60</w:t>
      </w:r>
    </w:p>
    <w:p>
      <w:pPr>
        <w:spacing w:after="160"/>
        <w:jc w:val="both"/>
      </w:pPr>
      <w:r>
        <w:rPr>
          <w:rFonts w:ascii="Arial" w:cs="Arial" w:eastAsia="Arial" w:hAnsi="Arial"/>
          <w:color w:val="000000"/>
          <w:sz w:val="22"/>
          <w:szCs w:val="22"/>
        </w:rPr>
        <w:t xml:space="preserve">Définition, formules de Sabine (ᾱ &lt; 0.2) et Eyring (ᾱ quelconque), mesure ISO 3382, valeurs cibles selon l'usage.</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Comment travailler :  </w:t>
      </w:r>
      <w:r>
        <w:rPr>
          <w:rFonts w:ascii="Arial" w:cs="Arial" w:eastAsia="Arial" w:hAnsi="Arial"/>
          <w:i/>
          <w:iCs/>
          <w:color w:val="444444"/>
          <w:sz w:val="21"/>
          <w:szCs w:val="21"/>
        </w:rPr>
        <w:t xml:space="preserve">Utiliser REW pour mesurer T60 dans différentes pièces (chambre, couloir, salle de bain). Comparer avec les valeurs calculées par Sabine. Expérimenter avec des matériaux absorbants ajoutés progressivement.</w:t>
      </w:r>
    </w:p>
    <w:p>
      <w:pPr>
        <w:pStyle w:val="Heading3"/>
        <w:spacing w:after="120" w:before="200"/>
      </w:pPr>
      <w:r>
        <w:rPr>
          <w:rFonts w:ascii="Arial" w:cs="Arial" w:eastAsia="Arial" w:hAnsi="Arial"/>
          <w:b/>
          <w:bCs/>
          <w:color w:val="2E4057"/>
          <w:sz w:val="24"/>
          <w:szCs w:val="24"/>
        </w:rPr>
        <w:t xml:space="preserve">3. Les coefficients d'absorption α</w:t>
      </w:r>
    </w:p>
    <w:p>
      <w:pPr>
        <w:spacing w:after="160"/>
        <w:jc w:val="both"/>
      </w:pPr>
      <w:r>
        <w:rPr>
          <w:rFonts w:ascii="Arial" w:cs="Arial" w:eastAsia="Arial" w:hAnsi="Arial"/>
          <w:color w:val="000000"/>
          <w:sz w:val="22"/>
          <w:szCs w:val="22"/>
        </w:rPr>
        <w:t xml:space="preserve">Compréhension physique, variation avec la fréquence, mesure en chambre réverbérante (ISO 354). Savoir calculer A = Σ(αᵢ × Sᵢ).</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Comment travailler :  </w:t>
      </w:r>
      <w:r>
        <w:rPr>
          <w:rFonts w:ascii="Arial" w:cs="Arial" w:eastAsia="Arial" w:hAnsi="Arial"/>
          <w:i/>
          <w:iCs/>
          <w:color w:val="444444"/>
          <w:sz w:val="21"/>
          <w:szCs w:val="21"/>
        </w:rPr>
        <w:t xml:space="preserve">Mesurer l'effet d'un rideau épais avec REW : T60 avant/après, calculer ΔA. Vérifier en calculant α × S du rideau. Constituer sa propre base de données.</w:t>
      </w:r>
    </w:p>
    <w:p>
      <w:pPr>
        <w:pStyle w:val="Heading3"/>
        <w:spacing w:after="120" w:before="200"/>
      </w:pPr>
      <w:r>
        <w:rPr>
          <w:rFonts w:ascii="Arial" w:cs="Arial" w:eastAsia="Arial" w:hAnsi="Arial"/>
          <w:b/>
          <w:bCs/>
          <w:color w:val="2E4057"/>
          <w:sz w:val="24"/>
          <w:szCs w:val="24"/>
        </w:rPr>
        <w:t xml:space="preserve">4. La fréquence de Schroeder et les modes de salle</w:t>
      </w:r>
    </w:p>
    <w:p>
      <w:pPr>
        <w:spacing w:after="160"/>
        <w:jc w:val="both"/>
      </w:pPr>
      <w:r>
        <w:rPr>
          <w:rFonts w:ascii="Arial" w:cs="Arial" w:eastAsia="Arial" w:hAnsi="Arial"/>
          <w:color w:val="000000"/>
          <w:sz w:val="22"/>
          <w:szCs w:val="22"/>
        </w:rPr>
        <w:t xml:space="preserve">Calculer fs pour une salle donnée. Identifier les modes axiaux dominants. Comprendre l'impact sur la réponse en fréquence aux basses fréquences.</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Comment travailler :  </w:t>
      </w:r>
      <w:r>
        <w:rPr>
          <w:rFonts w:ascii="Arial" w:cs="Arial" w:eastAsia="Arial" w:hAnsi="Arial"/>
          <w:i/>
          <w:iCs/>
          <w:color w:val="444444"/>
          <w:sz w:val="21"/>
          <w:szCs w:val="21"/>
        </w:rPr>
        <w:t xml:space="preserve">Utiliser un calculateur de modes de salle en ligne (Room Modes Calculator de Amroc ou GIK Acoustics). Visualiser dans REW Spectrogram les modes de votre pièce.</w:t>
      </w:r>
    </w:p>
    <w:p>
      <w:pPr>
        <w:pStyle w:val="Heading3"/>
        <w:spacing w:after="120" w:before="200"/>
      </w:pPr>
      <w:r>
        <w:rPr>
          <w:rFonts w:ascii="Arial" w:cs="Arial" w:eastAsia="Arial" w:hAnsi="Arial"/>
          <w:b/>
          <w:bCs/>
          <w:color w:val="2E4057"/>
          <w:sz w:val="24"/>
          <w:szCs w:val="24"/>
        </w:rPr>
        <w:t xml:space="preserve">5. La réponse impulsionnelle (RIR) et la courbe de Schroeder</w:t>
      </w:r>
    </w:p>
    <w:p>
      <w:pPr>
        <w:spacing w:after="160"/>
        <w:jc w:val="both"/>
      </w:pPr>
      <w:r>
        <w:rPr>
          <w:rFonts w:ascii="Arial" w:cs="Arial" w:eastAsia="Arial" w:hAnsi="Arial"/>
          <w:color w:val="000000"/>
          <w:sz w:val="22"/>
          <w:szCs w:val="22"/>
        </w:rPr>
        <w:t xml:space="preserve">Comprendre ce que contient une RIR : son direct, premières réflexions, queue diffuse. Calcul de la courbe de Schroeder et extraction de T20, T30, EDT.</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Comment travailler :  </w:t>
      </w:r>
      <w:r>
        <w:rPr>
          <w:rFonts w:ascii="Arial" w:cs="Arial" w:eastAsia="Arial" w:hAnsi="Arial"/>
          <w:i/>
          <w:iCs/>
          <w:color w:val="444444"/>
          <w:sz w:val="21"/>
          <w:szCs w:val="21"/>
        </w:rPr>
        <w:t xml:space="preserve">Télécharger des RIR mesurées (openair.hosted.york.ac.uk) et les analyser dans ARTA ou REW. Comparer des salles de volumes différents.</w:t>
      </w:r>
    </w:p>
    <w:p>
      <w:pPr>
        <w:pStyle w:val="Heading3"/>
        <w:spacing w:after="120" w:before="200"/>
      </w:pPr>
      <w:r>
        <w:rPr>
          <w:rFonts w:ascii="Arial" w:cs="Arial" w:eastAsia="Arial" w:hAnsi="Arial"/>
          <w:b/>
          <w:bCs/>
          <w:color w:val="2E4057"/>
          <w:sz w:val="24"/>
          <w:szCs w:val="24"/>
        </w:rPr>
        <w:t xml:space="preserve">6. Les paramètres ISO 3382 : C80, EDT, G, IACC</w:t>
      </w:r>
    </w:p>
    <w:p>
      <w:pPr>
        <w:spacing w:after="160"/>
        <w:jc w:val="both"/>
      </w:pPr>
      <w:r>
        <w:rPr>
          <w:rFonts w:ascii="Arial" w:cs="Arial" w:eastAsia="Arial" w:hAnsi="Arial"/>
          <w:color w:val="000000"/>
          <w:sz w:val="22"/>
          <w:szCs w:val="22"/>
        </w:rPr>
        <w:t xml:space="preserve">Définitions précises, formules de calcul depuis la RIR, valeurs de référence, liens avec la perception subjective.</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Comment travailler :  </w:t>
      </w:r>
      <w:r>
        <w:rPr>
          <w:rFonts w:ascii="Arial" w:cs="Arial" w:eastAsia="Arial" w:hAnsi="Arial"/>
          <w:i/>
          <w:iCs/>
          <w:color w:val="444444"/>
          <w:sz w:val="21"/>
          <w:szCs w:val="21"/>
        </w:rPr>
        <w:t xml:space="preserve">Analyser des RIR en open data avec Aurora (plug-in Audacity gratuit). Calculer manuellement C80 sur une RIR simple pour vérifier la compréhension.</w:t>
      </w:r>
    </w:p>
    <w:p>
      <w:pPr>
        <w:pStyle w:val="Heading3"/>
        <w:spacing w:after="120" w:before="200"/>
      </w:pPr>
      <w:r>
        <w:rPr>
          <w:rFonts w:ascii="Arial" w:cs="Arial" w:eastAsia="Arial" w:hAnsi="Arial"/>
          <w:b/>
          <w:bCs/>
          <w:color w:val="2E4057"/>
          <w:sz w:val="24"/>
          <w:szCs w:val="24"/>
        </w:rPr>
        <w:t xml:space="preserve">7. Les types d'absorbeurs acoustiques</w:t>
      </w:r>
    </w:p>
    <w:p>
      <w:pPr>
        <w:spacing w:after="160"/>
        <w:jc w:val="both"/>
      </w:pPr>
      <w:r>
        <w:rPr>
          <w:rFonts w:ascii="Arial" w:cs="Arial" w:eastAsia="Arial" w:hAnsi="Arial"/>
          <w:color w:val="000000"/>
          <w:sz w:val="22"/>
          <w:szCs w:val="22"/>
        </w:rPr>
        <w:t xml:space="preserve">Distinguer absorbeurs poreux, panneaux et Helmholtz. Choisir le bon absorbeur selon la gamme de fréquences cible. Calculer les fréquences de résonance.</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Comment travailler :  </w:t>
      </w:r>
      <w:r>
        <w:rPr>
          <w:rFonts w:ascii="Arial" w:cs="Arial" w:eastAsia="Arial" w:hAnsi="Arial"/>
          <w:i/>
          <w:iCs/>
          <w:color w:val="444444"/>
          <w:sz w:val="21"/>
          <w:szCs w:val="21"/>
        </w:rPr>
        <w:t xml:space="preserve">Construire un absorbeur à panneau (contreplaqué 6 mm + lame d'air 5 cm). Calculer f₀ (d en mètres !). Mesurer l'effet avec REW.</w:t>
      </w:r>
    </w:p>
    <w:p>
      <w:pPr>
        <w:pStyle w:val="Heading3"/>
        <w:spacing w:after="120" w:before="200"/>
      </w:pPr>
      <w:r>
        <w:rPr>
          <w:rFonts w:ascii="Arial" w:cs="Arial" w:eastAsia="Arial" w:hAnsi="Arial"/>
          <w:b/>
          <w:bCs/>
          <w:color w:val="2E4057"/>
          <w:sz w:val="24"/>
          <w:szCs w:val="24"/>
        </w:rPr>
        <w:t xml:space="preserve">8. Les diffuseurs QRD</w:t>
      </w:r>
    </w:p>
    <w:p>
      <w:pPr>
        <w:spacing w:after="160"/>
        <w:jc w:val="both"/>
      </w:pPr>
      <w:r>
        <w:rPr>
          <w:rFonts w:ascii="Arial" w:cs="Arial" w:eastAsia="Arial" w:hAnsi="Arial"/>
          <w:color w:val="000000"/>
          <w:sz w:val="22"/>
          <w:szCs w:val="22"/>
        </w:rPr>
        <w:t xml:space="preserve">Principe des séquences quadratiques, calcul des profondeurs, fréquences de fonctionnement, coefficients de diffusion.</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Comment travailler :  </w:t>
      </w:r>
      <w:r>
        <w:rPr>
          <w:rFonts w:ascii="Arial" w:cs="Arial" w:eastAsia="Arial" w:hAnsi="Arial"/>
          <w:i/>
          <w:iCs/>
          <w:color w:val="444444"/>
          <w:sz w:val="21"/>
          <w:szCs w:val="21"/>
        </w:rPr>
        <w:t xml:space="preserve">Dessiner un QRD p=7 sur papier (7 puits). Utiliser le calculateur QRD en ligne de RPG Diffusor Systems. Comprendre les limites fréquentielles.</w:t>
      </w:r>
    </w:p>
    <w:p>
      <w:pPr>
        <w:pStyle w:val="Heading3"/>
        <w:spacing w:after="120" w:before="200"/>
      </w:pPr>
      <w:r>
        <w:rPr>
          <w:rFonts w:ascii="Arial" w:cs="Arial" w:eastAsia="Arial" w:hAnsi="Arial"/>
          <w:b/>
          <w:bCs/>
          <w:color w:val="2E4057"/>
          <w:sz w:val="24"/>
          <w:szCs w:val="24"/>
        </w:rPr>
        <w:t xml:space="preserve">9. L'effet Haas et la localisation sonore</w:t>
      </w:r>
    </w:p>
    <w:p>
      <w:pPr>
        <w:spacing w:after="160"/>
        <w:jc w:val="both"/>
      </w:pPr>
      <w:r>
        <w:rPr>
          <w:rFonts w:ascii="Arial" w:cs="Arial" w:eastAsia="Arial" w:hAnsi="Arial"/>
          <w:color w:val="000000"/>
          <w:sz w:val="22"/>
          <w:szCs w:val="22"/>
        </w:rPr>
        <w:t xml:space="preserve">Fusion des réflexions précoces, ITD, ILD, HRTF. Implications pour les systèmes de sonorisation (calcul des délais).</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Comment travailler :  </w:t>
      </w:r>
      <w:r>
        <w:rPr>
          <w:rFonts w:ascii="Arial" w:cs="Arial" w:eastAsia="Arial" w:hAnsi="Arial"/>
          <w:i/>
          <w:iCs/>
          <w:color w:val="444444"/>
          <w:sz w:val="21"/>
          <w:szCs w:val="21"/>
        </w:rPr>
        <w:t xml:space="preserve">Dans une DAW, envoyer le même signal sur deux enceintes avec délai variable. Observer le basculement fusion/écho vers 40 ms.</w:t>
      </w:r>
    </w:p>
    <w:p>
      <w:pPr>
        <w:pStyle w:val="Heading3"/>
        <w:spacing w:after="120" w:before="200"/>
      </w:pPr>
      <w:r>
        <w:rPr>
          <w:rFonts w:ascii="Arial" w:cs="Arial" w:eastAsia="Arial" w:hAnsi="Arial"/>
          <w:b/>
          <w:bCs/>
          <w:color w:val="2E4057"/>
          <w:sz w:val="24"/>
          <w:szCs w:val="24"/>
        </w:rPr>
        <w:t xml:space="preserve">10. La psychoacoustique : ASW, LEV, intimacy</w:t>
      </w:r>
    </w:p>
    <w:p>
      <w:pPr>
        <w:spacing w:after="160"/>
        <w:jc w:val="both"/>
      </w:pPr>
      <w:r>
        <w:rPr>
          <w:rFonts w:ascii="Arial" w:cs="Arial" w:eastAsia="Arial" w:hAnsi="Arial"/>
          <w:color w:val="000000"/>
          <w:sz w:val="22"/>
          <w:szCs w:val="22"/>
        </w:rPr>
        <w:t xml:space="preserve">Relier les paramètres objectifs (JLF, IACC early/late) aux attributs subjectifs (ASW, LEV, intimité). Distinguer IACC early (ASW) et IACC late (LEV).</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Comment travailler :  </w:t>
      </w:r>
      <w:r>
        <w:rPr>
          <w:rFonts w:ascii="Arial" w:cs="Arial" w:eastAsia="Arial" w:hAnsi="Arial"/>
          <w:i/>
          <w:iCs/>
          <w:color w:val="444444"/>
          <w:sz w:val="21"/>
          <w:szCs w:val="21"/>
        </w:rPr>
        <w:t xml:space="preserve">Écouter des enregistrements binauraux (Musikverein vs. Berlin Philharmonie) via BRIRs disponibles en ligne. Évaluer subjectivement l'enveloppement et la largeur.</w:t>
      </w:r>
    </w:p>
    <w:p>
      <w:pPr>
        <w:pStyle w:val="Heading3"/>
        <w:spacing w:after="120" w:before="200"/>
      </w:pPr>
      <w:r>
        <w:rPr>
          <w:rFonts w:ascii="Arial" w:cs="Arial" w:eastAsia="Arial" w:hAnsi="Arial"/>
          <w:b/>
          <w:bCs/>
          <w:color w:val="2E4057"/>
          <w:sz w:val="24"/>
          <w:szCs w:val="24"/>
        </w:rPr>
        <w:t xml:space="preserve">11. Le STI et l'intelligibilité de la parole</w:t>
      </w:r>
    </w:p>
    <w:p>
      <w:pPr>
        <w:spacing w:after="160"/>
        <w:jc w:val="both"/>
      </w:pPr>
      <w:r>
        <w:rPr>
          <w:rFonts w:ascii="Arial" w:cs="Arial" w:eastAsia="Arial" w:hAnsi="Arial"/>
          <w:color w:val="000000"/>
          <w:sz w:val="22"/>
          <w:szCs w:val="22"/>
        </w:rPr>
        <w:t xml:space="preserve">Définition, méthode de mesure (STIPA), valeurs cibles, dépendance au fond de bruit et à T60.</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Comment travailler :  </w:t>
      </w:r>
      <w:r>
        <w:rPr>
          <w:rFonts w:ascii="Arial" w:cs="Arial" w:eastAsia="Arial" w:hAnsi="Arial"/>
          <w:i/>
          <w:iCs/>
          <w:color w:val="444444"/>
          <w:sz w:val="21"/>
          <w:szCs w:val="21"/>
        </w:rPr>
        <w:t xml:space="preserve">Mesurer le STI dans une salle de classe, un couloir, une église avec logiciel REW (onglet STI) ou un appareil dédié. Observer l'effet du bruit de fond sur le résultat.</w:t>
      </w:r>
    </w:p>
    <w:p>
      <w:pPr>
        <w:pStyle w:val="Heading3"/>
        <w:spacing w:after="120" w:before="200"/>
      </w:pPr>
      <w:r>
        <w:rPr>
          <w:rFonts w:ascii="Arial" w:cs="Arial" w:eastAsia="Arial" w:hAnsi="Arial"/>
          <w:b/>
          <w:bCs/>
          <w:color w:val="2E4057"/>
          <w:sz w:val="24"/>
          <w:szCs w:val="24"/>
        </w:rPr>
        <w:t xml:space="preserve">12. L'isolation acoustique — Indice R</w:t>
      </w:r>
    </w:p>
    <w:p>
      <w:pPr>
        <w:spacing w:after="160"/>
        <w:jc w:val="both"/>
      </w:pPr>
      <w:r>
        <w:rPr>
          <w:rFonts w:ascii="Arial" w:cs="Arial" w:eastAsia="Arial" w:hAnsi="Arial"/>
          <w:color w:val="000000"/>
          <w:sz w:val="22"/>
          <w:szCs w:val="22"/>
        </w:rPr>
        <w:t xml:space="preserve">Loi de masse, parois doubles (f₀ en mètres !), fréquence critique, ponts phoniques. Calculer R pour des structures simples.</w:t>
      </w:r>
    </w:p>
    <w:p>
      <w:pPr>
        <w:pBdr>
          <w:left w:val="single" w:color="2E75B6" w:sz="14" w:space="4"/>
        </w:pBdr>
        <w:shd w:fill="D6E4F0" w:val="clear"/>
        <w:spacing w:after="120" w:before="120"/>
        <w:ind w:left="360" w:right="360"/>
      </w:pPr>
      <w:r>
        <w:rPr>
          <w:rFonts w:ascii="Arial" w:cs="Arial" w:eastAsia="Arial" w:hAnsi="Arial"/>
          <w:b/>
          <w:bCs/>
          <w:color w:val="2E75B6"/>
          <w:sz w:val="21"/>
          <w:szCs w:val="21"/>
        </w:rPr>
        <w:t xml:space="preserve">Comment travailler :  </w:t>
      </w:r>
      <w:r>
        <w:rPr>
          <w:rFonts w:ascii="Arial" w:cs="Arial" w:eastAsia="Arial" w:hAnsi="Arial"/>
          <w:i/>
          <w:iCs/>
          <w:color w:val="444444"/>
          <w:sz w:val="21"/>
          <w:szCs w:val="21"/>
        </w:rPr>
        <w:t xml:space="preserve">Mesurer avec REW le Transmission Loss d'une paroi (technique des deux pièces). Comparer avec la valeur calculée par la loi de masse.</w:t>
      </w:r>
    </w:p>
    <w:p>
      <w:pPr>
        <w:pStyle w:val="Heading2"/>
        <w:pBdr>
          <w:bottom w:val="single" w:color="2E75B6" w:sz="4" w:space="1"/>
        </w:pBdr>
        <w:spacing w:after="160" w:before="280"/>
      </w:pPr>
      <w:r>
        <w:rPr>
          <w:rFonts w:ascii="Arial" w:cs="Arial" w:eastAsia="Arial" w:hAnsi="Arial"/>
          <w:b/>
          <w:bCs/>
          <w:color w:val="2E75B6"/>
          <w:sz w:val="26"/>
          <w:szCs w:val="26"/>
        </w:rPr>
        <w:t xml:space="preserve">11.2 Plan de travail hebdomadaire conseillé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600"/>
        <w:gridCol w:w="4660"/>
      </w:tblGrid>
      <w:tr>
        <w:trPr>
          <w:tblHeader/>
        </w:trPr>
        <w:tc>
          <w:tcPr>
            <w:tcW w:type="dxa" w:w="7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Semaine</w:t>
            </w:r>
          </w:p>
        </w:tc>
        <w:tc>
          <w:tcPr>
            <w:tcW w:type="dxa" w:w="14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Thème central</w:t>
            </w:r>
          </w:p>
        </w:tc>
        <w:tc>
          <w:tcPr>
            <w:tcW w:type="dxa" w:w="26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Notions clés</w:t>
            </w:r>
          </w:p>
        </w:tc>
        <w:tc>
          <w:tcPr>
            <w:tcW w:type="dxa" w:w="46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Pratique conseillée</w:t>
            </w:r>
          </w:p>
        </w:tc>
      </w:tr>
      <w:tr>
        <w:trPr>
          <w:tblHeader w:val="false"/>
        </w:trPr>
        <w:tc>
          <w:tcPr>
            <w:tcW w:type="dxa" w:w="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Fondamentaux physiques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Décibel, ondes, vitesse son, longueur d'onde</w:t>
            </w:r>
          </w:p>
        </w:tc>
        <w:tc>
          <w:tcPr>
            <w:tcW w:type="dxa" w:w="46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Calculs dB, mesures SPL smartphone</w:t>
            </w:r>
          </w:p>
        </w:tc>
      </w:tr>
      <w:tr>
        <w:trPr>
          <w:tblHeader w:val="false"/>
        </w:trPr>
        <w:tc>
          <w:tcPr>
            <w:tcW w:type="dxa" w:w="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Acoustique des salles I</w:t>
            </w:r>
          </w:p>
        </w:tc>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T60, Sabine/Eyring, absorption α</w:t>
            </w:r>
          </w:p>
        </w:tc>
        <w:tc>
          <w:tcPr>
            <w:tcW w:type="dxa" w:w="46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Mesure T60 REW dans 3 pièces</w:t>
            </w:r>
          </w:p>
        </w:tc>
      </w:tr>
      <w:tr>
        <w:trPr>
          <w:tblHeader w:val="false"/>
        </w:trPr>
        <w:tc>
          <w:tcPr>
            <w:tcW w:type="dxa" w:w="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3</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Acoustique des salles II</w:t>
            </w:r>
          </w:p>
        </w:tc>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Modes de salle, fréquence de Schroeder</w:t>
            </w:r>
          </w:p>
        </w:tc>
        <w:tc>
          <w:tcPr>
            <w:tcW w:type="dxa" w:w="46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Calcul modes, visualisation spectrogramme REW</w:t>
            </w:r>
          </w:p>
        </w:tc>
      </w:tr>
      <w:tr>
        <w:trPr>
          <w:tblHeader w:val="false"/>
        </w:trPr>
        <w:tc>
          <w:tcPr>
            <w:tcW w:type="dxa" w:w="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4</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Psychoacoustique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Haas, ASW, LEV, IACC, C80</w:t>
            </w:r>
          </w:p>
        </w:tc>
        <w:tc>
          <w:tcPr>
            <w:tcW w:type="dxa" w:w="46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Écoute BRIRs de salles, évaluation subjective</w:t>
            </w:r>
          </w:p>
        </w:tc>
      </w:tr>
      <w:tr>
        <w:trPr>
          <w:tblHeader w:val="false"/>
        </w:trPr>
        <w:tc>
          <w:tcPr>
            <w:tcW w:type="dxa" w:w="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Matériaux et traitement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Types absorbeurs, calculs résonance (d en m)</w:t>
            </w:r>
          </w:p>
        </w:tc>
        <w:tc>
          <w:tcPr>
            <w:tcW w:type="dxa" w:w="46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Construction bass trap, mesure avant/après</w:t>
            </w:r>
          </w:p>
        </w:tc>
      </w:tr>
      <w:tr>
        <w:trPr>
          <w:tblHeader w:val="false"/>
        </w:trPr>
        <w:tc>
          <w:tcPr>
            <w:tcW w:type="dxa" w:w="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6</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Mesure et simulation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RIR, ISO 3382, logiciels de simulation</w:t>
            </w:r>
          </w:p>
        </w:tc>
        <w:tc>
          <w:tcPr>
            <w:tcW w:type="dxa" w:w="46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Mesure complète + simulation Pachyderm</w:t>
            </w:r>
          </w:p>
        </w:tc>
      </w:tr>
      <w:tr>
        <w:trPr>
          <w:tblHeader w:val="false"/>
        </w:trPr>
        <w:tc>
          <w:tcPr>
            <w:tcW w:type="dxa" w:w="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7</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Systèmes de sonorisation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Directivité, delay Haas, SPL, retours</w:t>
            </w:r>
          </w:p>
        </w:tc>
        <w:tc>
          <w:tcPr>
            <w:tcW w:type="dxa" w:w="46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Montage petit système, mesure délai</w:t>
            </w:r>
          </w:p>
        </w:tc>
      </w:tr>
      <w:tr>
        <w:trPr>
          <w:tblHeader w:val="false"/>
        </w:trPr>
        <w:tc>
          <w:tcPr>
            <w:tcW w:type="dxa" w:w="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8</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Projet intégrateur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Diagnostic, recommandations, rapport</w:t>
            </w:r>
          </w:p>
        </w:tc>
        <w:tc>
          <w:tcPr>
            <w:tcW w:type="dxa" w:w="46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Audit acoustique d'une vraie salle</w:t>
            </w:r>
          </w:p>
        </w:tc>
      </w:tr>
    </w:tbl>
    <w:p>
      <w:pPr>
        <w:spacing w:after="100"/>
      </w:pPr>
      <w:r>
        <w:t xml:space="preserve"/>
      </w:r>
    </w:p>
    <w:p>
      <w:pPr>
        <w:pStyle w:val="Heading2"/>
        <w:pBdr>
          <w:bottom w:val="single" w:color="2E75B6" w:sz="4" w:space="1"/>
        </w:pBdr>
        <w:spacing w:after="160" w:before="280"/>
      </w:pPr>
      <w:r>
        <w:rPr>
          <w:rFonts w:ascii="Arial" w:cs="Arial" w:eastAsia="Arial" w:hAnsi="Arial"/>
          <w:b/>
          <w:bCs/>
          <w:color w:val="2E75B6"/>
          <w:sz w:val="26"/>
          <w:szCs w:val="26"/>
        </w:rPr>
        <w:t xml:space="preserve">11.3 Ressources et outils</w:t>
      </w:r>
    </w:p>
    <w:p>
      <w:pPr>
        <w:pStyle w:val="Heading3"/>
        <w:spacing w:after="120" w:before="200"/>
      </w:pPr>
      <w:r>
        <w:rPr>
          <w:rFonts w:ascii="Arial" w:cs="Arial" w:eastAsia="Arial" w:hAnsi="Arial"/>
          <w:b/>
          <w:bCs/>
          <w:color w:val="2E4057"/>
          <w:sz w:val="24"/>
          <w:szCs w:val="24"/>
        </w:rPr>
        <w:t xml:space="preserve">Logiciels gratuits</w:t>
      </w:r>
    </w:p>
    <w:p>
      <w:pPr>
        <w:pStyle w:val="ListParagraph"/>
        <w:numPr>
          <w:ilvl w:val="0"/>
          <w:numId w:val="2"/>
        </w:numPr>
        <w:spacing w:after="80"/>
      </w:pPr>
      <w:r>
        <w:rPr>
          <w:rFonts w:ascii="Arial" w:cs="Arial" w:eastAsia="Arial" w:hAnsi="Arial"/>
          <w:color w:val="000000"/>
          <w:sz w:val="22"/>
          <w:szCs w:val="22"/>
        </w:rPr>
        <w:t xml:space="preserve">REW — Room EQ Wizard (roomeqwizard.com) : mesure et analyse RIR, T60, SPL, waterfall. Incontournable.</w:t>
      </w:r>
    </w:p>
    <w:p>
      <w:pPr>
        <w:pStyle w:val="ListParagraph"/>
        <w:numPr>
          <w:ilvl w:val="0"/>
          <w:numId w:val="2"/>
        </w:numPr>
        <w:spacing w:after="80"/>
      </w:pPr>
      <w:r>
        <w:rPr>
          <w:rFonts w:ascii="Arial" w:cs="Arial" w:eastAsia="Arial" w:hAnsi="Arial"/>
          <w:color w:val="000000"/>
          <w:sz w:val="22"/>
          <w:szCs w:val="22"/>
        </w:rPr>
        <w:t xml:space="preserve">Pachyderm Acoustic (food4rhino.com) : simulation ray tracing dans Rhinoceros 3D. Open-source.</w:t>
      </w:r>
    </w:p>
    <w:p>
      <w:pPr>
        <w:pStyle w:val="ListParagraph"/>
        <w:numPr>
          <w:ilvl w:val="0"/>
          <w:numId w:val="2"/>
        </w:numPr>
        <w:spacing w:after="80"/>
      </w:pPr>
      <w:r>
        <w:rPr>
          <w:rFonts w:ascii="Arial" w:cs="Arial" w:eastAsia="Arial" w:hAnsi="Arial"/>
          <w:color w:val="000000"/>
          <w:sz w:val="22"/>
          <w:szCs w:val="22"/>
        </w:rPr>
        <w:t xml:space="preserve">ARTA (artalabs.hr) : analyse de réponse impulsionnelle, distorsion, RT.</w:t>
      </w:r>
    </w:p>
    <w:p>
      <w:pPr>
        <w:pStyle w:val="ListParagraph"/>
        <w:numPr>
          <w:ilvl w:val="0"/>
          <w:numId w:val="2"/>
        </w:numPr>
        <w:spacing w:after="80"/>
      </w:pPr>
      <w:r>
        <w:rPr>
          <w:rFonts w:ascii="Arial" w:cs="Arial" w:eastAsia="Arial" w:hAnsi="Arial"/>
          <w:color w:val="000000"/>
          <w:sz w:val="22"/>
          <w:szCs w:val="22"/>
        </w:rPr>
        <w:t xml:space="preserve">Aurora (plug-in Audacity) : calcul de paramètres ISO 3382 depuis une RIR.</w:t>
      </w:r>
    </w:p>
    <w:p>
      <w:pPr>
        <w:pStyle w:val="ListParagraph"/>
        <w:numPr>
          <w:ilvl w:val="0"/>
          <w:numId w:val="2"/>
        </w:numPr>
        <w:spacing w:after="80"/>
      </w:pPr>
      <w:r>
        <w:rPr>
          <w:rFonts w:ascii="Arial" w:cs="Arial" w:eastAsia="Arial" w:hAnsi="Arial"/>
          <w:color w:val="000000"/>
          <w:sz w:val="22"/>
          <w:szCs w:val="22"/>
        </w:rPr>
        <w:t xml:space="preserve">AMROC Room Mode Calculator (amroc.ideolo.org) : visualisation des modes de salle 3D.</w:t>
      </w:r>
    </w:p>
    <w:p>
      <w:pPr>
        <w:pStyle w:val="Heading3"/>
        <w:spacing w:after="120" w:before="200"/>
      </w:pPr>
      <w:r>
        <w:rPr>
          <w:rFonts w:ascii="Arial" w:cs="Arial" w:eastAsia="Arial" w:hAnsi="Arial"/>
          <w:b/>
          <w:bCs/>
          <w:color w:val="2E4057"/>
          <w:sz w:val="24"/>
          <w:szCs w:val="24"/>
        </w:rPr>
        <w:t xml:space="preserve">Références bibliographiques clés</w:t>
      </w:r>
    </w:p>
    <w:p>
      <w:pPr>
        <w:pStyle w:val="ListParagraph"/>
        <w:numPr>
          <w:ilvl w:val="0"/>
          <w:numId w:val="2"/>
        </w:numPr>
        <w:spacing w:after="80"/>
      </w:pPr>
      <w:r>
        <w:rPr>
          <w:rFonts w:ascii="Arial" w:cs="Arial" w:eastAsia="Arial" w:hAnsi="Arial"/>
          <w:color w:val="000000"/>
          <w:sz w:val="22"/>
          <w:szCs w:val="22"/>
        </w:rPr>
        <w:t xml:space="preserve">Kuttruff H. (2009) — Room Acoustics (5th ed.), Spon Press. La référence fondamentale et vérifiée.</w:t>
      </w:r>
    </w:p>
    <w:p>
      <w:pPr>
        <w:pStyle w:val="ListParagraph"/>
        <w:numPr>
          <w:ilvl w:val="0"/>
          <w:numId w:val="2"/>
        </w:numPr>
        <w:spacing w:after="80"/>
      </w:pPr>
      <w:r>
        <w:rPr>
          <w:rFonts w:ascii="Arial" w:cs="Arial" w:eastAsia="Arial" w:hAnsi="Arial"/>
          <w:color w:val="000000"/>
          <w:sz w:val="22"/>
          <w:szCs w:val="22"/>
        </w:rPr>
        <w:t xml:space="preserve">Beranek L. (2004) — Concert Halls and Opera Houses (2nd ed.), Springer. 70 salles mesurées et documentées.</w:t>
      </w:r>
    </w:p>
    <w:p>
      <w:pPr>
        <w:pStyle w:val="ListParagraph"/>
        <w:numPr>
          <w:ilvl w:val="0"/>
          <w:numId w:val="2"/>
        </w:numPr>
        <w:spacing w:after="80"/>
      </w:pPr>
      <w:r>
        <w:rPr>
          <w:rFonts w:ascii="Arial" w:cs="Arial" w:eastAsia="Arial" w:hAnsi="Arial"/>
          <w:color w:val="000000"/>
          <w:sz w:val="22"/>
          <w:szCs w:val="22"/>
        </w:rPr>
        <w:t xml:space="preserve">Everest &amp; Pohlmann (2014) — Master Handbook of Acoustics (6th ed.), McGraw-Hill. Pratique et accessible.</w:t>
      </w:r>
    </w:p>
    <w:p>
      <w:pPr>
        <w:pStyle w:val="ListParagraph"/>
        <w:numPr>
          <w:ilvl w:val="0"/>
          <w:numId w:val="2"/>
        </w:numPr>
        <w:spacing w:after="80"/>
      </w:pPr>
      <w:r>
        <w:rPr>
          <w:rFonts w:ascii="Arial" w:cs="Arial" w:eastAsia="Arial" w:hAnsi="Arial"/>
          <w:color w:val="000000"/>
          <w:sz w:val="22"/>
          <w:szCs w:val="22"/>
        </w:rPr>
        <w:t xml:space="preserve">Cox &amp; D'Antonio (2009) — Acoustic Absorbers and Diffusers (2nd ed.), Spon Press. Référence sur le traitement.</w:t>
      </w:r>
    </w:p>
    <w:p>
      <w:pPr>
        <w:pStyle w:val="ListParagraph"/>
        <w:numPr>
          <w:ilvl w:val="0"/>
          <w:numId w:val="2"/>
        </w:numPr>
        <w:spacing w:after="80"/>
      </w:pPr>
      <w:r>
        <w:rPr>
          <w:rFonts w:ascii="Arial" w:cs="Arial" w:eastAsia="Arial" w:hAnsi="Arial"/>
          <w:color w:val="000000"/>
          <w:sz w:val="22"/>
          <w:szCs w:val="22"/>
        </w:rPr>
        <w:t xml:space="preserve">Vorländer M. (2008) — Auralization, Springer. Simulation et auralization.</w:t>
      </w:r>
    </w:p>
    <w:p>
      <w:pPr>
        <w:pStyle w:val="ListParagraph"/>
        <w:numPr>
          <w:ilvl w:val="0"/>
          <w:numId w:val="2"/>
        </w:numPr>
        <w:spacing w:after="80"/>
      </w:pPr>
      <w:r>
        <w:rPr>
          <w:rFonts w:ascii="Arial" w:cs="Arial" w:eastAsia="Arial" w:hAnsi="Arial"/>
          <w:color w:val="000000"/>
          <w:sz w:val="22"/>
          <w:szCs w:val="22"/>
        </w:rPr>
        <w:t xml:space="preserve">Blauert J. (1996) — Spatial Hearing (revised ed.), MIT Press. Psychoacoustique binaurale.</w:t>
      </w:r>
    </w:p>
    <w:p>
      <w:pPr>
        <w:pStyle w:val="ListParagraph"/>
        <w:numPr>
          <w:ilvl w:val="0"/>
          <w:numId w:val="2"/>
        </w:numPr>
        <w:spacing w:after="80"/>
      </w:pPr>
      <w:r>
        <w:rPr>
          <w:rFonts w:ascii="Arial" w:cs="Arial" w:eastAsia="Arial" w:hAnsi="Arial"/>
          <w:color w:val="000000"/>
          <w:sz w:val="22"/>
          <w:szCs w:val="22"/>
        </w:rPr>
        <w:t xml:space="preserve">Howard &amp; Angus (2006) — Acoustics and Psychoacoustics (4th ed.), Focal Press. Pédagogique et accessible.</w:t>
      </w:r>
    </w:p>
    <w:p>
      <w:pPr>
        <w:pStyle w:val="ListParagraph"/>
        <w:numPr>
          <w:ilvl w:val="0"/>
          <w:numId w:val="2"/>
        </w:numPr>
        <w:spacing w:after="80"/>
      </w:pPr>
      <w:r>
        <w:rPr>
          <w:rFonts w:ascii="Arial" w:cs="Arial" w:eastAsia="Arial" w:hAnsi="Arial"/>
          <w:color w:val="000000"/>
          <w:sz w:val="22"/>
          <w:szCs w:val="22"/>
        </w:rPr>
        <w:t xml:space="preserve">ISO 3382-1:2009 (concert halls) et ISO 3382-2:2008 (ordinary rooms). Normes fondamentales.</w:t>
      </w:r>
    </w:p>
    <w:p>
      <w:pPr>
        <w:pStyle w:val="Heading3"/>
        <w:spacing w:after="120" w:before="200"/>
      </w:pPr>
      <w:r>
        <w:rPr>
          <w:rFonts w:ascii="Arial" w:cs="Arial" w:eastAsia="Arial" w:hAnsi="Arial"/>
          <w:b/>
          <w:bCs/>
          <w:color w:val="2E4057"/>
          <w:sz w:val="24"/>
          <w:szCs w:val="24"/>
        </w:rPr>
        <w:t xml:space="preserve">Cours en ligne</w:t>
      </w:r>
    </w:p>
    <w:p>
      <w:pPr>
        <w:pStyle w:val="ListParagraph"/>
        <w:numPr>
          <w:ilvl w:val="0"/>
          <w:numId w:val="2"/>
        </w:numPr>
        <w:spacing w:after="80"/>
      </w:pPr>
      <w:r>
        <w:rPr>
          <w:rFonts w:ascii="Arial" w:cs="Arial" w:eastAsia="Arial" w:hAnsi="Arial"/>
          <w:color w:val="000000"/>
          <w:sz w:val="22"/>
          <w:szCs w:val="22"/>
        </w:rPr>
        <w:t xml:space="preserve">RWTHx — Communication Acoustics (edX) : cours complet RWTH Aachen, gratuit en audit.</w:t>
      </w:r>
    </w:p>
    <w:p>
      <w:pPr>
        <w:pStyle w:val="ListParagraph"/>
        <w:numPr>
          <w:ilvl w:val="0"/>
          <w:numId w:val="2"/>
        </w:numPr>
        <w:spacing w:after="80"/>
      </w:pPr>
      <w:r>
        <w:rPr>
          <w:rFonts w:ascii="Arial" w:cs="Arial" w:eastAsia="Arial" w:hAnsi="Arial"/>
          <w:color w:val="000000"/>
          <w:sz w:val="22"/>
          <w:szCs w:val="22"/>
        </w:rPr>
        <w:t xml:space="preserve">RWTH Aachen — Intensivkurs Raumakustik (IHA) : acoustique des salles et sonorisation.</w:t>
      </w:r>
    </w:p>
    <w:p>
      <w:pPr>
        <w:pStyle w:val="ListParagraph"/>
        <w:numPr>
          <w:ilvl w:val="0"/>
          <w:numId w:val="2"/>
        </w:numPr>
        <w:spacing w:after="80"/>
      </w:pPr>
      <w:r>
        <w:rPr>
          <w:rFonts w:ascii="Arial" w:cs="Arial" w:eastAsia="Arial" w:hAnsi="Arial"/>
          <w:color w:val="000000"/>
          <w:sz w:val="22"/>
          <w:szCs w:val="22"/>
        </w:rPr>
        <w:t xml:space="preserve">IIT Kharagpur — Architectural Acoustics (Swayam/NPTEL) : cours académique complet.</w:t>
      </w:r>
    </w:p>
    <w:p>
      <w:pPr>
        <w:pStyle w:val="ListParagraph"/>
        <w:numPr>
          <w:ilvl w:val="0"/>
          <w:numId w:val="2"/>
        </w:numPr>
        <w:spacing w:after="80"/>
      </w:pPr>
      <w:r>
        <w:rPr>
          <w:rFonts w:ascii="Arial" w:cs="Arial" w:eastAsia="Arial" w:hAnsi="Arial"/>
          <w:color w:val="000000"/>
          <w:sz w:val="22"/>
          <w:szCs w:val="22"/>
        </w:rPr>
        <w:t xml:space="preserve">OpenAIR Library (openair.hosted.york.ac.uk) : bibliothèque de RIR mesurées dans des espaces du monde entier.</w:t>
      </w:r>
    </w:p>
    <w:p>
      <w:r>
        <w:br w:type="page"/>
      </w:r>
    </w:p>
    <w:p>
      <w:pPr>
        <w:pStyle w:val="Heading1"/>
        <w:shd w:fill="1F4E79" w:val="clear"/>
        <w:spacing w:after="240" w:before="360"/>
      </w:pPr>
      <w:r>
        <w:rPr>
          <w:rFonts w:ascii="Arial" w:cs="Arial" w:eastAsia="Arial" w:hAnsi="Arial"/>
          <w:b/>
          <w:bCs/>
          <w:color w:val="FFFFFF"/>
          <w:sz w:val="32"/>
          <w:szCs w:val="32"/>
        </w:rPr>
        <w:t xml:space="preserve">MODULE 12 — ÉTUDES DE CAS : GRANDES SALLES DE CONCERT</w:t>
      </w:r>
    </w:p>
    <w:p>
      <w:pPr>
        <w:pStyle w:val="Heading2"/>
        <w:pBdr>
          <w:bottom w:val="single" w:color="2E75B6" w:sz="4" w:space="1"/>
        </w:pBdr>
        <w:spacing w:after="160" w:before="280"/>
      </w:pPr>
      <w:r>
        <w:rPr>
          <w:rFonts w:ascii="Arial" w:cs="Arial" w:eastAsia="Arial" w:hAnsi="Arial"/>
          <w:b/>
          <w:bCs/>
          <w:color w:val="2E75B6"/>
          <w:sz w:val="26"/>
          <w:szCs w:val="26"/>
        </w:rPr>
        <w:t xml:space="preserve">12.1 Musikverein Vienne (1870) — La référence mondiale</w:t>
      </w:r>
    </w:p>
    <w:p>
      <w:pPr>
        <w:spacing w:after="160"/>
        <w:jc w:val="both"/>
      </w:pPr>
      <w:r>
        <w:rPr>
          <w:rFonts w:ascii="Arial" w:cs="Arial" w:eastAsia="Arial" w:hAnsi="Arial"/>
          <w:color w:val="000000"/>
          <w:sz w:val="22"/>
          <w:szCs w:val="22"/>
        </w:rPr>
        <w:t xml:space="preserve">Le Großer Musikvereinssaal de Vienne est universellement considéré comme une des meilleures salles de concert du monde pour la musique symphonique romantique.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Paramètre</w:t>
            </w:r>
          </w:p>
        </w:tc>
        <w:tc>
          <w:tcPr>
            <w:tcW w:type="dxa" w:w="25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Valeur mesurée</w:t>
            </w:r>
          </w:p>
        </w:tc>
        <w:tc>
          <w:tcPr>
            <w:tcW w:type="dxa" w:w="43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Commentaire</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Volume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15 000 m³</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Boîte à chaussures : 50 m × 19 m × 18 m</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Capacité</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1744 sièges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&gt; 8 m³/siège</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T60 (occupé, 500 Hz)</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2.0 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Long, enveloppant, caractéristique du répertoire romantique</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EDT</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2.1 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Très vivant</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C80 (moyen)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−1.5 dB</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Légèrement réverbérant, excellent blend orchestral</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G (moyen)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+5 dB</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Fort — présence perçue élevée</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ITDG (1ères loges)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18 ms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Très bon — intimité acoustique élevée</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JLF (moyen)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0.18</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Bonne spatialité, ASW élevé</w:t>
            </w:r>
          </w:p>
        </w:tc>
      </w:tr>
    </w:tbl>
    <w:p>
      <w:pPr>
        <w:spacing w:after="100"/>
      </w:pPr>
      <w:r>
        <w:t xml:space="preserve"/>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Les valeurs mesurées de cette salle varient selon les sources et la méthode de mesure (position de source, occupation). Les valeurs citées ici sont issues de Beranek (2004) et correspondent à des mesures en configuration occupée. Les mesures en salle vide donnent T60 ≈ 2.5–2.7 s.</w:t>
      </w:r>
    </w:p>
    <w:p>
      <w:pPr>
        <w:spacing w:after="160"/>
        <w:jc w:val="both"/>
      </w:pPr>
      <w:r>
        <w:rPr>
          <w:rFonts w:ascii="Arial" w:cs="Arial" w:eastAsia="Arial" w:hAnsi="Arial"/>
          <w:color w:val="000000"/>
          <w:sz w:val="22"/>
          <w:szCs w:val="22"/>
        </w:rPr>
        <w:t xml:space="preserve">Caractéristiques architecturales contribuant à ces paramètres : forme rectangulaire étroite (ratio L/l ≈ 2.6 → forts réflexions latérales), 32 caryatides et balcons créant diffusion naturelle, parquet sur lambourdes (absorption naturelle dans le grave).</w:t>
      </w:r>
    </w:p>
    <w:p>
      <w:pPr>
        <w:pStyle w:val="Heading2"/>
        <w:pBdr>
          <w:bottom w:val="single" w:color="2E75B6" w:sz="4" w:space="1"/>
        </w:pBdr>
        <w:spacing w:after="160" w:before="280"/>
      </w:pPr>
      <w:r>
        <w:rPr>
          <w:rFonts w:ascii="Arial" w:cs="Arial" w:eastAsia="Arial" w:hAnsi="Arial"/>
          <w:b/>
          <w:bCs/>
          <w:color w:val="2E75B6"/>
          <w:sz w:val="26"/>
          <w:szCs w:val="26"/>
        </w:rPr>
        <w:t xml:space="preserve">12.2 Berlin Philharmonie (1963) — L'innovation du vignoble</w:t>
      </w:r>
    </w:p>
    <w:p>
      <w:pPr>
        <w:spacing w:after="160"/>
        <w:jc w:val="both"/>
      </w:pPr>
      <w:r>
        <w:rPr>
          <w:rFonts w:ascii="Arial" w:cs="Arial" w:eastAsia="Arial" w:hAnsi="Arial"/>
          <w:color w:val="000000"/>
          <w:sz w:val="22"/>
          <w:szCs w:val="22"/>
        </w:rPr>
        <w:t xml:space="preserve">La Berliner Philharmonie de Hans Scharoun a inauguré le concept de « vignoble » (Vineyard). Acoustique conçue par Lothar Cremer. Orchestre au centre entouré du public, enveloppement maximal.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Paramètre</w:t>
            </w:r>
          </w:p>
        </w:tc>
        <w:tc>
          <w:tcPr>
            <w:tcW w:type="dxa" w:w="468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Valeur</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Volume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21 000 m³</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Capacité</w:t>
            </w:r>
          </w:p>
        </w:tc>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2440 sièges</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T60 (occupé, 500 Hz)</w:t>
            </w:r>
          </w:p>
        </w:tc>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1.9 s</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C80 (moyen)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−1 dB</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ITDG (moyen)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12 ms</w:t>
            </w:r>
          </w:p>
        </w:tc>
      </w:tr>
    </w:tbl>
    <w:p>
      <w:pPr>
        <w:spacing w:after="100"/>
      </w:pPr>
      <w:r>
        <w:t xml:space="preserve"/>
      </w:r>
    </w:p>
    <w:p>
      <w:pPr>
        <w:pStyle w:val="Heading2"/>
        <w:pBdr>
          <w:bottom w:val="single" w:color="2E75B6" w:sz="4" w:space="1"/>
        </w:pBdr>
        <w:spacing w:after="160" w:before="280"/>
      </w:pPr>
      <w:r>
        <w:rPr>
          <w:rFonts w:ascii="Arial" w:cs="Arial" w:eastAsia="Arial" w:hAnsi="Arial"/>
          <w:b/>
          <w:bCs/>
          <w:color w:val="2E75B6"/>
          <w:sz w:val="26"/>
          <w:szCs w:val="26"/>
        </w:rPr>
        <w:t xml:space="preserve">12.3 Walt Disney Concert Hall Los Angeles (2003)</w:t>
      </w:r>
    </w:p>
    <w:p>
      <w:pPr>
        <w:spacing w:after="160"/>
        <w:jc w:val="both"/>
      </w:pPr>
      <w:r>
        <w:rPr>
          <w:rFonts w:ascii="Arial" w:cs="Arial" w:eastAsia="Arial" w:hAnsi="Arial"/>
          <w:color w:val="000000"/>
          <w:sz w:val="22"/>
          <w:szCs w:val="22"/>
        </w:rPr>
        <w:t xml:space="preserve">Architecture de Frank Gehry, acoustique de Yasuhisa Toyota / Nagata Acoustics. Vignoble avec plafond en bois de type « Lily Pad ». Acoustique entièrement naturelle, aucun renfort électroacoustique pour la musique classique. T60 ≈ 2.2 s (occupé).</w:t>
      </w:r>
    </w:p>
    <w:p>
      <w:pPr>
        <w:pStyle w:val="Heading2"/>
        <w:pBdr>
          <w:bottom w:val="single" w:color="2E75B6" w:sz="4" w:space="1"/>
        </w:pBdr>
        <w:spacing w:after="160" w:before="280"/>
      </w:pPr>
      <w:r>
        <w:rPr>
          <w:rFonts w:ascii="Arial" w:cs="Arial" w:eastAsia="Arial" w:hAnsi="Arial"/>
          <w:b/>
          <w:bCs/>
          <w:color w:val="2E75B6"/>
          <w:sz w:val="26"/>
          <w:szCs w:val="26"/>
        </w:rPr>
        <w:t xml:space="preserve">12.4 Elbphilharmonie Hambourg (2017)</w:t>
      </w:r>
    </w:p>
    <w:p>
      <w:pPr>
        <w:spacing w:after="160"/>
        <w:jc w:val="both"/>
      </w:pPr>
      <w:r>
        <w:rPr>
          <w:rFonts w:ascii="Arial" w:cs="Arial" w:eastAsia="Arial" w:hAnsi="Arial"/>
          <w:color w:val="000000"/>
          <w:sz w:val="22"/>
          <w:szCs w:val="22"/>
        </w:rPr>
        <w:t xml:space="preserve">Acoustique de Herbert Mueller / Müller-BBM. Grande Salle au cœur d'un entrepôt portuaire réhabilité. Vignoble, parois couvertes de 10 000 panneaux en fibre de gypse à profil organique 3D générant diffusion très uniforme et faible IACC. T60 ≈ 2.0 s (occupé).</w:t>
      </w:r>
    </w:p>
    <w:p>
      <w:r>
        <w:br w:type="page"/>
      </w:r>
    </w:p>
    <w:p>
      <w:pPr>
        <w:pStyle w:val="Heading1"/>
        <w:shd w:fill="1F4E79" w:val="clear"/>
        <w:spacing w:after="240" w:before="360"/>
      </w:pPr>
      <w:r>
        <w:rPr>
          <w:rFonts w:ascii="Arial" w:cs="Arial" w:eastAsia="Arial" w:hAnsi="Arial"/>
          <w:b/>
          <w:bCs/>
          <w:color w:val="FFFFFF"/>
          <w:sz w:val="32"/>
          <w:szCs w:val="32"/>
        </w:rPr>
        <w:t xml:space="preserve">ANNEXES</w:t>
      </w:r>
    </w:p>
    <w:p>
      <w:pPr>
        <w:pStyle w:val="Heading2"/>
        <w:pBdr>
          <w:bottom w:val="single" w:color="2E75B6" w:sz="4" w:space="1"/>
        </w:pBdr>
        <w:spacing w:after="160" w:before="280"/>
      </w:pPr>
      <w:r>
        <w:rPr>
          <w:rFonts w:ascii="Arial" w:cs="Arial" w:eastAsia="Arial" w:hAnsi="Arial"/>
          <w:b/>
          <w:bCs/>
          <w:color w:val="2E75B6"/>
          <w:sz w:val="26"/>
          <w:szCs w:val="26"/>
        </w:rPr>
        <w:t xml:space="preserve">A. Récapitulatif des corrections apportées à ce document</w:t>
      </w:r>
    </w:p>
    <w:p>
      <w:pPr>
        <w:spacing w:after="160"/>
        <w:jc w:val="both"/>
      </w:pPr>
      <w:r>
        <w:rPr>
          <w:rFonts w:ascii="Arial" w:cs="Arial" w:eastAsia="Arial" w:hAnsi="Arial"/>
          <w:color w:val="000000"/>
          <w:sz w:val="22"/>
          <w:szCs w:val="22"/>
        </w:rPr>
        <w:t xml:space="preserve">Par souci de transparence académique, voici les erreurs identifiées lors de l'audit et corrigées dans cette version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800"/>
        <w:gridCol w:w="4360"/>
      </w:tblGrid>
      <w:tr>
        <w:trPr>
          <w:tblHeader/>
        </w:trPr>
        <w:tc>
          <w:tcPr>
            <w:tcW w:type="dxa" w:w="5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N°</w:t>
            </w:r>
          </w:p>
        </w:tc>
        <w:tc>
          <w:tcPr>
            <w:tcW w:type="dxa" w:w="17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Localisation</w:t>
            </w:r>
          </w:p>
        </w:tc>
        <w:tc>
          <w:tcPr>
            <w:tcW w:type="dxa" w:w="28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Erreur initiale</w:t>
            </w:r>
          </w:p>
        </w:tc>
        <w:tc>
          <w:tcPr>
            <w:tcW w:type="dxa" w:w="43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Correction</w:t>
            </w:r>
          </w:p>
        </w:tc>
      </w:tr>
      <w:tr>
        <w:trPr>
          <w:tblHeader w:val="false"/>
        </w:trPr>
        <w:tc>
          <w:tcPr>
            <w:tcW w:type="dxa" w:w="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1</w:t>
            </w:r>
          </w:p>
        </w:tc>
        <w:tc>
          <w:tcPr>
            <w:tcW w:type="dxa" w:w="1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Module 4 — Absorbeur panneau</w:t>
            </w:r>
          </w:p>
        </w:tc>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Exemple calculait 60/√(7×10) avec d=10 cm mais affichait ≈72 Hz (résultat réel : 7.2 Hz)</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Formule clarifiée : d en MÈTRES. Exemple corrigé : 60/√(7×0.10) = 72 Hz ✓</w:t>
            </w:r>
          </w:p>
        </w:tc>
      </w:tr>
      <w:tr>
        <w:trPr>
          <w:tblHeader w:val="false"/>
        </w:trPr>
        <w:tc>
          <w:tcPr>
            <w:tcW w:type="dxa" w:w="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2</w:t>
            </w:r>
          </w:p>
        </w:tc>
        <w:tc>
          <w:tcPr>
            <w:tcW w:type="dxa" w:w="1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Module 6 — Double paroi</w:t>
            </w:r>
          </w:p>
        </w:tc>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Constante 83 utilisée sans justification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Remplacée par 60 (dérivation théorique à 20 °C fournie) + note d'attention sur la variante 85</w:t>
            </w:r>
          </w:p>
        </w:tc>
      </w:tr>
      <w:tr>
        <w:trPr>
          <w:tblHeader w:val="false"/>
        </w:trPr>
        <w:tc>
          <w:tcPr>
            <w:tcW w:type="dxa" w:w="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3</w:t>
            </w:r>
          </w:p>
        </w:tc>
        <w:tc>
          <w:tcPr>
            <w:tcW w:type="dxa" w:w="1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Exercice 10.2 — Volume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V = 113 m³ pour 5.4×4.2×2.6 m</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V = 5.4×4.2×2.6 = 59.0 m³ ✓</w:t>
            </w:r>
          </w:p>
        </w:tc>
      </w:tr>
      <w:tr>
        <w:trPr>
          <w:tblHeader w:val="false"/>
        </w:trPr>
        <w:tc>
          <w:tcPr>
            <w:tcW w:type="dxa" w:w="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4</w:t>
            </w:r>
          </w:p>
        </w:tc>
        <w:tc>
          <w:tcPr>
            <w:tcW w:type="dxa" w:w="1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Exercice 10.2 — Modes axe X</w:t>
            </w:r>
          </w:p>
        </w:tc>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Premiers modes listés : 63, 127... Hz (mode n=2 pris comme n=1)</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Corrigé : n=1 → 32 Hz, n=2 → 64 Hz, n=3 → 95 Hz...</w:t>
            </w:r>
          </w:p>
        </w:tc>
      </w:tr>
      <w:tr>
        <w:trPr>
          <w:tblHeader w:val="false"/>
        </w:trPr>
        <w:tc>
          <w:tcPr>
            <w:tcW w:type="dxa" w:w="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5</w:t>
            </w:r>
          </w:p>
        </w:tc>
        <w:tc>
          <w:tcPr>
            <w:tcW w:type="dxa" w:w="17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Exercice 10.2 — Fréquence de Schroeder</w:t>
            </w:r>
          </w:p>
        </w:tc>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fs = 111 Hz (calculé avec V=113 m³ incorrect)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fs = 2000×√(0.35/59.0) = 154 Hz ✓</w:t>
            </w:r>
          </w:p>
        </w:tc>
      </w:tr>
    </w:tbl>
    <w:p>
      <w:pPr>
        <w:spacing w:after="100"/>
      </w:pPr>
      <w:r>
        <w:t xml:space="preserve"/>
      </w:r>
    </w:p>
    <w:p>
      <w:pPr>
        <w:pStyle w:val="Heading2"/>
        <w:pBdr>
          <w:bottom w:val="single" w:color="2E75B6" w:sz="4" w:space="1"/>
        </w:pBdr>
        <w:spacing w:after="160" w:before="280"/>
      </w:pPr>
      <w:r>
        <w:rPr>
          <w:rFonts w:ascii="Arial" w:cs="Arial" w:eastAsia="Arial" w:hAnsi="Arial"/>
          <w:b/>
          <w:bCs/>
          <w:color w:val="2E75B6"/>
          <w:sz w:val="26"/>
          <w:szCs w:val="26"/>
        </w:rPr>
        <w:t xml:space="preserve">B. Glossaire acoustique français-anglais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Français</w:t>
            </w:r>
          </w:p>
        </w:tc>
        <w:tc>
          <w:tcPr>
            <w:tcW w:type="dxa" w:w="25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Anglais</w:t>
            </w:r>
          </w:p>
        </w:tc>
        <w:tc>
          <w:tcPr>
            <w:tcW w:type="dxa" w:w="43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r>
              <w:rPr>
                <w:rFonts w:ascii="Arial" w:cs="Arial" w:eastAsia="Arial" w:hAnsi="Arial"/>
                <w:b/>
                <w:bCs/>
                <w:color w:val="FFFFFF"/>
                <w:sz w:val="20"/>
                <w:szCs w:val="20"/>
              </w:rPr>
              <w:t xml:space="preserve">Symbole / Norme</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Temps de réverbération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Reverberation Time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T20, T30, T60 — ISO 3382</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Temps de décroissance précoce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Early Decay Time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EDT</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Indice de clarté musicale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Music Clarity</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C80 [dB]</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Définition / Clarté parole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Definition / Speech Clarity</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D50 [%], C50 [dB]</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Délai initial</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Initial Time Delay Gap</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ITDG [ms]</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Facteur de force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Sound Strength</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G [dB]</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Fraction d'énergie latérale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Lateral Energy Fraction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JLF — ISO 3382</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Corrélation interaurale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Interaural Cross Correlation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IACC — ISO 3382</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Indice de transmission parole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Speech Transmission Index</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STI, STIPA — IEC 60268-16</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Coefficient d'absorption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Sound Absorption Coefficient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α — ISO 354</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Aire d'absorption équivalente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Equivalent Absorption Area</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A [m² Sabine]</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Affaiblissement acoustique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Sound Reduction Index</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R [dB] — ISO 140 / ISO 16283</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Indice d'affaiblissement pondéré</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Weighted Sound Reduction Index</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Rw [dB] — ISO 717-1</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Bruit de fond</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Background Noise Level</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NR, NC [courbes]</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Réponse impulsionnelle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Room Impulse Response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RIR (mono) / BRIR (binaural)</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Auralization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Auralization / Convolution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(terme international)</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Champ diffus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Diffuse Field / Reverberant Field</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Champ libre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Free Field</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Distance critique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Critical Distance / Reverberation Radius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r_c [m]</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Onde stationnaire / mode propre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Standing Wave / Room Mode / Eigenfrequency</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Fréquence de Schroeder</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Schroeder Frequency</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f_s [Hz]</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Loi de masse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Mass Law</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Soutien de scène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Stage Support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ST_early [dB] — ISO 3382-1</w:t>
            </w:r>
          </w:p>
        </w:tc>
      </w:tr>
    </w:tbl>
    <w:p>
      <w:pPr>
        <w:spacing w:after="100"/>
      </w:pPr>
      <w:r>
        <w:t xml:space="preserve"/>
      </w:r>
    </w:p>
    <w:p>
      <w:pPr>
        <w:pStyle w:val="Heading2"/>
        <w:pBdr>
          <w:bottom w:val="single" w:color="2E75B6" w:sz="4" w:space="1"/>
        </w:pBdr>
        <w:spacing w:after="160" w:before="280"/>
      </w:pPr>
      <w:r>
        <w:rPr>
          <w:rFonts w:ascii="Arial" w:cs="Arial" w:eastAsia="Arial" w:hAnsi="Arial"/>
          <w:b/>
          <w:bCs/>
          <w:color w:val="2E75B6"/>
          <w:sz w:val="26"/>
          <w:szCs w:val="26"/>
        </w:rPr>
        <w:t xml:space="preserve">C. Toutes les formules de référence — Vérifiées</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Vitesse du son :  c = 331.3 + 0.6 × T(°C)   [m/s]</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Longueur d'onde :  λ = c / f   [m]</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SPL :  L_p = 20 × log₁₀(p / 20µPa)   [dB]</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Intensité :  L_I = 10 × log₁₀(I / 10⁻¹²)   [dB]</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Atténuation champ libre :  ΔL = 20 × log₁₀(r₁/r₂)   [dB]</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Sabine :  T60 = 0.161 × V / A   [s]    (valable pour ᾱ &lt; ~0.2)</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Eyring :  T60 = −0.161 × V / [S × ln(1−ᾱ)]   [s]    (valable pour tout ᾱ)</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Schroeder :  fs ≈ 2000 × √(T60 / V)   [Hz]</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Modes salle rect. :  f = (c/2) × √[(nx/Lx)² + (ny/Ly)² + (nz/Lz)²]   [Hz]</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Absorbeur panneau :  f₀ = 60 / √(m × d)   [Hz]    ← d en MÈTRES</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Double paroi :  f₀ = 60 × √((m₁+m₂) / (m₁×m₂×d))   [Hz]    ← d en MÈTRES</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Helmholtz :  f_H = (c/2π) × √(S / (V × L_eff))   [Hz]</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C80 :  10 × log₁₀ [∫₀⁸⁰ p²dt / ∫₈₀^∞ p²dt]   [dB]</w:t>
      </w:r>
    </w:p>
    <w:p>
      <w:pPr>
        <w:pBdr>
          <w:top w:val="single" w:color="AAAAAA" w:sz="1"/>
          <w:bottom w:val="single" w:color="AAAAAA" w:sz="1"/>
          <w:left w:val="single" w:color="AAAAAA" w:sz="1"/>
          <w:right w:val="single" w:color="AAAAAA" w:sz="1"/>
        </w:pBdr>
        <w:shd w:fill="F2F2F2" w:val="clear"/>
        <w:spacing w:after="120" w:before="120"/>
        <w:jc w:val="center"/>
      </w:pPr>
      <w:r>
        <w:rPr>
          <w:rFonts w:ascii="Courier New" w:cs="Courier New" w:eastAsia="Courier New" w:hAnsi="Courier New"/>
          <w:b/>
          <w:bCs/>
          <w:color w:val="1A1A1A"/>
          <w:sz w:val="22"/>
          <w:szCs w:val="22"/>
        </w:rPr>
        <w:t xml:space="preserve">Loi de masse (paroi simple) :  R ≈ 20 × log₁₀(m × f) − 47   [dB]</w:t>
      </w:r>
    </w:p>
    <w:p>
      <w:pPr>
        <w:pBdr>
          <w:left w:val="single" w:color="7B3F00" w:sz="14" w:space="4"/>
        </w:pBdr>
        <w:shd w:fill="FDE9D9" w:val="clear"/>
        <w:spacing w:after="120" w:before="120"/>
        <w:ind w:left="360" w:right="360"/>
      </w:pPr>
      <w:r>
        <w:rPr>
          <w:rFonts w:ascii="Arial" w:cs="Arial" w:eastAsia="Arial" w:hAnsi="Arial"/>
          <w:b/>
          <w:bCs/>
          <w:color w:val="7B3F00"/>
          <w:sz w:val="21"/>
          <w:szCs w:val="21"/>
        </w:rPr>
        <w:t xml:space="preserve">⚠ POINT D'ATTENTION  </w:t>
      </w:r>
      <w:r>
        <w:rPr>
          <w:rFonts w:ascii="Arial" w:cs="Arial" w:eastAsia="Arial" w:hAnsi="Arial"/>
          <w:color w:val="7B3F00"/>
          <w:sz w:val="21"/>
          <w:szCs w:val="21"/>
        </w:rPr>
        <w:t xml:space="preserve">RAPPEL UNITÉS CRITIQUES : Dans la formule de l'absorbeur à panneau et de la double paroi, d doit toujours être en MÈTRES (pas en centimètres). C'est la source d'erreur la plus fréquente dans la littérature grand public.</w:t>
      </w:r>
    </w:p>
    <w:p>
      <w:pPr>
        <w:pStyle w:val="Heading2"/>
        <w:pBdr>
          <w:bottom w:val="single" w:color="2E75B6" w:sz="4" w:space="1"/>
        </w:pBdr>
        <w:spacing w:after="160" w:before="280"/>
      </w:pPr>
      <w:r>
        <w:rPr>
          <w:rFonts w:ascii="Arial" w:cs="Arial" w:eastAsia="Arial" w:hAnsi="Arial"/>
          <w:b/>
          <w:bCs/>
          <w:color w:val="2E75B6"/>
          <w:sz w:val="26"/>
          <w:szCs w:val="26"/>
        </w:rPr>
        <w:t xml:space="preserve">D. Checklist de diagnostic acoustique</w:t>
      </w:r>
    </w:p>
    <w:p>
      <w:pPr>
        <w:pStyle w:val="ListParagraph"/>
        <w:numPr>
          <w:ilvl w:val="0"/>
          <w:numId w:val="3"/>
        </w:numPr>
        <w:spacing w:after="80"/>
      </w:pPr>
      <w:r>
        <w:rPr>
          <w:rFonts w:ascii="Arial" w:cs="Arial" w:eastAsia="Arial" w:hAnsi="Arial"/>
          <w:color w:val="000000"/>
          <w:sz w:val="22"/>
          <w:szCs w:val="22"/>
        </w:rPr>
        <w:t xml:space="preserve">Relevé des dimensions : L × l × h, volume total V, ratio de proportions.</w:t>
      </w:r>
    </w:p>
    <w:p>
      <w:pPr>
        <w:pStyle w:val="ListParagraph"/>
        <w:numPr>
          <w:ilvl w:val="0"/>
          <w:numId w:val="3"/>
        </w:numPr>
        <w:spacing w:after="80"/>
      </w:pPr>
      <w:r>
        <w:rPr>
          <w:rFonts w:ascii="Arial" w:cs="Arial" w:eastAsia="Arial" w:hAnsi="Arial"/>
          <w:color w:val="000000"/>
          <w:sz w:val="22"/>
          <w:szCs w:val="22"/>
        </w:rPr>
        <w:t xml:space="preserve">Inventaire des surfaces : matériaux, superficies, état de surface, traitement en place.</w:t>
      </w:r>
    </w:p>
    <w:p>
      <w:pPr>
        <w:pStyle w:val="ListParagraph"/>
        <w:numPr>
          <w:ilvl w:val="0"/>
          <w:numId w:val="3"/>
        </w:numPr>
        <w:spacing w:after="80"/>
      </w:pPr>
      <w:r>
        <w:rPr>
          <w:rFonts w:ascii="Arial" w:cs="Arial" w:eastAsia="Arial" w:hAnsi="Arial"/>
          <w:color w:val="000000"/>
          <w:sz w:val="22"/>
          <w:szCs w:val="22"/>
        </w:rPr>
        <w:t xml:space="preserve">Mesure du T60 par bande d'octave (63 Hz à 8 kHz) avec REW ou appareil calibré.</w:t>
      </w:r>
    </w:p>
    <w:p>
      <w:pPr>
        <w:pStyle w:val="ListParagraph"/>
        <w:numPr>
          <w:ilvl w:val="0"/>
          <w:numId w:val="3"/>
        </w:numPr>
        <w:spacing w:after="80"/>
      </w:pPr>
      <w:r>
        <w:rPr>
          <w:rFonts w:ascii="Arial" w:cs="Arial" w:eastAsia="Arial" w:hAnsi="Arial"/>
          <w:color w:val="000000"/>
          <w:sz w:val="22"/>
          <w:szCs w:val="22"/>
        </w:rPr>
        <w:t xml:space="preserve">Calcul de fs : identifier la frontière entre domaine modal et domaine diffus.</w:t>
      </w:r>
    </w:p>
    <w:p>
      <w:pPr>
        <w:pStyle w:val="ListParagraph"/>
        <w:numPr>
          <w:ilvl w:val="0"/>
          <w:numId w:val="3"/>
        </w:numPr>
        <w:spacing w:after="80"/>
      </w:pPr>
      <w:r>
        <w:rPr>
          <w:rFonts w:ascii="Arial" w:cs="Arial" w:eastAsia="Arial" w:hAnsi="Arial"/>
          <w:color w:val="000000"/>
          <w:sz w:val="22"/>
          <w:szCs w:val="22"/>
        </w:rPr>
        <w:t xml:space="preserve">Mesure du bruit de fond (dBSPL global et courbe NC/NR) par bande d'octave.</w:t>
      </w:r>
    </w:p>
    <w:p>
      <w:pPr>
        <w:pStyle w:val="ListParagraph"/>
        <w:numPr>
          <w:ilvl w:val="0"/>
          <w:numId w:val="3"/>
        </w:numPr>
        <w:spacing w:after="80"/>
      </w:pPr>
      <w:r>
        <w:rPr>
          <w:rFonts w:ascii="Arial" w:cs="Arial" w:eastAsia="Arial" w:hAnsi="Arial"/>
          <w:color w:val="000000"/>
          <w:sz w:val="22"/>
          <w:szCs w:val="22"/>
        </w:rPr>
        <w:t xml:space="preserve">Test de flutter echo : frapper les mains, écouter les échos entre surfaces parallèles.</w:t>
      </w:r>
    </w:p>
    <w:p>
      <w:pPr>
        <w:pStyle w:val="ListParagraph"/>
        <w:numPr>
          <w:ilvl w:val="0"/>
          <w:numId w:val="3"/>
        </w:numPr>
        <w:spacing w:after="80"/>
      </w:pPr>
      <w:r>
        <w:rPr>
          <w:rFonts w:ascii="Arial" w:cs="Arial" w:eastAsia="Arial" w:hAnsi="Arial"/>
          <w:color w:val="000000"/>
          <w:sz w:val="22"/>
          <w:szCs w:val="22"/>
        </w:rPr>
        <w:t xml:space="preserve">Test de foyer : applaudir depuis différentes positions, identifier les concentrations anormales.</w:t>
      </w:r>
    </w:p>
    <w:p>
      <w:pPr>
        <w:pStyle w:val="ListParagraph"/>
        <w:numPr>
          <w:ilvl w:val="0"/>
          <w:numId w:val="3"/>
        </w:numPr>
        <w:spacing w:after="80"/>
      </w:pPr>
      <w:r>
        <w:rPr>
          <w:rFonts w:ascii="Arial" w:cs="Arial" w:eastAsia="Arial" w:hAnsi="Arial"/>
          <w:color w:val="000000"/>
          <w:sz w:val="22"/>
          <w:szCs w:val="22"/>
        </w:rPr>
        <w:t xml:space="preserve">Mesure du STI si intelligibilité de la parole est l'usage principal.</w:t>
      </w:r>
    </w:p>
    <w:p>
      <w:pPr>
        <w:pStyle w:val="ListParagraph"/>
        <w:numPr>
          <w:ilvl w:val="0"/>
          <w:numId w:val="3"/>
        </w:numPr>
        <w:spacing w:after="80"/>
      </w:pPr>
      <w:r>
        <w:rPr>
          <w:rFonts w:ascii="Arial" w:cs="Arial" w:eastAsia="Arial" w:hAnsi="Arial"/>
          <w:color w:val="000000"/>
          <w:sz w:val="22"/>
          <w:szCs w:val="22"/>
        </w:rPr>
        <w:t xml:space="preserve">Analyse du spectrogramme (waterfall) REW : identifier les modes persistants.</w:t>
      </w:r>
    </w:p>
    <w:p>
      <w:pPr>
        <w:pStyle w:val="ListParagraph"/>
        <w:numPr>
          <w:ilvl w:val="0"/>
          <w:numId w:val="3"/>
        </w:numPr>
        <w:spacing w:after="80"/>
      </w:pPr>
      <w:r>
        <w:rPr>
          <w:rFonts w:ascii="Arial" w:cs="Arial" w:eastAsia="Arial" w:hAnsi="Arial"/>
          <w:color w:val="000000"/>
          <w:sz w:val="22"/>
          <w:szCs w:val="22"/>
        </w:rPr>
        <w:t xml:space="preserve">Comparaison T60 mesuré avec les valeurs cibles (Module 2, tableau 2.2.3).</w:t>
      </w:r>
    </w:p>
    <w:p>
      <w:pPr>
        <w:pStyle w:val="ListParagraph"/>
        <w:numPr>
          <w:ilvl w:val="0"/>
          <w:numId w:val="3"/>
        </w:numPr>
        <w:spacing w:after="80"/>
      </w:pPr>
      <w:r>
        <w:rPr>
          <w:rFonts w:ascii="Arial" w:cs="Arial" w:eastAsia="Arial" w:hAnsi="Arial"/>
          <w:color w:val="000000"/>
          <w:sz w:val="22"/>
          <w:szCs w:val="22"/>
        </w:rPr>
        <w:t xml:space="preserve">Calcul de l'absorption manquante (ΔA) et plan de traitement par fréquence.</w:t>
      </w:r>
    </w:p>
    <w:p>
      <w:pPr>
        <w:pStyle w:val="ListParagraph"/>
        <w:numPr>
          <w:ilvl w:val="0"/>
          <w:numId w:val="3"/>
        </w:numPr>
        <w:spacing w:after="80"/>
      </w:pPr>
      <w:r>
        <w:rPr>
          <w:rFonts w:ascii="Arial" w:cs="Arial" w:eastAsia="Arial" w:hAnsi="Arial"/>
          <w:color w:val="000000"/>
          <w:sz w:val="22"/>
          <w:szCs w:val="22"/>
        </w:rPr>
        <w:t xml:space="preserve">Rapport écrit : diagnostic + recommandations hiérarchisées par impact/coût/faisabilité.</w:t>
      </w:r>
    </w:p>
    <w:p>
      <w:pPr>
        <w:spacing w:after="100"/>
      </w:pPr>
      <w:r>
        <w:t xml:space="preserve"/>
      </w:r>
    </w:p>
    <w:p>
      <w:pPr>
        <w:spacing w:after="100"/>
      </w:pPr>
      <w:r>
        <w:t xml:space="preserve"/>
      </w:r>
    </w:p>
    <w:p>
      <w:pPr>
        <w:spacing w:before="480"/>
        <w:jc w:val="center"/>
      </w:pPr>
      <w:r>
        <w:rPr>
          <w:rFonts w:ascii="Arial" w:cs="Arial" w:eastAsia="Arial" w:hAnsi="Arial"/>
          <w:i/>
          <w:iCs/>
          <w:color w:val="888888"/>
          <w:sz w:val="20"/>
          <w:szCs w:val="20"/>
        </w:rPr>
        <w:t xml:space="preserve">— Fin du cours intensif d'acoustique et traitement du son —</w:t>
      </w:r>
    </w:p>
    <w:p>
      <w:pPr>
        <w:spacing w:before="80"/>
        <w:jc w:val="center"/>
      </w:pPr>
      <w:r>
        <w:rPr>
          <w:rFonts w:ascii="Arial" w:cs="Arial" w:eastAsia="Arial" w:hAnsi="Arial"/>
          <w:b/>
          <w:bCs/>
          <w:color w:val="7B3F00"/>
          <w:sz w:val="18"/>
          <w:szCs w:val="18"/>
        </w:rPr>
        <w:t xml:space="preserve">Version auditée et corrigée — 5 erreurs identifiées et corrigées (voir Annexe A)</w:t>
      </w:r>
    </w:p>
    <w:p>
      <w:pPr>
        <w:spacing w:before="60"/>
        <w:jc w:val="center"/>
      </w:pPr>
      <w:r>
        <w:rPr>
          <w:rFonts w:ascii="Arial" w:cs="Arial" w:eastAsia="Arial" w:hAnsi="Arial"/>
          <w:i/>
          <w:iCs/>
          <w:color w:val="AAAAAA"/>
          <w:sz w:val="18"/>
          <w:szCs w:val="18"/>
        </w:rPr>
        <w:t xml:space="preserve">Sources : RWTH Aachen University (IHA) · edX Communication Acoustics · ISO 3382 · ISO 354 · Kuttruff (2009) · Beranek (2004) · Cox &amp; D'Antonio (2009)</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6"/>
        <w:szCs w:val="16"/>
      </w:rPr>
      <w:t xml:space="preserve">          © Cours intensif d'acoustique et traitement du son — Version corrigée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b/>
        <w:bCs/>
        <w:color w:val="2E75B6"/>
        <w:sz w:val="18"/>
        <w:szCs w:val="18"/>
      </w:rPr>
      <w:t xml:space="preserve">COURS INTENSIF D'ACOUSTIQUE ET TRAITEMENT DU SON</w:t>
    </w:r>
    <w:r>
      <w:rPr>
        <w:rFonts w:ascii="Arial" w:cs="Arial" w:eastAsia="Arial" w:hAnsi="Arial"/>
        <w:color w:val="888888"/>
        <w:sz w:val="16"/>
        <w:szCs w:val="16"/>
      </w:rPr>
      <w:t xml:space="preserve">   |   Version vérifiée et corrigée — RWTH Aachen / IHA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2026-03-30T21:02:13.503Z</dcterms:created>
  <dcterms:modified xsi:type="dcterms:W3CDTF">2026-03-30T21:02:13.504Z</dcterms:modified>
</cp:coreProperties>
</file>

<file path=docProps/custom.xml><?xml version="1.0" encoding="utf-8"?>
<Properties xmlns="http://schemas.openxmlformats.org/officeDocument/2006/custom-properties" xmlns:vt="http://schemas.openxmlformats.org/officeDocument/2006/docPropsVTypes"/>
</file>