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2"/>
          <w:szCs w:val="32"/>
        </w:rPr>
        <w:t xml:space="preserve">Fragmented Remedies: Cross-Border Divergence in GDPR Damages Awards and Administrative Fines</w:t>
      </w:r>
    </w:p>
    <w:p>
      <w:pPr>
        <w:spacing w:after="0"/>
      </w:pPr>
      <w:r>
        <w:rPr>
          <w:i w:val="false"/>
          <w:iCs w:val="false"/>
        </w:rPr>
        <w:t xml:space="preserve">[Your Name]</w:t>
      </w:r>
    </w:p>
    <w:p>
      <w:pPr>
        <w:spacing w:after="0"/>
      </w:pPr>
      <w:r>
        <w:rPr>
          <w:i w:val="false"/>
          <w:iCs w:val="false"/>
        </w:rPr>
        <w:t xml:space="preserve">TalTech</w:t>
      </w:r>
    </w:p>
    <w:p>
      <w:pPr>
        <w:spacing w:after="0"/>
      </w:pPr>
      <w:r>
        <w:rPr>
          <w:i w:val="false"/>
          <w:iCs w:val="false"/>
        </w:rPr>
        <w:t xml:space="preserve">[email]</w:t>
      </w:r>
    </w:p>
    <w:p>
      <w:pPr>
        <w:spacing w:after="0"/>
      </w:pPr>
      <w:r>
        <w:rPr>
          <w:i w:val="false"/>
          <w:iCs w:val="false"/>
        </w:rPr>
        <w:t xml:space="preserve">[Date]</w:t>
      </w:r>
    </w:p>
    <w:p>
      <w:pPr>
        <w:spacing w:after="300"/>
      </w:pPr>
      <w:r>
        <w:rPr>
          <w:i/>
          <w:iCs/>
        </w:rPr>
        <w:t xml:space="preserve">Working Paper — comments welcome</w:t>
      </w:r>
    </w:p>
    <w:p>
      <w:pPr>
        <w:pBdr>
          <w:top w:val="single" w:color="E0A800" w:sz="6"/>
          <w:bottom w:val="single" w:color="E0A800" w:sz="6"/>
          <w:left w:val="single" w:color="E0A800" w:sz="6"/>
          <w:right w:val="single" w:color="E0A800" w:sz="6"/>
        </w:pBdr>
        <w:shd w:color="FFF3CD" w:val="solid"/>
        <w:spacing w:after="400" w:before="100"/>
      </w:pPr>
      <w:r>
        <w:rPr>
          <w:b/>
          <w:bCs/>
          <w:color w:val="664D03"/>
          <w:sz w:val="20"/>
          <w:szCs w:val="20"/>
        </w:rPr>
        <w:t xml:space="preserve">STATUS: Pilot draft. The dataset underlying this paper now contains 28 coded decisions across 12 EU Member States (up from an initial 10-case, 5-state pilot), with 9 private damages awards and 9 administrative fines. This is sufficient to validate the coding protocol and analysis pipeline at a larger scale, but several rows are still flagged as unverified in docs/sources.md — including at least one damages figure that changed by 5x between the original secondary source and a better-sourced correction. Do not post to SSRN until every row in the verification checklist has been confirmed against its primary decision. Every quantitative claim below states its sample size explicitly for this reason.</w:t>
      </w:r>
    </w:p>
    <w:p>
      <w:pPr>
        <w:pStyle w:val="Heading1"/>
        <w:spacing w:after="160" w:before="360"/>
      </w:pPr>
      <w:r>
        <w:t xml:space="preserve">Abstract</w:t>
      </w:r>
    </w:p>
    <w:p>
      <w:pPr>
        <w:spacing w:after="200" w:line="300"/>
        <w:jc w:val="both"/>
      </w:pPr>
      <w:r>
        <w:t xml:space="preserve">Article 82 of the GDPR gives every person in the European Union an identical statutory right to compensation for damage caused by a violation of the Regulation, but leaves the quantification of that compensation to national courts applying domestic damages rules. The Court of Justice's first ruling on Article 82, Österreichische Post (2023), held that claimants need not clear any minimum seriousness threshold to recover non-material damages, but gave national courts no further guidance on how to convert an established harm into a monetary award. This paper reports a pilot dataset of twenty-eight GDPR enforcement decisions, hand-coded across twelve EU Member States, with an explicit coding protocol, a source-verification log, and a public record of every judgment call made during coding. Among the subset of decisions with a private damages award (n=9), non-material damages diverge substantially by Member State — from a mean of €600 in Germany to €5,000 in Ireland to a single €50,000 award in France. Administrative fines under Article 83, tracked as a separate measure from private damages, diverge even more sharply: from €3,000 to €8,000,000 across the six states with a coded fine. Both patterns are consistent with, though the sample remains too small to confirm, the concern that the GDPR's harmonisation objective is not being realised in practice for either private or public enforcement. The paper sets out the coding protocol in full, including several factual discrepancies found within source materials during coding, and outlines the further expansion needed before these patterns can be treated as settled findings.</w:t>
      </w:r>
    </w:p>
    <w:p>
      <w:pPr>
        <w:pStyle w:val="Heading1"/>
        <w:spacing w:after="160" w:before="360"/>
      </w:pPr>
      <w:r>
        <w:t xml:space="preserve">1. Introduction</w:t>
      </w:r>
    </w:p>
    <w:p>
      <w:pPr>
        <w:spacing w:after="200" w:line="300"/>
        <w:jc w:val="both"/>
      </w:pPr>
      <w:r>
        <w:t xml:space="preserve">Article 82 of the GDPR gives every person in the European Union who suffers material or non-material damage from a violation of the Regulation an identical statutory right to compensation. What that right is worth in practice, however, depends on quantification rules the GDPR itself does not specify — a gap the Court of Justice narrowed but did not close in its first Article 82 ruling, Österreichische Post, in May 2023. Because quantification is left to national courts applying domestic damages doctrine, an EU citizen's practical remedy for an identical GDPR violation may differ significantly depending on which Member State's courts hear the claim.</w:t>
      </w:r>
    </w:p>
    <w:p>
      <w:pPr>
        <w:spacing w:after="200" w:line="300"/>
        <w:jc w:val="both"/>
      </w:pPr>
      <w:r>
        <w:t xml:space="preserve">This matters beyond individual claimants. Article 82 functions as a private-enforcement complement to the administrative fines DPAs can impose under Article 83; if its deterrent value varies by jurisdiction for reasons unrelated to the severity of the underlying violation, the GDPR's harmonisation objective — a Regulation, not a Directive, chosen specifically to secure a consistent standard of protection across the Union — is undermined in the one enforcement channel controlled by individuals rather than regulators. Article 83 fines are, in principle, less exposed to this risk: unlike Article 82, Article 83 gives supervisory authorities explicit statutory factors to weigh (the nature, gravity and duration of the infringement, among others). Whether that statutory guidance actually produces more consistent outcomes than Article 82's guidance-free regime is an empirical question this paper's expanded dataset can now speak to, at least provisionally.</w:t>
      </w:r>
    </w:p>
    <w:p>
      <w:pPr>
        <w:spacing w:after="200" w:line="300"/>
        <w:jc w:val="both"/>
      </w:pPr>
      <w:r>
        <w:t xml:space="preserve">This paper reports a pilot dataset of twenty-eight GDPR enforcement decisions, coded across twelve EU Member States. The dataset began as a five-state pilot but was expanded once it became clear that five states alone do not provide enough published, findable case law to support a reliable comparison. The United Kingdom is deliberately excluded throughout: since Brexit it applies a distinct UK GDPR regime, outside EU law and CJEU jurisdiction, and a UK case would measure divergence in a different legal system rather than divergence within the one this paper investigates. Among the cases with a damages award (n=9), non-material damages diverge substantially by Member State; administrative fines (n=9), now tracked as a separate measure, diverge even more sharply. Both patterns are preliminary given the sample size, but neither disconfirms the fragmentation concern motivating this project.</w:t>
      </w:r>
    </w:p>
    <w:p>
      <w:pPr>
        <w:spacing w:after="200" w:line="300"/>
        <w:jc w:val="both"/>
      </w:pPr>
      <w:r>
        <w:t xml:space="preserve">The remainder of the paper proceeds as follows. Section 2 sets out the Article 82 framework and the Österreichische Post ruling. Section 3 describes the dataset, the scope expansion, and the coding protocol, including several discrepancies found within source materials during this round of coding. Section 4 reports the pilot findings for both private damages and administrative fines. Section 5 discusses their implications for the GDPR's harmonisation objective and possible remedies. Sections 6 and 7 set out limitations, next steps, and a short conclusion.</w:t>
      </w:r>
    </w:p>
    <w:p>
      <w:pPr>
        <w:pStyle w:val="Heading1"/>
        <w:spacing w:after="160" w:before="360"/>
      </w:pPr>
      <w:r>
        <w:t xml:space="preserve">2. Background</w:t>
      </w:r>
    </w:p>
    <w:p>
      <w:pPr>
        <w:pStyle w:val="Heading2"/>
        <w:spacing w:after="160" w:before="360"/>
      </w:pPr>
      <w:r>
        <w:t xml:space="preserve">2.1 The Article 82 GDPR Framework</w:t>
      </w:r>
    </w:p>
    <w:p>
      <w:pPr>
        <w:spacing w:after="200" w:line="300"/>
        <w:jc w:val="both"/>
      </w:pPr>
      <w:r>
        <w:t xml:space="preserve">Article 82(1) GDPR gives any person who has suffered material or non-material damage as a result of an infringement of the Regulation the right to compensation from the responsible controller or processor. Recital 85 illustrates what this can cover: loss of control over personal data, limitation of rights, discrimination, identity theft, financial loss, damage to reputation, and loss of confidentiality, among other examples — a deliberately broad, non-exhaustive list. Unlike the administrative fines available to supervisory authorities under Article 83, which are calibrated by reference to statutory factors such as the nature, gravity and duration of the infringement, Article 82 creates a private right of action with no equivalent statutory guidance on how a court should quantify non-material damage once liability is established. The quantification of Article 82 awards has, since the Regulation came into force in 2018, been left almost entirely to national courts applying their own domestic rules on the assessment of damages — even though the underlying legal basis for the claim is identical across all Member States.</w:t>
      </w:r>
    </w:p>
    <w:p>
      <w:pPr>
        <w:pStyle w:val="Heading2"/>
        <w:spacing w:after="160" w:before="360"/>
      </w:pPr>
      <w:r>
        <w:t xml:space="preserve">2.2 Österreichische Post and Its Aftermath</w:t>
      </w:r>
    </w:p>
    <w:p>
      <w:pPr>
        <w:spacing w:after="200" w:line="300"/>
        <w:jc w:val="both"/>
      </w:pPr>
      <w:r>
        <w:t xml:space="preserve">The Court of Justice addressed Article 82 for the first time in Case C-300/21, UI v Österreichische Post AG, decided on 4 May 2023. The claimant sought €1,000 in compensation after discovering that the Austrian postal operator had inferred his likely political-party affinity from demographic data for targeted-advertising purposes, without his consent. Both the Austrian first-instance court and the appellate court rejected the claim, applying a domestic rule that non-material damage must reach a threshold of seriousness before it is compensable.</w:t>
      </w:r>
    </w:p>
    <w:p>
      <w:pPr>
        <w:spacing w:after="200" w:line="300"/>
        <w:jc w:val="both"/>
      </w:pPr>
      <w:r>
        <w:t xml:space="preserve">On referral, the CJEU held two things relevant here. First, mere infringement of the GDPR is not, by itself, sufficient to found a right to compensation — a claimant must separately establish damage, an infringement, and a causal link between the two. Second, EU law precludes Member States from imposing any seriousness threshold beyond that baseline: a claimant need not show that their non-material damage crossed some minimum severity before it becomes compensable.</w:t>
      </w:r>
    </w:p>
    <w:p>
      <w:pPr>
        <w:spacing w:after="200" w:line="300"/>
        <w:jc w:val="both"/>
      </w:pPr>
      <w:r>
        <w:t xml:space="preserve">The judgment resolved one uncertainty — whether national seriousness thresholds are compatible with the GDPR — while leaving a larger one open: having established that a claimant need not clear a seriousness bar, the Court gave national courts no guidance on how to convert an established non-material harm into a monetary figure. That gap is the specific site of the divergence this paper investigates. Notably, this paper's dataset also includes a 2023 ruling from the Italian Corte di Cassazione (13073/23) affirming a similar no-minimum-threshold principle around the same time — suggesting national courts were converging on this specific question even before Österreichische Post definitively settled it EU-wide.</w:t>
      </w:r>
    </w:p>
    <w:p>
      <w:pPr>
        <w:pStyle w:val="Heading2"/>
        <w:spacing w:after="160" w:before="360"/>
      </w:pPr>
      <w:r>
        <w:t xml:space="preserve">2.3 The Procedural Autonomy Problem</w:t>
      </w:r>
    </w:p>
    <w:p>
      <w:pPr>
        <w:spacing w:after="200" w:line="300"/>
        <w:jc w:val="both"/>
      </w:pPr>
      <w:r>
        <w:t xml:space="preserve">Under the EU law principle of procedural autonomy, in the absence of harmonising rules, Member States retain discretion over the procedures and remedies through which EU-derived rights are enforced, subject to the principles of equivalence and effectiveness. Österreichische Post confirmed that Article 82 damages assessment falls within that space of national discretion: the CJEU declined to impose EU-wide quantification criteria, leaving each Member State's ordinary damages rules to govern how a non-material harm is converted into an award.</w:t>
      </w:r>
    </w:p>
    <w:p>
      <w:pPr>
        <w:spacing w:after="200" w:line="300"/>
        <w:jc w:val="both"/>
      </w:pPr>
      <w:r>
        <w:t xml:space="preserve">This creates a structural tension with the GDPR's own stated purpose: a Regulation, rather than a Directive, chosen specifically to ensure a consistent level of protection for personal data across the Union. If the level of protection a claimant can vindicate through Article 82 varies severalfold by the Member State in which they happen to bring a claim — as the preliminary pattern in Section 4 suggests — then private enforcement's contribution to that consistency is, at minimum, uneven. The same question can be asked of Article 83 fines, which operate under explicit statutory guidance precisely intended to produce comparable outcomes. That fines in the current sample range across five orders of magnitude (Section 4) suggests statutory guidance alone may not be sufficient to prevent divergence either — though, as with the Article 82 findings, this needs a larger sample before it can be treated as more than suggestive.</w:t>
      </w:r>
    </w:p>
    <w:p>
      <w:pPr>
        <w:pStyle w:val="Heading1"/>
        <w:spacing w:after="160" w:before="360"/>
      </w:pPr>
      <w:r>
        <w:t xml:space="preserve">3. Data and Methodology</w:t>
      </w:r>
    </w:p>
    <w:p>
      <w:pPr>
        <w:pStyle w:val="Heading2"/>
        <w:spacing w:after="160" w:before="360"/>
      </w:pPr>
      <w:r>
        <w:t xml:space="preserve">3.1 Data Sources, Scope, and Case Selection</w:t>
      </w:r>
    </w:p>
    <w:p>
      <w:pPr>
        <w:spacing w:after="200" w:line="300"/>
        <w:jc w:val="both"/>
      </w:pPr>
      <w:r>
        <w:t xml:space="preserve">The dataset draws on published enforcement decisions identified through GDPRhub's case database, national supervisory authority decision registers, and official regulator press releases, cross-checked where possible against secondary reporting from law firms and specialist commentary. The unit of analysis is a single enforcement decision — issued by a national data protection authority or a national court — against a single controller, involving at least one identified GDPR violation and a documented outcome (a monetary fine, a damages award, a rejected claim, a corrective order, or a procedural ruling).</w:t>
      </w:r>
    </w:p>
    <w:p>
      <w:pPr>
        <w:spacing w:after="200" w:line="300"/>
        <w:jc w:val="both"/>
      </w:pPr>
      <w:r>
        <w:t xml:space="preserve">The dataset began as a five-state pilot (Ireland, Germany, France, Finland, Estonia), chosen for procedural diversity between court-litigated and DPA-issued enforcement. It was expanded to cover all EU Member States once initial data collection made clear that five states alone do not provide enough published, findable GDPR case law on GDPRhub to reach a workable sample size within a reasonable research timeframe. The dataset now includes at least one decision from twelve states: the original five plus the Netherlands, Spain, Lithuania, Greece, Italy, Poland, and Hungary. The United Kingdom is deliberately excluded on a different basis than simply not yet being covered: post-Brexit, the UK applies UK GDPR, a legal regime outside the EU framework and CJEU jurisdiction entirely, and including it would measure divergence between two different regulatory systems rather than divergence within the single system this paper studies.</w:t>
      </w:r>
    </w:p>
    <w:p>
      <w:pPr>
        <w:spacing w:after="200" w:line="300"/>
        <w:jc w:val="both"/>
      </w:pPr>
      <w:r>
        <w:t xml:space="preserve">At the current stage the dataset comprises twenty-eight decisions, up from an initial pilot tranche of ten, and continues to grow. The findings reported in Section 4 should still be read as illustrative of the method rather than as a settled empirical claim about enforcement patterns; sample sizes are stated explicitly wherever a finding is reported, and several individual rows remain flagged for primary-source verification in docs/sources.md.</w:t>
      </w:r>
    </w:p>
    <w:p>
      <w:pPr>
        <w:pStyle w:val="Heading2"/>
        <w:spacing w:after="160" w:before="360"/>
      </w:pPr>
      <w:r>
        <w:t xml:space="preserve">3.2 Coding Protocol</w:t>
      </w:r>
    </w:p>
    <w:p>
      <w:pPr>
        <w:spacing w:after="200" w:line="300"/>
        <w:jc w:val="both"/>
      </w:pPr>
      <w:r>
        <w:t xml:space="preserve">Each decision is coded against a schema that was extended partway through data collection (schema v2) once the original design proved too narrow for the expanded sample. Three additions are worth noting here because they reflect problems only visible once decisions from outside the original five states were actually being coded, not problems anticipated in advance.</w:t>
      </w:r>
    </w:p>
    <w:p>
      <w:pPr>
        <w:spacing w:after="200" w:line="300"/>
        <w:jc w:val="both"/>
      </w:pPr>
      <w:r>
        <w:t xml:space="preserve">First, an ECLI (European Case Law Identifier) field was added. Coverage is uneven — national courts increasingly assign one, but lower-instance DPA decisions frequently don't — so it is left blank rather than populated with a placeholder where absent. In one case (OLG Koblenz, discussed below), the ECLI itself became the tie-breaker for resolving a factual inconsistency in a secondary source.</w:t>
      </w:r>
    </w:p>
    <w:p>
      <w:pPr>
        <w:spacing w:after="200" w:line="300"/>
        <w:jc w:val="both"/>
      </w:pPr>
      <w:r>
        <w:t xml:space="preserve">Second, a fine_amount field was added, separate from damages_awarded. The original schema conflated these implicitly by leaving damages_awarded as NA for every DPA fine case without a place to record the fine itself. This was adequate for a five-state pilot dominated by a handful of large, well-publicised fines, but became a real gap once more DPA-fine cases were added: Article 82 damages (paid to the data subject) and Article 83 fines (paid to the state) are different legal mechanisms with different purposes, and treating them as one column would have made it impossible to analyse either properly. They are analysed entirely separately in Section 4.</w:t>
      </w:r>
    </w:p>
    <w:p>
      <w:pPr>
        <w:spacing w:after="200" w:line="300"/>
        <w:jc w:val="both"/>
      </w:pPr>
      <w:r>
        <w:t xml:space="preserve">Third, a not_yet_decided value was added to harm_type, distinct from none_found. The original schema only allowed none_found to mean 'a harm claim was considered and rejected' — but several decisions in the expanded sample (an Irish Supreme Court ruling on procedural authorisation requirements, a Dutch ruling on choice-of-law for damages calculation, and the Italian cassation ruling discussed in Section 2.2) are procedural only and never reach the harm question at all. Coding these as none_found would have overstated how often courts are actually finding no compensable harm, when in these cases the harm question simply hasn't been reached yet.</w:t>
      </w:r>
    </w:p>
    <w:p>
      <w:pPr>
        <w:spacing w:after="200" w:line="300"/>
        <w:jc w:val="both"/>
      </w:pPr>
      <w:r>
        <w:t xml:space="preserve">A fourth methodological issue emerged during this round of coding that is worth flagging explicitly rather than folding silently into the dataset: several of the source materials used to identify and describe these cases contained internal inconsistencies. A Spanish DPA case appears under two different case numbers on the same source page. A Lithuanian DPA fine is stated as both “110 EUR” and “€110,000” in different parts of the same summary — a thousandfold discrepancy, left uncoded (NA) rather than guessed at. A German case's stated decision date (2018) contradicted its own cited case number and ECLI, which independently encode a 2022 decision date; the ECLI was trusted as the more structurally reliable piece of information. A German case was labelled in a source's metadata as a decision by the Bavarian DPA, while the same source's own case description describes a district court judgment — coded here as the court decision the text actually describes. And a French CNIL fine's stated legal basis included “Article 82” of French law, which on inspection is an ePrivacy-transposition provision unrelated to GDPR Article 82 damages claims — deliberately excluded from the legal_basis field to avoid contaminating this paper's Article 82 analysis with an unrelated statute that happens to share a number. Every one of these is logged in detail in docs/coding_log.md and flagged for resolution in docs/sources.md. None was resolved by guessing; each was either coded conservatively (as NA) or resolved using the most structurally reliable information available (such as an ECLI over a stated date), with the reasoning documented rather than hidden.</w:t>
      </w:r>
    </w:p>
    <w:p>
      <w:pPr>
        <w:pStyle w:val="Heading2"/>
        <w:spacing w:after="160" w:before="360"/>
      </w:pPr>
      <w:r>
        <w:t xml:space="preserve">3.3 Limitations</w:t>
      </w:r>
    </w:p>
    <w:p>
      <w:pPr>
        <w:spacing w:after="200" w:line="300"/>
        <w:jc w:val="both"/>
      </w:pPr>
      <w:r>
        <w:t xml:space="preserve">Five limitations bear on how the findings below should be read. First, coding was performed by a single coder without an independent inter-rater reliability check. Second, the dataset captures only published decisions; settlements, withdrawn claims, and unpublished DPA correspondence are not observable and are likely to understate the true volume of enforcement activity. Third, and now more acute than in the original five-state pilot: decisions from seven additional states were read via secondary English-language summaries and machine translation rather than in the original Dutch, Spanish, Lithuanian, Greek, Italian, Polish, or Hungarian; the expanded geographic scope multiplies this translation dependency considerably compared to the original design. Fourth, three of the currency figures in the dataset (two Polish awards, one Hungarian fine) were converted from PLN or HUF using a conversion supplied by a secondary source rather than recalculated against the exchange rate at the time of judgment; these should be reconfirmed before being treated as precise. Fifth, and most consequential: this round of data collection surfaced multiple internal inconsistencies within the source materials themselves — conflicting case numbers, conflicting fine figures, a self-contradicting decision date — which is itself evidence that secondary sources, even a generally reliable one like GDPRhub, need primary-source verification before their figures are relied on in a paper. Several rows remain explicitly flagged as unverified in docs/sources.md; the sample-size caveats throughout this paper should be read together with that reliability caveat, not as a substitute for it.</w:t>
      </w:r>
    </w:p>
    <w:p>
      <w:pPr>
        <w:pStyle w:val="Heading1"/>
        <w:spacing w:after="160" w:before="360"/>
      </w:pPr>
      <w:r>
        <w:t xml:space="preserve">4. Findings</w:t>
      </w:r>
    </w:p>
    <w:p>
      <w:pPr>
        <w:pStyle w:val="Heading2"/>
        <w:spacing w:after="160" w:before="360"/>
      </w:pPr>
      <w:r>
        <w:t xml:space="preserve">4.1 Private Damages Under Article 82</w:t>
      </w:r>
    </w:p>
    <w:p>
      <w:pPr>
        <w:spacing w:after="200" w:line="300"/>
        <w:jc w:val="both"/>
      </w:pPr>
      <w:r>
        <w:t xml:space="preserve">Nine of the twenty-eight coded decisions include a private damages award. These span four Member States. France's single damages case — the Chambéry Court of Appeal's ruling on an unauthorised Google Business profile — awarded €50,000, the largest single award in the sample by a wide margin. Poland's two awards (a hotel's unauthorised use of a former employee's image in advertising, and a Financial Ombudsman's mass data disclosure) average €7,900. Ireland's three awards average €5,000 (median €5,500, range €2,000–€7,500). Germany's three awards average just €600 (median €500, range €100–€1,200), pulled down by a single €100 award in a Facebook/Meta data-scraping case decided under the German Federal Court of Justice's November 2024 guidance that mere loss of control, without more, warrants only modest compensation.</w:t>
      </w:r>
    </w:p>
    <w:p>
      <w:pPr>
        <w:spacing w:after="200" w:line="300"/>
        <w:jc w:val="both"/>
      </w:pPr>
      <w:r>
        <w:t xml:space="preserve">This produces a rank ordering — France highest, Poland and Ireland in the middle, Germany lowest — across the four jurisdictions where damages awards currently exist in the sample. With one, two, three and three awards respectively, none of these figures should be read as a settled national baseline. But the spread itself — a €50,000 award standing eighty-three times larger than the smallest German award, both decided under the same Article 82 — is at minimum consistent with, and does not disconfirm, the fragmentation concern motivating this project.</w:t>
      </w:r>
    </w:p>
    <w:p>
      <w:pPr>
        <w:spacing w:after="200" w:line="300"/>
        <w:jc w:val="both"/>
      </w:pPr>
      <w:r>
        <w:t xml:space="preserve">Cross-border cases (n=2: the German Facebook/Meta scraping case and, arguably, the French Google case given Google's Irish establishment) show a higher mean (€25,050) than domestic cases (n=7, mean €4,643). With two cross-border data points this cannot support any claim about a systematic cross-border effect — it is heavily influenced by the single large French award — but the sample can now speak to the question at all, which the original ten-case pilot could not.</w:t>
      </w:r>
    </w:p>
    <w:p>
      <w:pPr>
        <w:spacing w:after="200" w:line="300"/>
        <w:jc w:val="both"/>
      </w:pPr>
      <w:r>
        <w:t xml:space="preserve">Three decisions in the sample are procedural rulings that have not yet reached the damages question (harm_type = not_yet_decided): an Irish Supreme Court ruling on statutory authorisation requirements, a Dutch ruling on the applicable law for calculating damages against a public body, and the Italian cassation ruling discussed in Section 2.2. These are excluded from the damages figures above but are worth watching — if and when their merits are decided, they would add further data points to exactly the jurisdictions (Ireland, Netherlands, Italy) where the sample is currently thinnest.</w:t>
      </w:r>
    </w:p>
    <w:p>
      <w:pPr>
        <w:pStyle w:val="Heading2"/>
        <w:spacing w:after="160" w:before="360"/>
      </w:pPr>
      <w:r>
        <w:t xml:space="preserve">4.2 Administrative Fines Under Article 83</w:t>
      </w:r>
    </w:p>
    <w:p>
      <w:pPr>
        <w:spacing w:after="200" w:line="300"/>
        <w:jc w:val="both"/>
      </w:pPr>
      <w:r>
        <w:t xml:space="preserve">Nine decisions in the sample are DPA-issued administrative fines (kept in a separate fine_amount field from private damages, per Section 3.2). These span six states and range from €3,000 (a Greek case involving breach of access rights at a loan-management company) to €8,000,000 (a French CNIL fine against Apple Distribution International for enabling advertising identifiers without prior consent) — a spread of roughly five orders of magnitude. France's two fines average €5,750,000; Estonia's single fine is €3,000,000; Hungary's and Spain's single fines are €204,000 and €200,000 respectively; Finland's three fines average €324,000 (median €122,000, reflecting one much larger €750,000 outlier); Greece's single fine is €3,000.</w:t>
      </w:r>
    </w:p>
    <w:p>
      <w:pPr>
        <w:spacing w:after="200" w:line="300"/>
        <w:jc w:val="both"/>
      </w:pPr>
      <w:r>
        <w:t xml:space="preserve">This is a wider relative spread than the private-damages figures in 4.1, which is worth pausing on given that Article 83, unlike Article 82, gives supervisory authorities explicit statutory factors intended to produce comparable outcomes. Some of this spread plainly reflects genuine differences in violation severity and company size — fining Apple €8,000,000 and a small loan-management company €3,000 are not obviously comparable events. But severity-adjusted comparison is exactly what a larger sample, with company-size and violation-scale controls, would be needed to properly assess; at n=9 this section can only report the raw pattern, not explain it.</w:t>
      </w:r>
    </w:p>
    <w:p>
      <w:pPr>
        <w:pStyle w:val="Heading2"/>
        <w:spacing w:after="160" w:before="360"/>
      </w:pPr>
      <w:r>
        <w:t xml:space="preserve">4.3 Sector and Violation-Type Patterns</w:t>
      </w:r>
    </w:p>
    <w:p>
      <w:pPr>
        <w:spacing w:after="200" w:line="300"/>
        <w:jc w:val="both"/>
      </w:pPr>
      <w:r>
        <w:t xml:space="preserve">Sector coding continues to show the pattern flagged in the original pilot: twelve of the twenty-eight decisions (43%) involve controllers outside the platform, adtech, and financial-services categories most associated with GDPR enforcement in public discussion — employers, public agencies, a postal operator, hotels, a legal register centre, and private individuals. Two further sector gaps emerged this round: telecoms and hospitality had no clean fit in the existing taxonomy and were coded as 'other', discussed further in docs/coding_rules.md. Among Article 82 damages cases specifically, unlawful_processing (n=6) is more common than security_breach (n=3) as the underlying violation type, though this splits unevenly by state rather than evenly across the sample.</w:t>
      </w:r>
    </w:p>
    <w:p>
      <w:pPr>
        <w:pStyle w:val="Heading1"/>
        <w:spacing w:after="160" w:before="360"/>
      </w:pPr>
      <w:r>
        <w:t xml:space="preserve">5. Discussion</w:t>
      </w:r>
    </w:p>
    <w:p>
      <w:pPr>
        <w:spacing w:after="200" w:line="300"/>
        <w:jc w:val="both"/>
      </w:pPr>
      <w:r>
        <w:t xml:space="preserve">Four questions follow from the patterns described above, on the assumption that they hold up as the dataset grows.</w:t>
      </w:r>
    </w:p>
    <w:p>
      <w:pPr>
        <w:spacing w:after="200" w:line="300"/>
        <w:jc w:val="both"/>
      </w:pPr>
      <w:r>
        <w:t xml:space="preserve">First, does divergent quantification undermine the GDPR's harmonisation objective in practice, or is some divergence an acceptable by-product of procedural autonomy that the CJEU has already endorsed? Österreichische Post settled that Member States may not impose a seriousness threshold, but said nothing about the quantum of damages once the threshold question is resolved — leaving room to argue either that the Court implicitly accepted quantum divergence as within Member States' procedural discretion, or that divergence this large frustrates the effectiveness principle the Court itself invoked.</w:t>
      </w:r>
    </w:p>
    <w:p>
      <w:pPr>
        <w:spacing w:after="200" w:line="300"/>
        <w:jc w:val="both"/>
      </w:pPr>
      <w:r>
        <w:t xml:space="preserve">Second, the Article 83 fine data complicates a simple story about Article 82's guidance gap being the sole driver of divergence. Fines diverge even more sharply than damages in this sample, despite Article 83's explicit statutory factors — which suggests either that genuine underlying variation in violation severity explains most of the fine spread (a benign explanation), or that statutory guidance alone is not sufficient to produce consistent enforcement outcomes even where the GDPR does provide it (a less benign one, and more directly relevant to the Article 82 question this paper is centrally about). Distinguishing between these two explanations is a natural next step once the fine sample is large enough to control for violation severity and company size.</w:t>
      </w:r>
    </w:p>
    <w:p>
      <w:pPr>
        <w:spacing w:after="200" w:line="300"/>
        <w:jc w:val="both"/>
      </w:pPr>
      <w:r>
        <w:t xml:space="preserve">Third, if the Article 82 divergence specifically is a problem, is it one the CJEU can solve through further preliminary rulings, or does it require legislative intervention — EDPB guidelines on damages quantification, analogous to the fining guidelines already in place for Article 83, or an amendment to Article 82 itself? The fine data in Section 4.2 is a useful reference point here: if fines diverge sharply even with statutory guidance, EDPB guidelines for damages might narrow but would likely not eliminate Article 82 divergence either.</w:t>
      </w:r>
    </w:p>
    <w:p>
      <w:pPr>
        <w:spacing w:after="200" w:line="300"/>
        <w:jc w:val="both"/>
      </w:pPr>
      <w:r>
        <w:t xml:space="preserve">Fourth, this fragmentation risk is not unique to the GDPR. The EU AI Act, which entered into force with a similarly Regulation-wide harmonisation objective, relies on a comparable mix of national enforcement bodies and, for some provisions, private rights of action. If both Article 82's and Article 83's history of uneven outcomes is any guide, AI Act enforcement may face an analogous risk of diverging in practice across Member States even where the legal text, and even the statutory guidance, is identical. This is flagged here as a direction for further research rather than argued in full.</w:t>
      </w:r>
    </w:p>
    <w:p>
      <w:pPr>
        <w:pStyle w:val="Heading1"/>
        <w:spacing w:after="160" w:before="360"/>
      </w:pPr>
      <w:r>
        <w:t xml:space="preserve">6. Limitations and Further Research</w:t>
      </w:r>
    </w:p>
    <w:p>
      <w:pPr>
        <w:spacing w:after="200" w:line="300"/>
        <w:jc w:val="both"/>
      </w:pPr>
      <w:r>
        <w:t xml:space="preserve">This paper's limitations are primarily those of its dataset, discussed fully in Section 3.3: single-coder coding without an independent reliability check, reliance on published decisions which may understate true enforcement activity, translation dependency now spanning seven additional languages, unconfirmed currency conversions for three figures, and — most consequentially — several rows still flagged as unverified against primary sources following internal inconsistencies found in the secondary materials used to identify them. Twenty-eight coded decisions, nine of them damages awards and nine of them administrative fines, is a substantially larger pilot than the original ten-case sample but is still not a representative one, and every figure in Section 4 should be read with its stated sample size in mind.</w:t>
      </w:r>
    </w:p>
    <w:p>
      <w:pPr>
        <w:spacing w:after="200" w:line="300"/>
        <w:jc w:val="both"/>
      </w:pPr>
      <w:r>
        <w:t xml:space="preserve">The immediate next step is to work through the verification checklist in docs/sources.md — resolving the Spanish case-number conflict, the Lithuanian fine-amount conflict, and confirming the currency conversions and translated figures — before any of these rows are cited in a final version of this paper. In parallel, continued expansion should prioritise states and case types currently thin in the sample: more Article 82 damages cases generally (nine is still a small base for the comparison at the centre of this paper), more administrative fines to properly test the severity-adjusted divergence question raised in Section 5, and follow-up on the three not_yet_decided cases once their merits are actually resolved. A second useful extension would be an inter-coder reliability check, particularly on the harm_type and sector variables where the most interpretive judgment calls have been required. A third, longer-term extension — flagged in Section 5 — would replicate this design for early AI Act enforcement decisions as they become available.</w:t>
      </w:r>
    </w:p>
    <w:p>
      <w:pPr>
        <w:pStyle w:val="Heading1"/>
        <w:spacing w:after="160" w:before="360"/>
      </w:pPr>
      <w:r>
        <w:t xml:space="preserve">7. Conclusion</w:t>
      </w:r>
    </w:p>
    <w:p>
      <w:pPr>
        <w:spacing w:after="200" w:line="300"/>
        <w:jc w:val="both"/>
      </w:pPr>
      <w:r>
        <w:t xml:space="preserve">Article 82 GDPR gives every data subject in the EU an identical statutory right to compensation, but leaves the quantification of that right to national courts operating under different domestic damages rules; Article 83 gives supervisory authorities explicit statutory guidance intended to produce comparable fines, yet a pilot dataset of twenty-eight coded enforcement decisions across twelve Member States finds substantial divergence in both. Non-material damages range from a mean of €600 in Germany to a single €50,000 award in France; administrative fines span from €3,000 to €8,000,000 across six states. Both patterns are consistent with, though not yet conclusively demonstrating, the fragmentation this paper is designed to investigate. Confirming or disconfirming that pattern, resolving the source-verification questions flagged throughout this draft, and establishing whether the divergence is large enough to matter once violation severity is properly accounted for, is the task of the expanded dataset this project is now building toward.</w:t>
      </w:r>
    </w:p>
    <w:p>
      <w:pPr>
        <w:pStyle w:val="Heading1"/>
        <w:spacing w:after="160" w:before="360"/>
      </w:pPr>
      <w:r>
        <w:t xml:space="preserve">References</w:t>
      </w:r>
    </w:p>
    <w:p>
      <w:pPr>
        <w:spacing w:after="200" w:line="300"/>
        <w:jc w:val="both"/>
      </w:pPr>
      <w:r>
        <w:t xml:space="preserve">Regulation (EU) 2016/679 of the European Parliament and of the Council of 27 April 2016 (General Data Protection Regulation), Arts 82–83, Recital 85.</w:t>
      </w:r>
    </w:p>
    <w:p>
      <w:pPr>
        <w:spacing w:after="200" w:line="300"/>
        <w:jc w:val="both"/>
      </w:pPr>
      <w:r>
        <w:t xml:space="preserve">Case C-300/21 UI v Österreichische Post AG, ECLI:EU:C:2023:370, Judgment of the Court (First Chamber), 4 May 2023.</w:t>
      </w:r>
    </w:p>
    <w:p>
      <w:pPr>
        <w:spacing w:after="200" w:line="300"/>
        <w:jc w:val="both"/>
      </w:pPr>
      <w:r>
        <w:t xml:space="preserve">Kaminski v Ballymaguire Foods Ltd [2023] IECC 5 (Circuit Court, Ireland, 11 July 2023).</w:t>
      </w:r>
    </w:p>
    <w:p>
      <w:pPr>
        <w:spacing w:after="200" w:line="300"/>
        <w:jc w:val="both"/>
      </w:pPr>
      <w:r>
        <w:t xml:space="preserve">M.H. v Child and Family Agency (Circuit Court, Ireland, 2023) (ex tempore ruling; written judgment not located).</w:t>
      </w:r>
    </w:p>
    <w:p>
      <w:pPr>
        <w:spacing w:after="200" w:line="300"/>
        <w:jc w:val="both"/>
      </w:pPr>
      <w:r>
        <w:t xml:space="preserve">Landgericht Köln, Judgment, 28 O 138/22 (2023).</w:t>
      </w:r>
    </w:p>
    <w:p>
      <w:pPr>
        <w:spacing w:after="200" w:line="300"/>
        <w:jc w:val="both"/>
      </w:pPr>
      <w:r>
        <w:t xml:space="preserve">Landgericht Köln, Judgment of 18 May 2022, 28 O 328/21.</w:t>
      </w:r>
    </w:p>
    <w:p>
      <w:pPr>
        <w:spacing w:after="200" w:line="300"/>
        <w:jc w:val="both"/>
      </w:pPr>
      <w:r>
        <w:t xml:space="preserve">Commission Nationale de l'Informatique et des Libertés (CNIL), Délibération SAN-2025-017, 30 December 2025.</w:t>
      </w:r>
    </w:p>
    <w:p>
      <w:pPr>
        <w:spacing w:after="200" w:line="300"/>
        <w:jc w:val="both"/>
      </w:pPr>
      <w:r>
        <w:t xml:space="preserve">Office of the Data Protection Ombudsman (Finland), Decision, 18 May 2020 (Posti Oy).</w:t>
      </w:r>
    </w:p>
    <w:p>
      <w:pPr>
        <w:spacing w:after="200" w:line="300"/>
        <w:jc w:val="both"/>
      </w:pPr>
      <w:r>
        <w:t xml:space="preserve">Office of the Data Protection Ombudsman (Finland), Sanctions Board Decision, 2023 (debt collection agency; verify decision reference number).</w:t>
      </w:r>
    </w:p>
    <w:p>
      <w:pPr>
        <w:spacing w:after="200" w:line="300"/>
        <w:jc w:val="both"/>
      </w:pPr>
      <w:r>
        <w:t xml:space="preserve">Office of the Data Protection Ombudsman (Finland), Sanctions Board Decision, 11 January 2023 (health data company).</w:t>
      </w:r>
    </w:p>
    <w:p>
      <w:pPr>
        <w:spacing w:after="200" w:line="300"/>
        <w:jc w:val="both"/>
      </w:pPr>
      <w:r>
        <w:t xml:space="preserve">Andmekaitse Inspektsioon (Estonia), Decision, 5 September 2025 (Allium UPI OÜ).</w:t>
      </w:r>
    </w:p>
    <w:p>
      <w:pPr>
        <w:spacing w:after="200" w:line="300"/>
        <w:jc w:val="both"/>
      </w:pPr>
      <w:r>
        <w:t xml:space="preserve">Andmekaitse Inspektsioon (Estonia), Decision 2.1.-1/22/1396 (year of decision to be confirmed).</w:t>
      </w:r>
    </w:p>
    <w:p>
      <w:pPr>
        <w:spacing w:after="200" w:line="300"/>
        <w:jc w:val="both"/>
      </w:pPr>
      <w:r>
        <w:t xml:space="preserve">McCabe v AA Ireland Ltd [2024] IECC 6 (Circuit Court, Ireland, 5 July 2024).</w:t>
      </w:r>
    </w:p>
    <w:p>
      <w:pPr>
        <w:spacing w:after="200" w:line="300"/>
        <w:jc w:val="both"/>
      </w:pPr>
      <w:r>
        <w:t xml:space="preserve">Dillon v Irish Life Assurance plc [2025] IESC 37 (Supreme Court, Ireland, 24 July 2025).</w:t>
      </w:r>
    </w:p>
    <w:p>
      <w:pPr>
        <w:spacing w:after="200" w:line="300"/>
        <w:jc w:val="both"/>
      </w:pPr>
      <w:r>
        <w:t xml:space="preserve">Oberlandesgericht Dresden, ECLI:DE:OLGDRES:2024:1210.4U808.24.00, 4 U 808/24, 10 December 2024.</w:t>
      </w:r>
    </w:p>
    <w:p>
      <w:pPr>
        <w:spacing w:after="200" w:line="300"/>
        <w:jc w:val="both"/>
      </w:pPr>
      <w:r>
        <w:t xml:space="preserve">Cour d'appel de Chambéry, RG n° 22/01814, 22 May 2025.</w:t>
      </w:r>
    </w:p>
    <w:p>
      <w:pPr>
        <w:spacing w:after="200" w:line="300"/>
        <w:jc w:val="both"/>
      </w:pPr>
      <w:r>
        <w:t xml:space="preserve">Rechtbank Noord-Holland, ECLI:NL:RBNHO:2026:5128, C/15/375308, 12 May 2026.</w:t>
      </w:r>
    </w:p>
    <w:p>
      <w:pPr>
        <w:spacing w:after="200" w:line="300"/>
        <w:jc w:val="both"/>
      </w:pPr>
      <w:r>
        <w:t xml:space="preserve">Agencia Española de Protección de Datos, decision re DIGI SPAIN TELECOM S.L., 30 May 2025 (case number to be confirmed — see docs/sources.md).</w:t>
      </w:r>
    </w:p>
    <w:p>
      <w:pPr>
        <w:spacing w:after="200" w:line="300"/>
        <w:jc w:val="both"/>
      </w:pPr>
      <w:r>
        <w:t xml:space="preserve">Commission Nationale de l'Informatique et des Libertés (CNIL), Délibération SAN-2022-025, 29 December 2022 (Apple Distribution International); appeal to Conseil d'État rejected.</w:t>
      </w:r>
    </w:p>
    <w:p>
      <w:pPr>
        <w:spacing w:after="200" w:line="300"/>
        <w:jc w:val="both"/>
      </w:pPr>
      <w:r>
        <w:t xml:space="preserve">Valstybinė duomenų apsaugos inspekcija (Lithuania), decision re UAB Prime Leasing, 29 November 2021.</w:t>
      </w:r>
    </w:p>
    <w:p>
      <w:pPr>
        <w:spacing w:after="200" w:line="300"/>
        <w:jc w:val="both"/>
      </w:pPr>
      <w:r>
        <w:t xml:space="preserve">Hellenic Data Protection Authority, Decision 04/2025, 7 January 2025.</w:t>
      </w:r>
    </w:p>
    <w:p>
      <w:pPr>
        <w:spacing w:after="200" w:line="300"/>
        <w:jc w:val="both"/>
      </w:pPr>
      <w:r>
        <w:t xml:space="preserve">Amtsgericht München, 221 C 578/22, 4 August 2022.</w:t>
      </w:r>
    </w:p>
    <w:p>
      <w:pPr>
        <w:spacing w:after="200" w:line="300"/>
        <w:jc w:val="both"/>
      </w:pPr>
      <w:r>
        <w:t xml:space="preserve">Landesarbeitsgericht Nürnberg, 4 Sa 201 22, 25 January 2023.</w:t>
      </w:r>
    </w:p>
    <w:p>
      <w:pPr>
        <w:spacing w:after="200" w:line="300"/>
        <w:jc w:val="both"/>
      </w:pPr>
      <w:r>
        <w:t xml:space="preserve">Rechtbank Den Haag, ECLI:NL:RBDHA:2023:14359, 22/2601, 21 September 2023.</w:t>
      </w:r>
    </w:p>
    <w:p>
      <w:pPr>
        <w:spacing w:after="200" w:line="300"/>
        <w:jc w:val="both"/>
      </w:pPr>
      <w:r>
        <w:t xml:space="preserve">Corte di Cassazione (Italy), 13073/23, 19 April 2023.</w:t>
      </w:r>
    </w:p>
    <w:p>
      <w:pPr>
        <w:spacing w:after="200" w:line="300"/>
        <w:jc w:val="both"/>
      </w:pPr>
      <w:r>
        <w:t xml:space="preserve">Sąd Rejonowy w Nowym Sączu, I C 1061/19, 13 April 2025.</w:t>
      </w:r>
    </w:p>
    <w:p>
      <w:pPr>
        <w:spacing w:after="200" w:line="300"/>
        <w:jc w:val="both"/>
      </w:pPr>
      <w:r>
        <w:t xml:space="preserve">Sąd Okręgowy w Warszawie, III C 904/23, 16 February 2026.</w:t>
      </w:r>
    </w:p>
    <w:p>
      <w:pPr>
        <w:spacing w:after="200" w:line="300"/>
        <w:jc w:val="both"/>
      </w:pPr>
      <w:r>
        <w:t xml:space="preserve">Oberlandesgericht Koblenz, ECLI:DE:OLGKOBL:2022:0518.5U2141.21.00, 5 U 2141/21.</w:t>
      </w:r>
    </w:p>
    <w:p>
      <w:pPr>
        <w:spacing w:after="200" w:line="300"/>
        <w:jc w:val="both"/>
      </w:pPr>
      <w:r>
        <w:t xml:space="preserve">Nemzeti Adatvédelmi és Információszabadság Hatóság (Hungary), NAIH-3932-5/2024, 2 July 2024.</w:t>
      </w:r>
    </w:p>
    <w:p>
      <w:pPr>
        <w:spacing w:after="200" w:line="300"/>
        <w:jc w:val="both"/>
      </w:pPr>
      <w:r>
        <w:t xml:space="preserve">Tietosuojavaltuutetun toimisto (Finland), Decision 8211/161/19, 9 November 2021.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Working Paper Draft — Pilot Data (n=28, 12 states)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2026-08-04T03:36:23.262Z</dcterms:created>
  <dcterms:modified xsi:type="dcterms:W3CDTF">2026-08-04T03:36:23.277Z</dcterms:modified>
</cp:coreProperties>
</file>

<file path=docProps/custom.xml><?xml version="1.0" encoding="utf-8"?>
<Properties xmlns="http://schemas.openxmlformats.org/officeDocument/2006/custom-properties" xmlns:vt="http://schemas.openxmlformats.org/officeDocument/2006/docPropsVTypes"/>
</file>