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Fragmented Remedies: Cross-Border Divergence in Article 82 GDPR Damages Awards</w:t>
      </w:r>
    </w:p>
    <w:p>
      <w:pPr>
        <w:spacing w:after="400"/>
      </w:pPr>
      <w:r>
        <w:rPr>
          <w:i/>
          <w:iCs/>
          <w:color w:val="999999"/>
        </w:rPr>
        <w:t xml:space="preserve">[Replace with your finalised title — should signal the finding, not just the topic]</w:t>
      </w:r>
    </w:p>
    <w:p>
      <w:r>
        <w:t xml:space="preserve">[Your Name]</w:t>
      </w:r>
    </w:p>
    <w:p>
      <w:r>
        <w:t xml:space="preserve">TalTech</w:t>
      </w:r>
    </w:p>
    <w:p>
      <w:r>
        <w:t xml:space="preserve">[email]</w:t>
      </w:r>
    </w:p>
    <w:p>
      <w:r>
        <w:t xml:space="preserve">[Date]</w:t>
      </w:r>
    </w:p>
    <w:p>
      <w:pPr>
        <w:spacing w:after="400"/>
      </w:pPr>
      <w:r>
        <w:rPr>
          <w:i/>
          <w:iCs/>
        </w:rPr>
        <w:t xml:space="preserve">Working Paper — comments welcome</w:t>
      </w:r>
    </w:p>
    <w:p>
      <w:pPr>
        <w:pStyle w:val="Heading1"/>
        <w:spacing w:after="200" w:before="400"/>
      </w:pPr>
      <w:r>
        <w:t xml:space="preserve">Abstract</w:t>
      </w:r>
    </w:p>
    <w:p>
      <w:pPr>
        <w:spacing w:after="200"/>
      </w:pPr>
      <w:r>
        <w:rPr>
          <w:i/>
          <w:iCs/>
          <w:color w:val="666666"/>
        </w:rPr>
        <w:t xml:space="preserve">Write this absolutely last. 150–250 words, no citations, no jargon. Cover: the problem, the method in one sentence, the key finding, the implication. Test: could a reader who knows nothing about GDPR understand what this paper does and why it matters from the abstract alone?</w:t>
      </w:r>
    </w:p>
    <w:p>
      <w:pPr>
        <w:spacing w:after="100"/>
      </w:pPr>
      <w:r>
        <w:rPr>
          <w:b/>
          <w:bCs/>
          <w:color w:val="2E5395"/>
        </w:rPr>
        <w:t xml:space="preserve">Target length: 150–250 words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Suggested Writing Order</w:t>
      </w:r>
    </w:p>
    <w:p>
      <w:pPr>
        <w:spacing w:after="200"/>
      </w:pPr>
      <w:r>
        <w:rPr>
          <w:i/>
          <w:iCs/>
          <w:color w:val="666666"/>
        </w:rPr>
        <w:t xml:space="preserve">Do not write in the order the sections appear below — write in this order instead, because each section depends on knowing what the previous one found:</w:t>
      </w:r>
    </w:p>
    <w:p>
      <w:pPr>
        <w:spacing w:after="80"/>
      </w:pPr>
      <w:r>
        <w:t xml:space="preserve">1. Section 3 — Data and Methodology (you already know what you did)</w:t>
      </w:r>
    </w:p>
    <w:p>
      <w:pPr>
        <w:spacing w:after="80"/>
      </w:pPr>
      <w:r>
        <w:t xml:space="preserve">2. Section 4 — Findings (based directly on your tables and finding notes)</w:t>
      </w:r>
    </w:p>
    <w:p>
      <w:pPr>
        <w:spacing w:after="80"/>
      </w:pPr>
      <w:r>
        <w:t xml:space="preserve">3. Section 2 — Background (written once you know what findings to frame)</w:t>
      </w:r>
    </w:p>
    <w:p>
      <w:pPr>
        <w:spacing w:after="80"/>
      </w:pPr>
      <w:r>
        <w:t xml:space="preserve">4. Section 5 — Discussion</w:t>
      </w:r>
    </w:p>
    <w:p>
      <w:pPr>
        <w:spacing w:after="80"/>
      </w:pPr>
      <w:r>
        <w:t xml:space="preserve">5. Sections 6–7 — Limitations and Conclusion (short, write last)</w:t>
      </w:r>
    </w:p>
    <w:p>
      <w:pPr>
        <w:spacing w:after="80"/>
      </w:pPr>
      <w:r>
        <w:t xml:space="preserve">6. Section 1 — Introduction (very last, after you know what the paper says)</w:t>
      </w:r>
    </w:p>
    <w:p>
      <w:pPr>
        <w:spacing w:after="80"/>
      </w:pPr>
      <w:r>
        <w:t xml:space="preserve">7. Abstract (absolutely last)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00"/>
      </w:pPr>
      <w:r>
        <w:rPr>
          <w:b/>
          <w:bCs/>
          <w:color w:val="2E5395"/>
        </w:rPr>
        <w:t xml:space="preserve">Target length: 500–700 words</w:t>
      </w:r>
    </w:p>
    <w:p>
      <w:pPr>
        <w:spacing w:after="200"/>
      </w:pPr>
      <w:r>
        <w:rPr>
          <w:i/>
          <w:iCs/>
          <w:color w:val="666666"/>
        </w:rPr>
        <w:t xml:space="preserve">Four paragraphs: (1) the problem — Art. 82 GDPR gives a right to compensation for non-material damage but doesn't define how to quantify it; (2) why it matters — if quantification varies by Member State, the deterrent effect of private enforcement varies too; (3) what this paper does — original dataset of X coded decisions across five Member States; (4) central finding (briefly) and roadmap.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2. Background</w:t>
      </w:r>
    </w:p>
    <w:p>
      <w:pPr>
        <w:pStyle w:val="Heading2"/>
        <w:spacing w:after="200" w:before="400"/>
      </w:pPr>
      <w:r>
        <w:t xml:space="preserve">2.1 The Article 82 GDPR Framework</w:t>
      </w:r>
    </w:p>
    <w:p>
      <w:pPr>
        <w:spacing w:after="100"/>
      </w:pPr>
      <w:r>
        <w:rPr>
          <w:b/>
          <w:bCs/>
          <w:color w:val="2E5395"/>
        </w:rPr>
        <w:t xml:space="preserve">Target length: 300–400 words</w:t>
      </w:r>
    </w:p>
    <w:p>
      <w:pPr>
        <w:spacing w:after="200"/>
      </w:pPr>
      <w:r>
        <w:rPr>
          <w:i/>
          <w:iCs/>
          <w:color w:val="666666"/>
        </w:rPr>
        <w:t xml:space="preserve">What Article 82 says, what material and non-material damage means, the absence of EU-level quantification guidance. Cite the legislative text. Foundational, not argumentative.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2"/>
        <w:spacing w:after="200" w:before="400"/>
      </w:pPr>
      <w:r>
        <w:t xml:space="preserve">2.2 Österreichische Post and Its Aftermath</w:t>
      </w:r>
    </w:p>
    <w:p>
      <w:pPr>
        <w:spacing w:after="100"/>
      </w:pPr>
      <w:r>
        <w:rPr>
          <w:b/>
          <w:bCs/>
          <w:color w:val="2E5395"/>
        </w:rPr>
        <w:t xml:space="preserve">Target length: 400–500 words</w:t>
      </w:r>
    </w:p>
    <w:p>
      <w:pPr>
        <w:spacing w:after="200"/>
      </w:pPr>
      <w:r>
        <w:rPr>
          <w:i/>
          <w:iCs/>
          <w:color w:val="666666"/>
        </w:rPr>
        <w:t xml:space="preserve">Summarise C-300/21 in your own words: mere infringement doesn't automatically give rise to compensation, but non-material damage can include loss of control over personal data without proven distress. The Court left quantification to national courts. Note any follow-on national case law you found during case-finding.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2"/>
        <w:spacing w:after="200" w:before="400"/>
      </w:pPr>
      <w:r>
        <w:t xml:space="preserve">2.3 The Procedural Autonomy Problem</w:t>
      </w:r>
    </w:p>
    <w:p>
      <w:pPr>
        <w:spacing w:after="100"/>
      </w:pPr>
      <w:r>
        <w:rPr>
          <w:b/>
          <w:bCs/>
          <w:color w:val="2E5395"/>
        </w:rPr>
        <w:t xml:space="preserve">Target length: 300–400 words</w:t>
      </w:r>
    </w:p>
    <w:p>
      <w:pPr>
        <w:spacing w:after="200"/>
      </w:pPr>
      <w:r>
        <w:rPr>
          <w:i/>
          <w:iCs/>
          <w:color w:val="666666"/>
        </w:rPr>
        <w:t xml:space="preserve">The theoretical bridge: under procedural autonomy, Member States retain discretion over remedies — in tension with the GDPR's harmonisation objective. If quantification varies significantly by Member State, as your data shows, Art. 82's practical value is fragmented in ways the Regulation didn't intend.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3. Data and Methodology</w:t>
      </w:r>
    </w:p>
    <w:p>
      <w:pPr>
        <w:pStyle w:val="Heading2"/>
        <w:spacing w:after="200" w:before="400"/>
      </w:pPr>
      <w:r>
        <w:t xml:space="preserve">3.1 Data Sources and Case Selection</w:t>
      </w:r>
    </w:p>
    <w:p>
      <w:pPr>
        <w:spacing w:after="100"/>
      </w:pPr>
      <w:r>
        <w:rPr>
          <w:b/>
          <w:bCs/>
          <w:color w:val="2E5395"/>
        </w:rPr>
        <w:t xml:space="preserve">Target length: 300–400 words</w:t>
      </w:r>
    </w:p>
    <w:p>
      <w:pPr>
        <w:spacing w:after="200"/>
      </w:pPr>
      <w:r>
        <w:rPr>
          <w:i/>
          <w:iCs/>
          <w:color w:val="666666"/>
        </w:rPr>
        <w:t xml:space="preserve">Write as prose, not a list. Where did cases come from, what were the inclusion criteria, how many cases are in the final dataset, were any excluded and why. A reader unfamiliar with GDPRhub should understand exactly how the dataset was built.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2"/>
        <w:spacing w:after="200" w:before="400"/>
      </w:pPr>
      <w:r>
        <w:t xml:space="preserve">3.2 Coding Protocol</w:t>
      </w:r>
    </w:p>
    <w:p>
      <w:pPr>
        <w:spacing w:after="100"/>
      </w:pPr>
      <w:r>
        <w:rPr>
          <w:b/>
          <w:bCs/>
          <w:color w:val="2E5395"/>
        </w:rPr>
        <w:t xml:space="preserve">Target length: 500–700 words</w:t>
      </w:r>
    </w:p>
    <w:p>
      <w:pPr>
        <w:spacing w:after="200"/>
      </w:pPr>
      <w:r>
        <w:rPr>
          <w:i/>
          <w:iCs/>
          <w:color w:val="666666"/>
        </w:rPr>
        <w:t xml:space="preserve">Convert docs/coding_log.md to academic prose. For each variable, one to two sentences on what it records and how ambiguous cases were coded. Use real examples from the log. harm_type and cross_border need the most attention since they're most central to the fragmentation argument.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2"/>
        <w:spacing w:after="200" w:before="400"/>
      </w:pPr>
      <w:r>
        <w:t xml:space="preserve">3.3 Limitations</w:t>
      </w:r>
    </w:p>
    <w:p>
      <w:pPr>
        <w:spacing w:after="100"/>
      </w:pPr>
      <w:r>
        <w:rPr>
          <w:b/>
          <w:bCs/>
          <w:color w:val="2E5395"/>
        </w:rPr>
        <w:t xml:space="preserve">Target length: 150–200 words</w:t>
      </w:r>
    </w:p>
    <w:p>
      <w:pPr>
        <w:spacing w:after="200"/>
      </w:pPr>
      <w:r>
        <w:rPr>
          <w:i/>
          <w:iCs/>
          <w:color w:val="666666"/>
        </w:rPr>
        <w:t xml:space="preserve">Three limitations, written honestly: (1) single-coder design, no inter-rater reliability check; (2) reliance on published decisions — informal settlements and unpublished outcomes aren't captured, likely understating enforcement activity; (3) translation — non-English decisions were machine-translated, coding may miss nuance.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4. Findings</w:t>
      </w:r>
    </w:p>
    <w:p>
      <w:pPr>
        <w:spacing w:after="100"/>
      </w:pPr>
      <w:r>
        <w:rPr>
          <w:b/>
          <w:bCs/>
          <w:color w:val="2E5395"/>
        </w:rPr>
        <w:t xml:space="preserve">Target length: 800–1,200 words</w:t>
      </w:r>
    </w:p>
    <w:p>
      <w:pPr>
        <w:spacing w:after="200"/>
      </w:pPr>
      <w:r>
        <w:rPr>
          <w:i/>
          <w:iCs/>
          <w:color w:val="666666"/>
        </w:rPr>
        <w:t xml:space="preserve">One paragraph per table, one per figure. Template: [Table/Figure X] shows [plain description of the pattern]. [Most striking specific number]. This is consistent with [connection to Art. 82 / Österreichische Post / the fragmentation argument]. [Any qualification the data raises]. Reference every table and figure explicitly — never include one that isn't discussed in prose.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5. Discussion</w:t>
      </w:r>
    </w:p>
    <w:p>
      <w:pPr>
        <w:spacing w:after="100"/>
      </w:pPr>
      <w:r>
        <w:rPr>
          <w:b/>
          <w:bCs/>
          <w:color w:val="2E5395"/>
        </w:rPr>
        <w:t xml:space="preserve">Target length: 500–700 words</w:t>
      </w:r>
    </w:p>
    <w:p>
      <w:pPr>
        <w:spacing w:after="200"/>
      </w:pPr>
      <w:r>
        <w:rPr>
          <w:i/>
          <w:iCs/>
          <w:color w:val="666666"/>
        </w:rPr>
        <w:t xml:space="preserve">Address three questions: (1) what do the patterns imply for the EU harmonisation objective — is the GDPR failing to achieve consistent private enforcement? (2) is this solvable through CJEU interpretation, or does it need legislative intervention — EU-level quantification guidelines, EDPB guidance, amendment? (3) optional: one sentence connecting this fragmentation to the risk of similar fragmentation in early AI Act enforcement. Be direct — this is the argumentative heart of the paper.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6. Limitations and Further Research</w:t>
      </w:r>
    </w:p>
    <w:p>
      <w:pPr>
        <w:spacing w:after="100"/>
      </w:pPr>
      <w:r>
        <w:rPr>
          <w:b/>
          <w:bCs/>
          <w:color w:val="2E5395"/>
        </w:rPr>
        <w:t xml:space="preserve">Target length: 200–300 words</w:t>
      </w:r>
    </w:p>
    <w:p>
      <w:pPr>
        <w:spacing w:after="200"/>
      </w:pPr>
      <w:r>
        <w:rPr>
          <w:i/>
          <w:iCs/>
          <w:color w:val="666666"/>
        </w:rPr>
        <w:t xml:space="preserve">Restate the three limitations from 3.3 briefly (two sentences each), then point forward: larger sample, additional Member States, inter-coder reliability checks, AI Act enforcement extension, cooperation/network analysis as a natural next step.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7. Conclusion</w:t>
      </w:r>
    </w:p>
    <w:p>
      <w:pPr>
        <w:spacing w:after="100"/>
      </w:pPr>
      <w:r>
        <w:rPr>
          <w:b/>
          <w:bCs/>
          <w:color w:val="2E5395"/>
        </w:rPr>
        <w:t xml:space="preserve">Target length: 100–150 words</w:t>
      </w:r>
    </w:p>
    <w:p>
      <w:pPr>
        <w:spacing w:after="200"/>
      </w:pPr>
      <w:r>
        <w:rPr>
          <w:i/>
          <w:iCs/>
          <w:color w:val="666666"/>
        </w:rPr>
        <w:t xml:space="preserve">Three to five sentences only: the problem, the method, the central finding, the implication. No new material.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200"/>
      </w:pPr>
      <w:r>
        <w:rPr>
          <w:i/>
          <w:iCs/>
          <w:color w:val="666666"/>
        </w:rPr>
        <w:t xml:space="preserve">OSCOLA citations throughout — every legal source, case, and regulation.</w:t>
      </w:r>
    </w:p>
    <w:p>
      <w:pPr>
        <w:spacing w:after="300"/>
      </w:pPr>
      <w:r>
        <w:rPr>
          <w:color w:val="999999"/>
        </w:rPr>
        <w:t xml:space="preserve">[Draft this section here.]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Working Paper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2026-07-25T20:27:19.034Z</dcterms:created>
  <dcterms:modified xsi:type="dcterms:W3CDTF">2026-07-25T20:27:19.048Z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