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74E" w:rsidRDefault="007C074E" w:rsidP="007C074E">
      <w:pPr>
        <w:tabs>
          <w:tab w:val="left" w:pos="2964"/>
        </w:tabs>
        <w:spacing w:before="1600"/>
      </w:pPr>
      <w:r>
        <w:tab/>
      </w:r>
      <w:r>
        <w:rPr>
          <w:noProof/>
        </w:rPr>
        <w:drawing>
          <wp:inline distT="0" distB="0" distL="0" distR="0">
            <wp:extent cx="1710690" cy="12725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8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0980" cy="1272756"/>
                    </a:xfrm>
                    <a:prstGeom prst="rect">
                      <a:avLst/>
                    </a:prstGeom>
                  </pic:spPr>
                </pic:pic>
              </a:graphicData>
            </a:graphic>
          </wp:inline>
        </w:drawing>
      </w:r>
      <w:bookmarkStart w:id="0" w:name="_GoBack"/>
      <w:bookmarkEnd w:id="0"/>
    </w:p>
    <w:p w:rsidR="005925E2" w:rsidRDefault="008E6628">
      <w:pPr>
        <w:spacing w:after="600"/>
        <w:jc w:val="center"/>
      </w:pPr>
      <w:r w:rsidRPr="008E6628">
        <w:rPr>
          <w:rFonts w:asciiTheme="minorHAnsi" w:hAnsiTheme="minorHAnsi" w:cstheme="minorHAnsi"/>
          <w:sz w:val="28"/>
          <w:szCs w:val="28"/>
        </w:rPr>
        <w:t>Technische</w:t>
      </w:r>
      <w:r>
        <w:t xml:space="preserve"> </w:t>
      </w:r>
      <w:r w:rsidRPr="008E6628">
        <w:rPr>
          <w:rFonts w:asciiTheme="minorHAnsi" w:hAnsiTheme="minorHAnsi" w:cstheme="minorHAnsi"/>
          <w:sz w:val="28"/>
          <w:szCs w:val="28"/>
        </w:rPr>
        <w:t>Hochschule</w:t>
      </w:r>
      <w:r>
        <w:t xml:space="preserve"> </w:t>
      </w:r>
      <w:r w:rsidRPr="008E6628">
        <w:rPr>
          <w:rFonts w:asciiTheme="minorHAnsi" w:hAnsiTheme="minorHAnsi" w:cstheme="minorHAnsi"/>
          <w:sz w:val="28"/>
          <w:szCs w:val="28"/>
        </w:rPr>
        <w:t>Deggendorf</w:t>
      </w:r>
    </w:p>
    <w:p w:rsidR="005925E2" w:rsidRDefault="007C57F0">
      <w:pPr>
        <w:spacing w:after="60"/>
        <w:jc w:val="center"/>
      </w:pPr>
      <w:r>
        <w:rPr>
          <w:rFonts w:ascii="Calibri" w:eastAsia="Calibri" w:hAnsi="Calibri" w:cs="Calibri"/>
          <w:b/>
          <w:bCs/>
          <w:sz w:val="40"/>
          <w:szCs w:val="40"/>
        </w:rPr>
        <w:t>Bayesian Sensor Fusion and Gaussian Process Mapping for</w:t>
      </w:r>
    </w:p>
    <w:p w:rsidR="005925E2" w:rsidRDefault="007C57F0">
      <w:pPr>
        <w:spacing w:after="60"/>
        <w:jc w:val="center"/>
      </w:pPr>
      <w:r>
        <w:rPr>
          <w:rFonts w:ascii="Calibri" w:eastAsia="Calibri" w:hAnsi="Calibri" w:cs="Calibri"/>
          <w:b/>
          <w:bCs/>
          <w:sz w:val="40"/>
          <w:szCs w:val="40"/>
        </w:rPr>
        <w:t>Human–Robot Collaborative Hygiene Monitoring and</w:t>
      </w:r>
    </w:p>
    <w:p w:rsidR="005925E2" w:rsidRDefault="007C57F0">
      <w:pPr>
        <w:spacing w:after="500"/>
        <w:jc w:val="center"/>
      </w:pPr>
      <w:r>
        <w:rPr>
          <w:rFonts w:ascii="Calibri" w:eastAsia="Calibri" w:hAnsi="Calibri" w:cs="Calibri"/>
          <w:b/>
          <w:bCs/>
          <w:sz w:val="40"/>
          <w:szCs w:val="40"/>
        </w:rPr>
        <w:t>Surface Disinfection</w:t>
      </w:r>
    </w:p>
    <w:p w:rsidR="005925E2" w:rsidRDefault="007C57F0">
      <w:pPr>
        <w:spacing w:after="800"/>
        <w:jc w:val="center"/>
      </w:pPr>
      <w:r>
        <w:rPr>
          <w:rFonts w:ascii="Calibri" w:eastAsia="Calibri" w:hAnsi="Calibri" w:cs="Calibri"/>
          <w:i/>
          <w:iCs/>
          <w:sz w:val="26"/>
          <w:szCs w:val="26"/>
        </w:rPr>
        <w:t>Bibliography Report</w:t>
      </w:r>
    </w:p>
    <w:p w:rsidR="005925E2" w:rsidRPr="008E6628" w:rsidRDefault="007C57F0">
      <w:pPr>
        <w:spacing w:after="100"/>
        <w:jc w:val="center"/>
        <w:rPr>
          <w:sz w:val="28"/>
          <w:szCs w:val="28"/>
        </w:rPr>
      </w:pPr>
      <w:r w:rsidRPr="008E6628">
        <w:rPr>
          <w:rFonts w:ascii="Calibri" w:eastAsia="Calibri" w:hAnsi="Calibri" w:cs="Calibri"/>
          <w:b/>
          <w:bCs/>
          <w:sz w:val="28"/>
          <w:szCs w:val="28"/>
        </w:rPr>
        <w:t>Submitted by:</w:t>
      </w:r>
    </w:p>
    <w:p w:rsidR="005925E2" w:rsidRPr="00EB6CAB" w:rsidRDefault="008E6628">
      <w:pPr>
        <w:spacing w:after="40"/>
        <w:jc w:val="center"/>
        <w:rPr>
          <w:rFonts w:eastAsia="Calibri"/>
          <w:b/>
          <w:sz w:val="28"/>
          <w:szCs w:val="28"/>
        </w:rPr>
      </w:pPr>
      <w:r w:rsidRPr="00EB6CAB">
        <w:rPr>
          <w:rFonts w:eastAsia="Calibri"/>
          <w:b/>
          <w:sz w:val="28"/>
          <w:szCs w:val="28"/>
        </w:rPr>
        <w:t>Alwa Jyoshna</w:t>
      </w:r>
    </w:p>
    <w:p w:rsidR="008E6628" w:rsidRPr="00EB6CAB" w:rsidRDefault="008E6628">
      <w:pPr>
        <w:spacing w:after="40"/>
        <w:jc w:val="center"/>
        <w:rPr>
          <w:b/>
          <w:sz w:val="28"/>
          <w:szCs w:val="28"/>
        </w:rPr>
      </w:pPr>
      <w:r w:rsidRPr="00EB6CAB">
        <w:rPr>
          <w:rFonts w:eastAsia="Calibri"/>
          <w:b/>
          <w:sz w:val="28"/>
          <w:szCs w:val="28"/>
        </w:rPr>
        <w:t>Mahesh Kale</w:t>
      </w:r>
    </w:p>
    <w:p w:rsidR="008E6628" w:rsidRPr="00EB6CAB" w:rsidRDefault="008E6628" w:rsidP="008E6628">
      <w:pPr>
        <w:spacing w:after="500"/>
        <w:jc w:val="center"/>
        <w:rPr>
          <w:rFonts w:eastAsia="Calibri"/>
          <w:b/>
          <w:sz w:val="28"/>
          <w:szCs w:val="28"/>
        </w:rPr>
      </w:pPr>
      <w:r w:rsidRPr="00EB6CAB">
        <w:rPr>
          <w:rFonts w:eastAsia="Calibri"/>
          <w:b/>
          <w:sz w:val="28"/>
          <w:szCs w:val="28"/>
        </w:rPr>
        <w:t xml:space="preserve">    Vallepu Vishnu</w:t>
      </w:r>
    </w:p>
    <w:p w:rsidR="005925E2" w:rsidRPr="008E6628" w:rsidRDefault="008E6628">
      <w:pPr>
        <w:spacing w:after="100"/>
        <w:jc w:val="center"/>
        <w:rPr>
          <w:sz w:val="28"/>
          <w:szCs w:val="28"/>
        </w:rPr>
      </w:pPr>
      <w:r w:rsidRPr="008E6628">
        <w:rPr>
          <w:rFonts w:ascii="Calibri" w:eastAsia="Calibri" w:hAnsi="Calibri" w:cs="Calibri"/>
          <w:b/>
          <w:bCs/>
          <w:sz w:val="28"/>
          <w:szCs w:val="28"/>
        </w:rPr>
        <w:t>Cours</w:t>
      </w:r>
      <w:r w:rsidR="007C57F0" w:rsidRPr="008E6628">
        <w:rPr>
          <w:rFonts w:ascii="Calibri" w:eastAsia="Calibri" w:hAnsi="Calibri" w:cs="Calibri"/>
          <w:b/>
          <w:bCs/>
          <w:sz w:val="28"/>
          <w:szCs w:val="28"/>
        </w:rPr>
        <w:t>e:</w:t>
      </w:r>
    </w:p>
    <w:p w:rsidR="005925E2" w:rsidRPr="00EB6CAB" w:rsidRDefault="008E6628">
      <w:pPr>
        <w:spacing w:after="600"/>
        <w:jc w:val="center"/>
        <w:rPr>
          <w:sz w:val="28"/>
          <w:szCs w:val="28"/>
        </w:rPr>
      </w:pPr>
      <w:r w:rsidRPr="00EB6CAB">
        <w:rPr>
          <w:rFonts w:ascii="Calibri" w:eastAsia="Calibri" w:hAnsi="Calibri" w:cs="Calibri"/>
          <w:sz w:val="28"/>
          <w:szCs w:val="28"/>
        </w:rPr>
        <w:t xml:space="preserve"> M.Engg. in Robotics</w:t>
      </w:r>
    </w:p>
    <w:p w:rsidR="005925E2" w:rsidRPr="008E6628" w:rsidRDefault="007C57F0">
      <w:pPr>
        <w:spacing w:after="100"/>
        <w:jc w:val="center"/>
        <w:rPr>
          <w:sz w:val="28"/>
          <w:szCs w:val="28"/>
        </w:rPr>
      </w:pPr>
      <w:r w:rsidRPr="008E6628">
        <w:rPr>
          <w:rFonts w:ascii="Calibri" w:eastAsia="Calibri" w:hAnsi="Calibri" w:cs="Calibri"/>
          <w:b/>
          <w:bCs/>
          <w:sz w:val="28"/>
          <w:szCs w:val="28"/>
        </w:rPr>
        <w:t>Under the Supervision of:</w:t>
      </w:r>
    </w:p>
    <w:p w:rsidR="005925E2" w:rsidRPr="00EB6CAB" w:rsidRDefault="008E6628">
      <w:pPr>
        <w:spacing w:after="500"/>
        <w:jc w:val="center"/>
        <w:rPr>
          <w:sz w:val="28"/>
          <w:szCs w:val="28"/>
        </w:rPr>
      </w:pPr>
      <w:r w:rsidRPr="00EB6CAB">
        <w:rPr>
          <w:rFonts w:ascii="Calibri" w:eastAsia="Calibri" w:hAnsi="Calibri" w:cs="Calibri"/>
          <w:sz w:val="28"/>
          <w:szCs w:val="28"/>
        </w:rPr>
        <w:t xml:space="preserve"> </w:t>
      </w:r>
      <w:r w:rsidRPr="00EB6CAB">
        <w:rPr>
          <w:sz w:val="28"/>
          <w:szCs w:val="28"/>
        </w:rPr>
        <w:t>Prof. Dr.-Ing. Hamidreza Heidari</w:t>
      </w:r>
    </w:p>
    <w:p w:rsidR="005925E2" w:rsidRPr="00EB6CAB" w:rsidRDefault="007C57F0">
      <w:pPr>
        <w:jc w:val="center"/>
        <w:rPr>
          <w:sz w:val="28"/>
          <w:szCs w:val="28"/>
        </w:rPr>
      </w:pPr>
      <w:r w:rsidRPr="00EB6CAB">
        <w:rPr>
          <w:rFonts w:ascii="Calibri" w:eastAsia="Calibri" w:hAnsi="Calibri" w:cs="Calibri"/>
          <w:b/>
          <w:bCs/>
          <w:sz w:val="28"/>
          <w:szCs w:val="28"/>
        </w:rPr>
        <w:t xml:space="preserve">Date of Submission: </w:t>
      </w:r>
      <w:r w:rsidR="008E6628" w:rsidRPr="00EB6CAB">
        <w:rPr>
          <w:rFonts w:ascii="Calibri" w:eastAsia="Calibri" w:hAnsi="Calibri" w:cs="Calibri"/>
          <w:bCs/>
          <w:sz w:val="28"/>
          <w:szCs w:val="28"/>
        </w:rPr>
        <w:t>24.04.</w:t>
      </w:r>
      <w:r w:rsidRPr="00EB6CAB">
        <w:rPr>
          <w:rFonts w:ascii="Calibri" w:eastAsia="Calibri" w:hAnsi="Calibri" w:cs="Calibri"/>
          <w:bCs/>
          <w:sz w:val="28"/>
          <w:szCs w:val="28"/>
        </w:rPr>
        <w:t>2026</w:t>
      </w:r>
    </w:p>
    <w:p w:rsidR="005925E2" w:rsidRPr="008E6628" w:rsidRDefault="005925E2">
      <w:pPr>
        <w:sectPr w:rsidR="005925E2" w:rsidRPr="008E6628" w:rsidSect="004C0E63">
          <w:footerReference w:type="default" r:id="rId8"/>
          <w:pgSz w:w="11906" w:h="16838"/>
          <w:pgMar w:top="1440" w:right="1440" w:bottom="1440" w:left="1440" w:header="708" w:footer="708" w:gutter="0"/>
          <w:cols w:space="720"/>
          <w:titlePg/>
          <w:docGrid w:linePitch="360"/>
        </w:sectPr>
      </w:pPr>
    </w:p>
    <w:p w:rsidR="005925E2" w:rsidRPr="00C37D2E" w:rsidRDefault="007C57F0">
      <w:pPr>
        <w:pStyle w:val="Heading1"/>
        <w:spacing w:before="360" w:after="200"/>
        <w:rPr>
          <w:b/>
          <w:color w:val="auto"/>
        </w:rPr>
      </w:pPr>
      <w:r w:rsidRPr="00C37D2E">
        <w:rPr>
          <w:b/>
          <w:color w:val="auto"/>
        </w:rPr>
        <w:lastRenderedPageBreak/>
        <w:t>Table of Contents</w:t>
      </w:r>
    </w:p>
    <w:p w:rsidR="005925E2" w:rsidRPr="00B24662" w:rsidRDefault="007C57F0">
      <w:pPr>
        <w:spacing w:after="100"/>
        <w:rPr>
          <w:b/>
          <w:sz w:val="28"/>
          <w:szCs w:val="28"/>
        </w:rPr>
      </w:pPr>
      <w:r w:rsidRPr="00B24662">
        <w:rPr>
          <w:rFonts w:eastAsia="Calibri"/>
          <w:b/>
          <w:sz w:val="28"/>
          <w:szCs w:val="28"/>
        </w:rPr>
        <w:t>Abstract</w:t>
      </w:r>
      <w:r w:rsidRPr="00B24662">
        <w:rPr>
          <w:rFonts w:eastAsia="Calibri"/>
          <w:b/>
          <w:sz w:val="28"/>
          <w:szCs w:val="28"/>
        </w:rPr>
        <w:ptab w:relativeTo="margin" w:alignment="right" w:leader="dot"/>
      </w:r>
      <w:r w:rsidR="00EB6CAB">
        <w:rPr>
          <w:rFonts w:eastAsia="Calibri"/>
          <w:b/>
          <w:sz w:val="28"/>
          <w:szCs w:val="28"/>
        </w:rPr>
        <w:t>3</w:t>
      </w:r>
    </w:p>
    <w:p w:rsidR="005925E2" w:rsidRPr="00B24662" w:rsidRDefault="00B24662">
      <w:pPr>
        <w:spacing w:after="100"/>
        <w:rPr>
          <w:rFonts w:ascii="Calibri" w:eastAsia="Calibri" w:hAnsi="Calibri" w:cs="Calibri"/>
          <w:sz w:val="24"/>
          <w:szCs w:val="24"/>
        </w:rPr>
      </w:pPr>
      <w:r w:rsidRPr="00B24662">
        <w:rPr>
          <w:rFonts w:eastAsia="Calibri"/>
          <w:b/>
          <w:sz w:val="28"/>
          <w:szCs w:val="28"/>
        </w:rPr>
        <w:t xml:space="preserve">1 Introduction                                                                       </w:t>
      </w:r>
      <w:r w:rsidR="00EB6CAB">
        <w:rPr>
          <w:rFonts w:eastAsia="Calibri"/>
          <w:b/>
          <w:sz w:val="28"/>
          <w:szCs w:val="28"/>
        </w:rPr>
        <w:t xml:space="preserve">                               4</w:t>
      </w:r>
      <w:r w:rsidRPr="00B24662">
        <w:rPr>
          <w:rFonts w:ascii="Calibri" w:eastAsia="Calibri" w:hAnsi="Calibri" w:cs="Calibri"/>
          <w:sz w:val="24"/>
          <w:szCs w:val="24"/>
        </w:rPr>
        <w:t xml:space="preserve">  </w:t>
      </w:r>
      <w:r w:rsidR="001576D8" w:rsidRPr="00B24662">
        <w:rPr>
          <w:rFonts w:ascii="Calibri" w:eastAsia="Calibri" w:hAnsi="Calibri" w:cs="Calibri"/>
          <w:sz w:val="24"/>
          <w:szCs w:val="24"/>
        </w:rPr>
        <w:t xml:space="preserve">                                                                                                           </w:t>
      </w:r>
      <w:r w:rsidRPr="00B24662">
        <w:rPr>
          <w:rFonts w:ascii="Calibri" w:eastAsia="Calibri" w:hAnsi="Calibri" w:cs="Calibri"/>
          <w:sz w:val="24"/>
          <w:szCs w:val="24"/>
        </w:rPr>
        <w:t xml:space="preserve">                             </w:t>
      </w:r>
    </w:p>
    <w:p w:rsidR="005925E2" w:rsidRPr="00B24662" w:rsidRDefault="007C57F0">
      <w:pPr>
        <w:spacing w:after="100"/>
        <w:ind w:left="360"/>
        <w:rPr>
          <w:sz w:val="24"/>
          <w:szCs w:val="24"/>
        </w:rPr>
      </w:pPr>
      <w:r w:rsidRPr="00B24662">
        <w:rPr>
          <w:rFonts w:ascii="Calibri" w:eastAsia="Calibri" w:hAnsi="Calibri" w:cs="Calibri"/>
          <w:sz w:val="24"/>
          <w:szCs w:val="24"/>
        </w:rPr>
        <w:t>1.1 Background and Motivation</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4</w:t>
      </w:r>
    </w:p>
    <w:p w:rsidR="005925E2" w:rsidRPr="00B24662" w:rsidRDefault="007C57F0">
      <w:pPr>
        <w:spacing w:after="100"/>
        <w:ind w:left="360"/>
        <w:rPr>
          <w:sz w:val="24"/>
          <w:szCs w:val="24"/>
        </w:rPr>
      </w:pPr>
      <w:r w:rsidRPr="00B24662">
        <w:rPr>
          <w:rFonts w:ascii="Calibri" w:eastAsia="Calibri" w:hAnsi="Calibri" w:cs="Calibri"/>
          <w:sz w:val="24"/>
          <w:szCs w:val="24"/>
        </w:rPr>
        <w:t>1.2 Objectives</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4</w:t>
      </w:r>
    </w:p>
    <w:p w:rsidR="005925E2" w:rsidRDefault="007C57F0">
      <w:pPr>
        <w:spacing w:after="100"/>
        <w:ind w:left="360"/>
      </w:pPr>
      <w:r w:rsidRPr="00B24662">
        <w:rPr>
          <w:rFonts w:ascii="Calibri" w:eastAsia="Calibri" w:hAnsi="Calibri" w:cs="Calibri"/>
          <w:sz w:val="24"/>
          <w:szCs w:val="24"/>
        </w:rPr>
        <w:t>1.3 Scope of Study</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4</w:t>
      </w:r>
    </w:p>
    <w:p w:rsidR="005925E2" w:rsidRPr="00B24662" w:rsidRDefault="00F04B6C">
      <w:pPr>
        <w:spacing w:after="100"/>
        <w:rPr>
          <w:b/>
          <w:sz w:val="28"/>
          <w:szCs w:val="28"/>
        </w:rPr>
      </w:pPr>
      <w:r w:rsidRPr="00B24662">
        <w:rPr>
          <w:rFonts w:eastAsia="Calibri"/>
          <w:b/>
          <w:sz w:val="28"/>
          <w:szCs w:val="28"/>
        </w:rPr>
        <w:t>2</w:t>
      </w:r>
      <w:r w:rsidR="001576D8" w:rsidRPr="00B24662">
        <w:rPr>
          <w:rFonts w:eastAsia="Calibri"/>
          <w:b/>
          <w:sz w:val="28"/>
          <w:szCs w:val="28"/>
        </w:rPr>
        <w:t xml:space="preserve"> </w:t>
      </w:r>
      <w:r w:rsidRPr="00B24662">
        <w:rPr>
          <w:rFonts w:eastAsia="Calibri"/>
          <w:b/>
          <w:sz w:val="28"/>
          <w:szCs w:val="28"/>
        </w:rPr>
        <w:t>Bibliography Summary and Literature Alignme</w:t>
      </w:r>
      <w:r w:rsidR="001576D8" w:rsidRPr="00B24662">
        <w:rPr>
          <w:rFonts w:eastAsia="Calibri"/>
          <w:b/>
          <w:sz w:val="28"/>
          <w:szCs w:val="28"/>
        </w:rPr>
        <w:t xml:space="preserve">nt     </w:t>
      </w:r>
      <w:r w:rsidR="00B24662">
        <w:rPr>
          <w:rFonts w:eastAsia="Calibri"/>
          <w:b/>
          <w:sz w:val="28"/>
          <w:szCs w:val="28"/>
        </w:rPr>
        <w:t xml:space="preserve">  </w:t>
      </w:r>
      <w:r w:rsidR="00EB6CAB">
        <w:rPr>
          <w:rFonts w:eastAsia="Calibri"/>
          <w:b/>
          <w:sz w:val="28"/>
          <w:szCs w:val="28"/>
        </w:rPr>
        <w:t xml:space="preserve">                               5</w:t>
      </w:r>
      <w:r w:rsidR="001576D8" w:rsidRPr="00B24662">
        <w:rPr>
          <w:rFonts w:eastAsia="Calibri"/>
          <w:b/>
          <w:sz w:val="28"/>
          <w:szCs w:val="28"/>
        </w:rPr>
        <w:t xml:space="preserve">             </w:t>
      </w:r>
      <w:r w:rsidR="00B24662" w:rsidRPr="00B24662">
        <w:rPr>
          <w:rFonts w:eastAsia="Calibri"/>
          <w:b/>
          <w:sz w:val="28"/>
          <w:szCs w:val="28"/>
        </w:rPr>
        <w:t xml:space="preserve">                         </w:t>
      </w:r>
      <w:r w:rsidR="001576D8" w:rsidRPr="00B24662">
        <w:rPr>
          <w:rFonts w:eastAsia="Calibri"/>
          <w:b/>
          <w:sz w:val="28"/>
          <w:szCs w:val="28"/>
        </w:rPr>
        <w:t xml:space="preserve">                                   </w:t>
      </w:r>
      <w:r w:rsidR="00B24662" w:rsidRPr="00B24662">
        <w:rPr>
          <w:rFonts w:eastAsia="Calibri"/>
          <w:b/>
          <w:sz w:val="28"/>
          <w:szCs w:val="28"/>
        </w:rPr>
        <w:t xml:space="preserve">                               </w:t>
      </w:r>
    </w:p>
    <w:p w:rsidR="005925E2" w:rsidRPr="00B24662" w:rsidRDefault="007C57F0">
      <w:pPr>
        <w:spacing w:after="100"/>
        <w:ind w:left="360"/>
        <w:rPr>
          <w:sz w:val="24"/>
          <w:szCs w:val="24"/>
        </w:rPr>
      </w:pPr>
      <w:r w:rsidRPr="00B24662">
        <w:rPr>
          <w:rFonts w:ascii="Calibri" w:eastAsia="Calibri" w:hAnsi="Calibri" w:cs="Calibri"/>
          <w:sz w:val="24"/>
          <w:szCs w:val="24"/>
        </w:rPr>
        <w:t>2.1 O</w:t>
      </w:r>
      <w:r w:rsidR="00F04B6C" w:rsidRPr="00B24662">
        <w:rPr>
          <w:rFonts w:ascii="Calibri" w:eastAsia="Calibri" w:hAnsi="Calibri" w:cs="Calibri"/>
          <w:sz w:val="24"/>
          <w:szCs w:val="24"/>
        </w:rPr>
        <w:t xml:space="preserve">verview </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5</w:t>
      </w:r>
    </w:p>
    <w:p w:rsidR="005925E2" w:rsidRPr="00B24662" w:rsidRDefault="00F04B6C">
      <w:pPr>
        <w:spacing w:after="100"/>
        <w:ind w:left="360"/>
        <w:rPr>
          <w:sz w:val="24"/>
          <w:szCs w:val="24"/>
        </w:rPr>
      </w:pPr>
      <w:r w:rsidRPr="00B24662">
        <w:rPr>
          <w:rFonts w:ascii="Calibri" w:eastAsia="Calibri" w:hAnsi="Calibri" w:cs="Calibri"/>
          <w:sz w:val="24"/>
          <w:szCs w:val="24"/>
        </w:rPr>
        <w:t>2.2 Summary of Reviewed Research Works</w:t>
      </w:r>
      <w:r w:rsidR="007C57F0"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5</w:t>
      </w:r>
    </w:p>
    <w:p w:rsidR="005925E2" w:rsidRPr="00B24662" w:rsidRDefault="007C57F0">
      <w:pPr>
        <w:spacing w:after="100"/>
        <w:ind w:left="720"/>
        <w:rPr>
          <w:sz w:val="24"/>
          <w:szCs w:val="24"/>
        </w:rPr>
      </w:pPr>
      <w:r w:rsidRPr="00B24662">
        <w:rPr>
          <w:rFonts w:ascii="Calibri" w:eastAsia="Calibri" w:hAnsi="Calibri" w:cs="Calibri"/>
          <w:sz w:val="24"/>
          <w:szCs w:val="24"/>
        </w:rPr>
        <w:t>2.2.1 A Shared Autonomy Surface Disinfection System</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5</w:t>
      </w:r>
    </w:p>
    <w:p w:rsidR="005925E2" w:rsidRPr="00B24662" w:rsidRDefault="007C57F0">
      <w:pPr>
        <w:spacing w:after="100"/>
        <w:ind w:left="720"/>
        <w:rPr>
          <w:sz w:val="24"/>
          <w:szCs w:val="24"/>
        </w:rPr>
      </w:pPr>
      <w:r w:rsidRPr="00B24662">
        <w:rPr>
          <w:rFonts w:ascii="Calibri" w:eastAsia="Calibri" w:hAnsi="Calibri" w:cs="Calibri"/>
          <w:sz w:val="24"/>
          <w:szCs w:val="24"/>
        </w:rPr>
        <w:t>2.2.2 Verifiable Surface Disinfection Using UV Light</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5</w:t>
      </w:r>
    </w:p>
    <w:p w:rsidR="005925E2" w:rsidRPr="00B24662" w:rsidRDefault="007C57F0">
      <w:pPr>
        <w:spacing w:after="100"/>
        <w:ind w:left="720"/>
        <w:rPr>
          <w:sz w:val="24"/>
          <w:szCs w:val="24"/>
        </w:rPr>
      </w:pPr>
      <w:r w:rsidRPr="00B24662">
        <w:rPr>
          <w:rFonts w:ascii="Calibri" w:eastAsia="Calibri" w:hAnsi="Calibri" w:cs="Calibri"/>
          <w:sz w:val="24"/>
          <w:szCs w:val="24"/>
        </w:rPr>
        <w:t>2.2.3 DeKonBot: Vision-Based Mobile Manipulation</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6</w:t>
      </w:r>
    </w:p>
    <w:p w:rsidR="005925E2" w:rsidRPr="00B24662" w:rsidRDefault="007C57F0">
      <w:pPr>
        <w:spacing w:after="100"/>
        <w:ind w:left="720"/>
        <w:rPr>
          <w:sz w:val="24"/>
          <w:szCs w:val="24"/>
        </w:rPr>
      </w:pPr>
      <w:r w:rsidRPr="00B24662">
        <w:rPr>
          <w:rFonts w:ascii="Calibri" w:eastAsia="Calibri" w:hAnsi="Calibri" w:cs="Calibri"/>
          <w:sz w:val="24"/>
          <w:szCs w:val="24"/>
        </w:rPr>
        <w:t>2.2.4 RODI: Robot-Supported Medical Device Reprocessing</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6</w:t>
      </w:r>
    </w:p>
    <w:p w:rsidR="005925E2" w:rsidRPr="00B24662" w:rsidRDefault="007C57F0">
      <w:pPr>
        <w:spacing w:after="100"/>
        <w:ind w:left="720"/>
        <w:rPr>
          <w:sz w:val="24"/>
          <w:szCs w:val="24"/>
        </w:rPr>
      </w:pPr>
      <w:r w:rsidRPr="00B24662">
        <w:rPr>
          <w:rFonts w:ascii="Calibri" w:eastAsia="Calibri" w:hAnsi="Calibri" w:cs="Calibri"/>
          <w:sz w:val="24"/>
          <w:szCs w:val="24"/>
        </w:rPr>
        <w:t>2.2.5 Human–Robot Collaboration in Healthcare: Narrative Review</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6</w:t>
      </w:r>
    </w:p>
    <w:p w:rsidR="005925E2" w:rsidRPr="00B24662" w:rsidRDefault="007C57F0">
      <w:pPr>
        <w:spacing w:after="100"/>
        <w:ind w:left="720"/>
        <w:rPr>
          <w:sz w:val="24"/>
          <w:szCs w:val="24"/>
        </w:rPr>
      </w:pPr>
      <w:r w:rsidRPr="00B24662">
        <w:rPr>
          <w:rFonts w:ascii="Calibri" w:eastAsia="Calibri" w:hAnsi="Calibri" w:cs="Calibri"/>
          <w:sz w:val="24"/>
          <w:szCs w:val="24"/>
        </w:rPr>
        <w:t>2.2.6 Gaussian Processes for Machine Learning</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7</w:t>
      </w:r>
    </w:p>
    <w:p w:rsidR="005925E2" w:rsidRPr="00B24662" w:rsidRDefault="00F04B6C">
      <w:pPr>
        <w:spacing w:after="100"/>
        <w:ind w:left="360"/>
        <w:rPr>
          <w:sz w:val="24"/>
          <w:szCs w:val="24"/>
        </w:rPr>
      </w:pPr>
      <w:r w:rsidRPr="00B24662">
        <w:rPr>
          <w:rFonts w:ascii="Calibri" w:eastAsia="Calibri" w:hAnsi="Calibri" w:cs="Calibri"/>
          <w:sz w:val="24"/>
          <w:szCs w:val="24"/>
        </w:rPr>
        <w:t xml:space="preserve">2.3 </w:t>
      </w:r>
      <w:r w:rsidR="007C57F0" w:rsidRPr="00B24662">
        <w:rPr>
          <w:rFonts w:ascii="Calibri" w:eastAsia="Calibri" w:hAnsi="Calibri" w:cs="Calibri"/>
          <w:sz w:val="24"/>
          <w:szCs w:val="24"/>
        </w:rPr>
        <w:t>Summary of Reviewed Works</w:t>
      </w:r>
      <w:r w:rsidR="007C57F0"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8</w:t>
      </w:r>
    </w:p>
    <w:p w:rsidR="005925E2" w:rsidRPr="00B24662" w:rsidRDefault="007C57F0">
      <w:pPr>
        <w:spacing w:after="100"/>
        <w:ind w:left="360"/>
        <w:rPr>
          <w:sz w:val="24"/>
          <w:szCs w:val="24"/>
        </w:rPr>
      </w:pPr>
      <w:r w:rsidRPr="00B24662">
        <w:rPr>
          <w:rFonts w:ascii="Calibri" w:eastAsia="Calibri" w:hAnsi="Calibri" w:cs="Calibri"/>
          <w:sz w:val="24"/>
          <w:szCs w:val="24"/>
        </w:rPr>
        <w:t>2.4 Synthesis and Observations</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9</w:t>
      </w:r>
    </w:p>
    <w:p w:rsidR="005925E2" w:rsidRPr="00B24662" w:rsidRDefault="007C57F0">
      <w:pPr>
        <w:spacing w:after="100"/>
        <w:ind w:left="360"/>
        <w:rPr>
          <w:sz w:val="24"/>
          <w:szCs w:val="24"/>
        </w:rPr>
      </w:pPr>
      <w:r w:rsidRPr="00B24662">
        <w:rPr>
          <w:rFonts w:ascii="Calibri" w:eastAsia="Calibri" w:hAnsi="Calibri" w:cs="Calibri"/>
          <w:sz w:val="24"/>
          <w:szCs w:val="24"/>
        </w:rPr>
        <w:t>2.5 Alignment with the Proposed Work</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10</w:t>
      </w:r>
    </w:p>
    <w:p w:rsidR="001576D8" w:rsidRPr="00B24662" w:rsidRDefault="007C57F0" w:rsidP="001576D8">
      <w:pPr>
        <w:spacing w:after="100"/>
        <w:ind w:left="720"/>
        <w:rPr>
          <w:sz w:val="24"/>
          <w:szCs w:val="24"/>
        </w:rPr>
      </w:pPr>
      <w:r w:rsidRPr="00B24662">
        <w:rPr>
          <w:rFonts w:ascii="Calibri" w:eastAsia="Calibri" w:hAnsi="Calibri" w:cs="Calibri"/>
          <w:sz w:val="24"/>
          <w:szCs w:val="24"/>
        </w:rPr>
        <w:t>2.5.1 Identified Research Gaps</w:t>
      </w:r>
      <w:r w:rsidRPr="00B24662">
        <w:rPr>
          <w:rFonts w:ascii="Calibri" w:eastAsia="Calibri" w:hAnsi="Calibri" w:cs="Calibri"/>
          <w:sz w:val="24"/>
          <w:szCs w:val="24"/>
        </w:rPr>
        <w:ptab w:relativeTo="margin" w:alignment="right" w:leader="dot"/>
      </w:r>
      <w:r w:rsidR="00EB6CAB">
        <w:rPr>
          <w:rFonts w:ascii="Calibri" w:eastAsia="Calibri" w:hAnsi="Calibri" w:cs="Calibri"/>
          <w:sz w:val="24"/>
          <w:szCs w:val="24"/>
        </w:rPr>
        <w:t>10</w:t>
      </w:r>
    </w:p>
    <w:p w:rsidR="005925E2" w:rsidRPr="00B24662" w:rsidRDefault="00B24662" w:rsidP="001576D8">
      <w:pPr>
        <w:spacing w:after="100"/>
        <w:rPr>
          <w:b/>
          <w:sz w:val="28"/>
          <w:szCs w:val="28"/>
        </w:rPr>
      </w:pPr>
      <w:r>
        <w:rPr>
          <w:rFonts w:eastAsia="Calibri"/>
          <w:b/>
          <w:sz w:val="28"/>
          <w:szCs w:val="28"/>
        </w:rPr>
        <w:t>3</w:t>
      </w:r>
      <w:r w:rsidR="001576D8" w:rsidRPr="00B24662">
        <w:rPr>
          <w:rFonts w:eastAsia="Calibri"/>
          <w:b/>
          <w:sz w:val="28"/>
          <w:szCs w:val="28"/>
        </w:rPr>
        <w:t xml:space="preserve"> Model Selection Justification      </w:t>
      </w:r>
      <w:r w:rsidRPr="00B24662">
        <w:rPr>
          <w:rFonts w:eastAsia="Calibri"/>
          <w:b/>
          <w:sz w:val="28"/>
          <w:szCs w:val="28"/>
        </w:rPr>
        <w:t xml:space="preserve">                   </w:t>
      </w:r>
      <w:r w:rsidR="00EB6CAB">
        <w:rPr>
          <w:rFonts w:eastAsia="Calibri"/>
          <w:b/>
          <w:sz w:val="28"/>
          <w:szCs w:val="28"/>
        </w:rPr>
        <w:t xml:space="preserve">                              </w:t>
      </w:r>
      <w:r>
        <w:rPr>
          <w:rFonts w:eastAsia="Calibri"/>
          <w:b/>
          <w:sz w:val="28"/>
          <w:szCs w:val="28"/>
        </w:rPr>
        <w:t xml:space="preserve"> </w:t>
      </w:r>
      <w:r w:rsidRPr="00B24662">
        <w:rPr>
          <w:rFonts w:eastAsia="Calibri"/>
          <w:b/>
          <w:sz w:val="28"/>
          <w:szCs w:val="28"/>
        </w:rPr>
        <w:t xml:space="preserve">                </w:t>
      </w:r>
      <w:r w:rsidR="00EB6CAB">
        <w:rPr>
          <w:rFonts w:eastAsia="Calibri"/>
          <w:b/>
          <w:sz w:val="28"/>
          <w:szCs w:val="28"/>
        </w:rPr>
        <w:t>11</w:t>
      </w:r>
      <w:r w:rsidR="001576D8" w:rsidRPr="00B24662">
        <w:rPr>
          <w:rFonts w:eastAsia="Calibri"/>
          <w:b/>
          <w:sz w:val="28"/>
          <w:szCs w:val="28"/>
        </w:rPr>
        <w:t xml:space="preserve">                                                                                                                   </w:t>
      </w:r>
    </w:p>
    <w:p w:rsidR="001576D8" w:rsidRPr="00B24662" w:rsidRDefault="001576D8">
      <w:pPr>
        <w:spacing w:after="100"/>
        <w:rPr>
          <w:rFonts w:asciiTheme="minorHAnsi" w:hAnsiTheme="minorHAnsi" w:cstheme="minorHAnsi"/>
          <w:sz w:val="24"/>
          <w:szCs w:val="24"/>
        </w:rPr>
      </w:pPr>
      <w:r>
        <w:rPr>
          <w:rFonts w:asciiTheme="minorHAnsi" w:hAnsiTheme="minorHAnsi" w:cstheme="minorHAnsi"/>
          <w:sz w:val="22"/>
          <w:szCs w:val="22"/>
        </w:rPr>
        <w:t xml:space="preserve">        </w:t>
      </w:r>
      <w:r w:rsidRPr="00B24662">
        <w:rPr>
          <w:rFonts w:asciiTheme="minorHAnsi" w:hAnsiTheme="minorHAnsi" w:cstheme="minorHAnsi"/>
          <w:sz w:val="24"/>
          <w:szCs w:val="24"/>
        </w:rPr>
        <w:t>3.1 Reasons for Selection…………………………………………………………………………………………</w:t>
      </w:r>
      <w:r w:rsidR="00B24662">
        <w:rPr>
          <w:rFonts w:asciiTheme="minorHAnsi" w:hAnsiTheme="minorHAnsi" w:cstheme="minorHAnsi"/>
          <w:sz w:val="24"/>
          <w:szCs w:val="24"/>
        </w:rPr>
        <w:t>…</w:t>
      </w:r>
      <w:r w:rsidR="00EB6CAB">
        <w:rPr>
          <w:rFonts w:asciiTheme="minorHAnsi" w:hAnsiTheme="minorHAnsi" w:cstheme="minorHAnsi"/>
          <w:sz w:val="24"/>
          <w:szCs w:val="24"/>
        </w:rPr>
        <w:t>..11</w:t>
      </w:r>
    </w:p>
    <w:p w:rsidR="001576D8" w:rsidRPr="00B24662" w:rsidRDefault="001576D8">
      <w:pPr>
        <w:spacing w:after="100"/>
        <w:rPr>
          <w:rFonts w:asciiTheme="minorHAnsi" w:hAnsiTheme="minorHAnsi" w:cstheme="minorHAnsi"/>
          <w:sz w:val="24"/>
          <w:szCs w:val="24"/>
        </w:rPr>
      </w:pPr>
      <w:r w:rsidRPr="00B24662">
        <w:rPr>
          <w:rFonts w:asciiTheme="minorHAnsi" w:hAnsiTheme="minorHAnsi" w:cstheme="minorHAnsi"/>
          <w:sz w:val="24"/>
          <w:szCs w:val="24"/>
        </w:rPr>
        <w:t xml:space="preserve">        3.2 Conclusion……………………………………………………………………………………………………</w:t>
      </w:r>
      <w:r w:rsidR="00B24662">
        <w:rPr>
          <w:rFonts w:asciiTheme="minorHAnsi" w:hAnsiTheme="minorHAnsi" w:cstheme="minorHAnsi"/>
          <w:sz w:val="24"/>
          <w:szCs w:val="24"/>
        </w:rPr>
        <w:t>………</w:t>
      </w:r>
      <w:r w:rsidR="00EB6CAB">
        <w:rPr>
          <w:rFonts w:asciiTheme="minorHAnsi" w:hAnsiTheme="minorHAnsi" w:cstheme="minorHAnsi"/>
          <w:sz w:val="24"/>
          <w:szCs w:val="24"/>
        </w:rPr>
        <w:t>..11</w:t>
      </w:r>
    </w:p>
    <w:p w:rsidR="005925E2" w:rsidRPr="00B24662" w:rsidRDefault="007C57F0">
      <w:pPr>
        <w:spacing w:after="100"/>
        <w:rPr>
          <w:b/>
        </w:rPr>
      </w:pPr>
      <w:r w:rsidRPr="00B24662">
        <w:rPr>
          <w:rFonts w:eastAsia="Calibri"/>
          <w:b/>
          <w:sz w:val="28"/>
          <w:szCs w:val="28"/>
        </w:rPr>
        <w:t>References</w:t>
      </w:r>
      <w:r w:rsidR="001576D8" w:rsidRPr="00B24662">
        <w:rPr>
          <w:rFonts w:eastAsia="Calibri"/>
          <w:b/>
          <w:sz w:val="28"/>
          <w:szCs w:val="28"/>
        </w:rPr>
        <w:t xml:space="preserve">  </w:t>
      </w:r>
      <w:r w:rsidR="00EB6CAB">
        <w:rPr>
          <w:rFonts w:eastAsia="Calibri"/>
          <w:b/>
          <w:sz w:val="28"/>
          <w:szCs w:val="28"/>
        </w:rPr>
        <w:t xml:space="preserve">       </w:t>
      </w:r>
      <w:r w:rsidR="00B24662" w:rsidRPr="00B24662">
        <w:rPr>
          <w:rFonts w:eastAsia="Calibri"/>
          <w:b/>
          <w:sz w:val="28"/>
          <w:szCs w:val="28"/>
        </w:rPr>
        <w:t xml:space="preserve">                                                                   </w:t>
      </w:r>
      <w:r w:rsidR="00EB6CAB">
        <w:rPr>
          <w:rFonts w:eastAsia="Calibri"/>
          <w:b/>
          <w:sz w:val="28"/>
          <w:szCs w:val="28"/>
        </w:rPr>
        <w:t xml:space="preserve">                              12</w:t>
      </w:r>
      <w:r w:rsidR="001576D8" w:rsidRPr="00B24662">
        <w:rPr>
          <w:rFonts w:eastAsia="Calibri"/>
          <w:b/>
          <w:sz w:val="28"/>
          <w:szCs w:val="28"/>
        </w:rPr>
        <w:t xml:space="preserve">                                                                                                                                                            </w:t>
      </w:r>
    </w:p>
    <w:p w:rsidR="005925E2" w:rsidRDefault="007C57F0">
      <w:r>
        <w:br w:type="page"/>
      </w:r>
    </w:p>
    <w:p w:rsidR="005925E2" w:rsidRDefault="005925E2">
      <w:pPr>
        <w:sectPr w:rsidR="005925E2" w:rsidSect="004C0E63">
          <w:pgSz w:w="11906" w:h="16838"/>
          <w:pgMar w:top="1440" w:right="1440" w:bottom="1440" w:left="1440" w:header="708" w:footer="708" w:gutter="0"/>
          <w:pgNumType w:start="1"/>
          <w:cols w:space="720"/>
          <w:docGrid w:linePitch="360"/>
        </w:sectPr>
      </w:pPr>
    </w:p>
    <w:p w:rsidR="004C0E63" w:rsidRDefault="004C0E63">
      <w:pPr>
        <w:pStyle w:val="Heading1"/>
        <w:spacing w:before="360" w:after="200"/>
        <w:rPr>
          <w:b/>
          <w:color w:val="auto"/>
        </w:rPr>
      </w:pPr>
      <w:r>
        <w:rPr>
          <w:b/>
          <w:color w:val="auto"/>
        </w:rPr>
        <w:lastRenderedPageBreak/>
        <w:t>List of Tables</w:t>
      </w:r>
    </w:p>
    <w:p w:rsidR="00F04B6C" w:rsidRPr="00B24662" w:rsidRDefault="00F04B6C" w:rsidP="00B24662">
      <w:pPr>
        <w:rPr>
          <w:rFonts w:asciiTheme="minorHAnsi" w:hAnsiTheme="minorHAnsi" w:cstheme="minorHAnsi"/>
          <w:sz w:val="24"/>
          <w:szCs w:val="24"/>
        </w:rPr>
      </w:pPr>
      <w:r w:rsidRPr="00B24662">
        <w:rPr>
          <w:rFonts w:asciiTheme="minorHAnsi" w:hAnsiTheme="minorHAnsi" w:cstheme="minorHAnsi"/>
          <w:sz w:val="24"/>
          <w:szCs w:val="24"/>
        </w:rPr>
        <w:t xml:space="preserve">2.1 </w:t>
      </w:r>
      <w:r w:rsidR="004C0E63" w:rsidRPr="00B24662">
        <w:rPr>
          <w:rFonts w:asciiTheme="minorHAnsi" w:hAnsiTheme="minorHAnsi" w:cstheme="minorHAnsi"/>
          <w:sz w:val="24"/>
          <w:szCs w:val="24"/>
        </w:rPr>
        <w:t>Revi</w:t>
      </w:r>
      <w:r w:rsidRPr="00B24662">
        <w:rPr>
          <w:rFonts w:asciiTheme="minorHAnsi" w:hAnsiTheme="minorHAnsi" w:cstheme="minorHAnsi"/>
          <w:sz w:val="24"/>
          <w:szCs w:val="24"/>
        </w:rPr>
        <w:t>e</w:t>
      </w:r>
      <w:r w:rsidR="004C0E63" w:rsidRPr="00B24662">
        <w:rPr>
          <w:rFonts w:asciiTheme="minorHAnsi" w:hAnsiTheme="minorHAnsi" w:cstheme="minorHAnsi"/>
          <w:sz w:val="24"/>
          <w:szCs w:val="24"/>
        </w:rPr>
        <w:t>wed Robotic systems commonly used for Surface disinfection………………………………………</w:t>
      </w:r>
      <w:r w:rsidRPr="00B24662">
        <w:rPr>
          <w:rFonts w:asciiTheme="minorHAnsi" w:hAnsiTheme="minorHAnsi" w:cstheme="minorHAnsi"/>
          <w:sz w:val="24"/>
          <w:szCs w:val="24"/>
        </w:rPr>
        <w:t>………..............................................................</w:t>
      </w:r>
      <w:r w:rsidR="00EB6CAB">
        <w:rPr>
          <w:rFonts w:asciiTheme="minorHAnsi" w:hAnsiTheme="minorHAnsi" w:cstheme="minorHAnsi"/>
          <w:sz w:val="24"/>
          <w:szCs w:val="24"/>
        </w:rPr>
        <w:t>..............</w:t>
      </w:r>
      <w:r w:rsidR="00B24662" w:rsidRPr="00B24662">
        <w:rPr>
          <w:rFonts w:asciiTheme="minorHAnsi" w:hAnsiTheme="minorHAnsi" w:cstheme="minorHAnsi"/>
          <w:sz w:val="24"/>
          <w:szCs w:val="24"/>
        </w:rPr>
        <w:t>..</w:t>
      </w:r>
      <w:r w:rsidR="00EB6CAB">
        <w:rPr>
          <w:rFonts w:asciiTheme="minorHAnsi" w:hAnsiTheme="minorHAnsi" w:cstheme="minorHAnsi"/>
          <w:sz w:val="24"/>
          <w:szCs w:val="24"/>
        </w:rPr>
        <w:t>8</w:t>
      </w:r>
    </w:p>
    <w:p w:rsidR="00F04B6C" w:rsidRPr="00B24662" w:rsidRDefault="00F04B6C" w:rsidP="00B24662">
      <w:pPr>
        <w:rPr>
          <w:rFonts w:asciiTheme="minorHAnsi" w:hAnsiTheme="minorHAnsi" w:cstheme="minorHAnsi"/>
          <w:sz w:val="24"/>
          <w:szCs w:val="24"/>
        </w:rPr>
      </w:pPr>
      <w:r w:rsidRPr="00B24662">
        <w:rPr>
          <w:rFonts w:asciiTheme="minorHAnsi" w:hAnsiTheme="minorHAnsi" w:cstheme="minorHAnsi"/>
          <w:color w:val="000000" w:themeColor="text1"/>
          <w:sz w:val="24"/>
          <w:szCs w:val="24"/>
        </w:rPr>
        <w:t>2.2   Alignment of reviewed research insights with the proposed model selection……………………………</w:t>
      </w:r>
      <w:r w:rsidR="00B24662" w:rsidRPr="00B24662">
        <w:rPr>
          <w:rFonts w:asciiTheme="minorHAnsi" w:hAnsiTheme="minorHAnsi" w:cstheme="minorHAnsi"/>
          <w:color w:val="000000" w:themeColor="text1"/>
          <w:sz w:val="24"/>
          <w:szCs w:val="24"/>
        </w:rPr>
        <w:t>…………………………………………………………………………………</w:t>
      </w:r>
      <w:r w:rsidR="00B24662">
        <w:rPr>
          <w:rFonts w:asciiTheme="minorHAnsi" w:hAnsiTheme="minorHAnsi" w:cstheme="minorHAnsi"/>
          <w:color w:val="000000" w:themeColor="text1"/>
          <w:sz w:val="24"/>
          <w:szCs w:val="24"/>
        </w:rPr>
        <w:t>……………</w:t>
      </w:r>
      <w:r w:rsidR="00EB6CAB">
        <w:rPr>
          <w:rFonts w:asciiTheme="minorHAnsi" w:hAnsiTheme="minorHAnsi" w:cstheme="minorHAnsi"/>
          <w:color w:val="000000" w:themeColor="text1"/>
          <w:sz w:val="24"/>
          <w:szCs w:val="24"/>
        </w:rPr>
        <w:t>.10</w:t>
      </w:r>
    </w:p>
    <w:p w:rsidR="00F04B6C" w:rsidRPr="00B24662" w:rsidRDefault="00F04B6C">
      <w:pPr>
        <w:pStyle w:val="Heading1"/>
        <w:spacing w:before="360" w:after="200"/>
        <w:rPr>
          <w:rFonts w:asciiTheme="minorHAnsi" w:hAnsiTheme="minorHAnsi" w:cstheme="minorHAnsi"/>
          <w:color w:val="auto"/>
          <w:sz w:val="24"/>
          <w:szCs w:val="24"/>
        </w:rPr>
      </w:pPr>
    </w:p>
    <w:p w:rsidR="004C0E63" w:rsidRDefault="004C0E63" w:rsidP="00B24662"/>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4C0E63" w:rsidRDefault="004C0E63">
      <w:pPr>
        <w:pStyle w:val="Heading1"/>
        <w:spacing w:before="360" w:after="200"/>
        <w:rPr>
          <w:b/>
          <w:color w:val="auto"/>
        </w:rPr>
      </w:pPr>
    </w:p>
    <w:p w:rsidR="005925E2" w:rsidRPr="00C37D2E" w:rsidRDefault="007C57F0">
      <w:pPr>
        <w:pStyle w:val="Heading1"/>
        <w:spacing w:before="360" w:after="200"/>
        <w:rPr>
          <w:b/>
          <w:color w:val="auto"/>
        </w:rPr>
      </w:pPr>
      <w:r w:rsidRPr="00C37D2E">
        <w:rPr>
          <w:b/>
          <w:color w:val="auto"/>
        </w:rPr>
        <w:lastRenderedPageBreak/>
        <w:t>Abstract</w:t>
      </w:r>
    </w:p>
    <w:p w:rsidR="00B24662" w:rsidRPr="00B24662" w:rsidRDefault="00B24662" w:rsidP="00B24662">
      <w:pPr>
        <w:spacing w:before="100" w:beforeAutospacing="1" w:after="100" w:afterAutospacing="1"/>
        <w:jc w:val="both"/>
        <w:rPr>
          <w:sz w:val="24"/>
          <w:szCs w:val="24"/>
        </w:rPr>
      </w:pPr>
      <w:r w:rsidRPr="00B24662">
        <w:rPr>
          <w:sz w:val="24"/>
          <w:szCs w:val="24"/>
        </w:rPr>
        <w:t>Surface contamination monitoring remains a critical challenge in healthcare environments, where existing robotic disinfection systems primarily emphasize autonomous navigation and ultraviolet (UV) dose delivery while providing limited capability to estimate the actual hygiene status of treated surfaces. To improve the reliability and verifiability of autonomous disinfection, there is a growing need for intelligent frameworks that can probabilistically assess contamination by integrating information from multiple sensing modalities.</w:t>
      </w:r>
    </w:p>
    <w:p w:rsidR="00B24662" w:rsidRPr="00B24662" w:rsidRDefault="00B24662" w:rsidP="00B24662">
      <w:pPr>
        <w:spacing w:before="100" w:beforeAutospacing="1" w:after="100" w:afterAutospacing="1"/>
        <w:jc w:val="both"/>
        <w:rPr>
          <w:sz w:val="24"/>
          <w:szCs w:val="24"/>
        </w:rPr>
      </w:pPr>
      <w:r w:rsidRPr="00B24662">
        <w:rPr>
          <w:sz w:val="24"/>
          <w:szCs w:val="24"/>
        </w:rPr>
        <w:t>This paper presents a mathematical framework for human–robot collaborative hygiene monitoring that combines Bayesian multi-sensor fusion with Gaussian Process (GP) spatial mapping. Multiple sensing modalities—including RGB-D, fluorescence, hyperspectral, and UV-dose sensors—are integrated using a closed-form Bayesian estimator that weights each measurement according to its uncertainty. The resulting contamination estimates are subsequently used to train a GP model with a Radial Basis Function (RBF) kernel, enabling probabilistic prediction of hygiene levels across both observed and unobserved surface regions. Furthermore, the probabilistic hygiene map supports uncertainty-aware disinfection prioritization and human–robot collaboration (HRC) decision-making for efficient and targeted intervention.</w:t>
      </w:r>
    </w:p>
    <w:p w:rsidR="00C37D2E" w:rsidRDefault="00B24662" w:rsidP="00B24662">
      <w:pPr>
        <w:spacing w:before="100" w:beforeAutospacing="1" w:after="100" w:afterAutospacing="1"/>
        <w:jc w:val="both"/>
        <w:rPr>
          <w:rFonts w:ascii="Calibri" w:eastAsia="Calibri" w:hAnsi="Calibri" w:cs="Calibri"/>
        </w:rPr>
      </w:pPr>
      <w:r w:rsidRPr="00B24662">
        <w:rPr>
          <w:sz w:val="24"/>
          <w:szCs w:val="24"/>
        </w:rPr>
        <w:t xml:space="preserve">Analytical validation on a representative 3×3 surface grid demonstrates a 91.8% reduction in estimation uncertainty compared with the prior belief, an 81.6% improvement over RGB-D-only estimation, and an 80% increase in spatial coverage relative to non-spatial approaches. Sensitivity analyses further confirm robustness to variations in sensor noise, GP length-scale selection, and prior assumptions, while four analytical case studies validate framework performance under diverse contamination scenarios, including uniform contamination, localized hotspots, sparse observations, and sensor failure. The proposed framework establishes a mathematically rigorous foundation for autonomous, probabilistic, and verifiable surface hygiene assessment and provides a basis for future simulation studies and </w:t>
      </w:r>
      <w:r>
        <w:rPr>
          <w:sz w:val="24"/>
          <w:szCs w:val="24"/>
        </w:rPr>
        <w:t>real world robotic implementation.</w:t>
      </w: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C37D2E" w:rsidRDefault="00C37D2E">
      <w:pPr>
        <w:spacing w:after="160"/>
        <w:jc w:val="both"/>
        <w:rPr>
          <w:rFonts w:ascii="Calibri" w:eastAsia="Calibri" w:hAnsi="Calibri" w:cs="Calibri"/>
        </w:rPr>
      </w:pPr>
    </w:p>
    <w:p w:rsidR="00F04B6C" w:rsidRDefault="00F04B6C">
      <w:pPr>
        <w:spacing w:after="160"/>
        <w:jc w:val="both"/>
        <w:rPr>
          <w:rFonts w:ascii="Calibri" w:eastAsia="Calibri" w:hAnsi="Calibri" w:cs="Calibri"/>
        </w:rPr>
      </w:pPr>
    </w:p>
    <w:p w:rsidR="00B24662" w:rsidRDefault="00B24662">
      <w:pPr>
        <w:spacing w:after="160"/>
        <w:jc w:val="both"/>
      </w:pPr>
    </w:p>
    <w:p w:rsidR="00F04B6C" w:rsidRDefault="00F04B6C">
      <w:pPr>
        <w:spacing w:after="160"/>
        <w:jc w:val="both"/>
      </w:pPr>
    </w:p>
    <w:p w:rsidR="005925E2" w:rsidRPr="00C37D2E" w:rsidRDefault="007C57F0">
      <w:pPr>
        <w:pStyle w:val="Heading1"/>
        <w:spacing w:before="360" w:after="200"/>
        <w:rPr>
          <w:b/>
          <w:color w:val="auto"/>
        </w:rPr>
      </w:pPr>
      <w:r w:rsidRPr="00C37D2E">
        <w:rPr>
          <w:b/>
          <w:color w:val="auto"/>
        </w:rPr>
        <w:lastRenderedPageBreak/>
        <w:t>1 Introduction</w:t>
      </w:r>
    </w:p>
    <w:p w:rsidR="005925E2" w:rsidRPr="00BF5656" w:rsidRDefault="007C57F0">
      <w:pPr>
        <w:pStyle w:val="Heading2"/>
        <w:spacing w:before="280" w:after="160"/>
        <w:rPr>
          <w:b/>
          <w:color w:val="auto"/>
          <w:sz w:val="28"/>
          <w:szCs w:val="28"/>
        </w:rPr>
      </w:pPr>
      <w:r w:rsidRPr="00BF5656">
        <w:rPr>
          <w:b/>
          <w:color w:val="auto"/>
          <w:sz w:val="28"/>
          <w:szCs w:val="28"/>
        </w:rPr>
        <w:t>1.1 Background and Motivation</w:t>
      </w:r>
    </w:p>
    <w:p w:rsidR="005925E2" w:rsidRPr="00C37D2E" w:rsidRDefault="007C57F0">
      <w:pPr>
        <w:spacing w:after="160"/>
        <w:jc w:val="both"/>
        <w:rPr>
          <w:sz w:val="24"/>
          <w:szCs w:val="24"/>
        </w:rPr>
      </w:pPr>
      <w:r w:rsidRPr="00C37D2E">
        <w:rPr>
          <w:rFonts w:eastAsia="Calibri"/>
          <w:sz w:val="24"/>
          <w:szCs w:val="24"/>
        </w:rPr>
        <w:t>Infection control is one of the most persistent challenges in modern healthcare delivery. Contaminated surfaces are a well-documented pathway for the transmission of hospital-acquired infections, and the physical burden of manual cleaning places healthcare workers at direct risk of exposure during outbreaks of diseases such as Ebola, MERS, and SARS-CoV-2. Human–robot collaboration (HRC) has emerged as a promising response to this problem, and robots capable of navigating a room and delivering an ultraviolet (UV) dose to a surface are now well established in the literature.</w:t>
      </w:r>
    </w:p>
    <w:p w:rsidR="005925E2" w:rsidRPr="00C37D2E" w:rsidRDefault="007C57F0">
      <w:pPr>
        <w:spacing w:after="160"/>
        <w:jc w:val="both"/>
        <w:rPr>
          <w:sz w:val="24"/>
          <w:szCs w:val="24"/>
        </w:rPr>
      </w:pPr>
      <w:r w:rsidRPr="00C37D2E">
        <w:rPr>
          <w:rFonts w:eastAsia="Calibri"/>
          <w:sz w:val="24"/>
          <w:szCs w:val="24"/>
        </w:rPr>
        <w:t>However, the great majority of these systems verify that a UV source traversed a planned geometric path, not that the underlying contamination was actually present, reduced, or removed. This gap between path execution and true biological cleanliness is the general problem motivating this project. Narrowing from this broad industry need to the specific technical question addressed here: how can a robot combine multiple imperfect sensors into a single, calibrated estimate of contamination, and how can that estimate be extended across a surface it has not fully observed? This report reviews the literature that frames that question and establishes why Bayesian multi-sensor fusion combined with Gaussian Process (GP) spatial mapping is the appropriate mathematical foundation for the proposed hygiene monitoring and disinfection framework.</w:t>
      </w:r>
    </w:p>
    <w:p w:rsidR="005925E2" w:rsidRPr="00BF5656" w:rsidRDefault="007C57F0">
      <w:pPr>
        <w:pStyle w:val="Heading2"/>
        <w:spacing w:before="280" w:after="160"/>
        <w:rPr>
          <w:b/>
          <w:color w:val="auto"/>
          <w:sz w:val="28"/>
          <w:szCs w:val="28"/>
        </w:rPr>
      </w:pPr>
      <w:r w:rsidRPr="00BF5656">
        <w:rPr>
          <w:b/>
          <w:color w:val="auto"/>
          <w:sz w:val="28"/>
          <w:szCs w:val="28"/>
        </w:rPr>
        <w:t>1.2 Objectives</w:t>
      </w:r>
    </w:p>
    <w:p w:rsidR="005925E2" w:rsidRPr="00C37D2E" w:rsidRDefault="007C57F0">
      <w:pPr>
        <w:pStyle w:val="ListParagraph"/>
        <w:numPr>
          <w:ilvl w:val="0"/>
          <w:numId w:val="1"/>
        </w:numPr>
        <w:spacing w:after="100"/>
        <w:rPr>
          <w:sz w:val="24"/>
          <w:szCs w:val="24"/>
        </w:rPr>
      </w:pPr>
      <w:r w:rsidRPr="00C37D2E">
        <w:rPr>
          <w:rFonts w:eastAsia="Calibri"/>
          <w:sz w:val="24"/>
          <w:szCs w:val="24"/>
        </w:rPr>
        <w:t>To review existing literature on robotic surface disinfection, contamination sensing, and human–robot collaboration in healthcare.</w:t>
      </w:r>
    </w:p>
    <w:p w:rsidR="005925E2" w:rsidRPr="00C37D2E" w:rsidRDefault="007C57F0">
      <w:pPr>
        <w:pStyle w:val="ListParagraph"/>
        <w:numPr>
          <w:ilvl w:val="0"/>
          <w:numId w:val="1"/>
        </w:numPr>
        <w:spacing w:after="100"/>
        <w:rPr>
          <w:sz w:val="24"/>
          <w:szCs w:val="24"/>
        </w:rPr>
      </w:pPr>
      <w:r w:rsidRPr="00C37D2E">
        <w:rPr>
          <w:rFonts w:eastAsia="Calibri"/>
          <w:sz w:val="24"/>
          <w:szCs w:val="24"/>
        </w:rPr>
        <w:t>To identify research gaps in automatic contamination estimation, cleanliness verification, and spatial hygiene mapping.</w:t>
      </w:r>
    </w:p>
    <w:p w:rsidR="005925E2" w:rsidRPr="00C37D2E" w:rsidRDefault="007C57F0">
      <w:pPr>
        <w:pStyle w:val="ListParagraph"/>
        <w:numPr>
          <w:ilvl w:val="0"/>
          <w:numId w:val="1"/>
        </w:numPr>
        <w:spacing w:after="100"/>
        <w:rPr>
          <w:sz w:val="24"/>
          <w:szCs w:val="24"/>
        </w:rPr>
      </w:pPr>
      <w:r w:rsidRPr="00C37D2E">
        <w:rPr>
          <w:rFonts w:eastAsia="Calibri"/>
          <w:sz w:val="24"/>
          <w:szCs w:val="24"/>
        </w:rPr>
        <w:t>To justify the use of Bayesian sensor fusion and Gaussian Process regression as the mathematical basis for the proposed framework.</w:t>
      </w:r>
    </w:p>
    <w:p w:rsidR="005925E2" w:rsidRPr="00BF5656" w:rsidRDefault="007C57F0">
      <w:pPr>
        <w:pStyle w:val="Heading2"/>
        <w:spacing w:before="280" w:after="160"/>
        <w:rPr>
          <w:b/>
          <w:color w:val="auto"/>
          <w:sz w:val="28"/>
          <w:szCs w:val="28"/>
        </w:rPr>
      </w:pPr>
      <w:r w:rsidRPr="00BF5656">
        <w:rPr>
          <w:b/>
          <w:color w:val="auto"/>
          <w:sz w:val="28"/>
          <w:szCs w:val="28"/>
        </w:rPr>
        <w:t>1.3 Scope of Study</w:t>
      </w:r>
    </w:p>
    <w:p w:rsidR="005925E2" w:rsidRDefault="007C57F0">
      <w:pPr>
        <w:spacing w:after="160"/>
        <w:jc w:val="both"/>
        <w:rPr>
          <w:rFonts w:eastAsia="Calibri"/>
          <w:sz w:val="24"/>
          <w:szCs w:val="24"/>
        </w:rPr>
      </w:pPr>
      <w:r w:rsidRPr="00C37D2E">
        <w:rPr>
          <w:rFonts w:eastAsia="Calibri"/>
          <w:sz w:val="24"/>
          <w:szCs w:val="24"/>
        </w:rPr>
        <w:t>This review covers publications and pilot projects from 2021–2023 on robotic and vision-based surface disinfection and human–robot collaboration in healthcare, together with the foundational 2006 reference on Gaussian Process regression that underlies the spatial mapping component of the proposed framework.</w:t>
      </w: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Pr="00C37D2E" w:rsidRDefault="000A7C1B">
      <w:pPr>
        <w:spacing w:after="160"/>
        <w:jc w:val="both"/>
        <w:rPr>
          <w:sz w:val="24"/>
          <w:szCs w:val="24"/>
        </w:rPr>
      </w:pPr>
    </w:p>
    <w:p w:rsidR="005925E2" w:rsidRPr="00C37D2E" w:rsidRDefault="00BF5656">
      <w:pPr>
        <w:pStyle w:val="Heading1"/>
        <w:spacing w:before="360" w:after="200"/>
        <w:rPr>
          <w:b/>
          <w:color w:val="auto"/>
        </w:rPr>
      </w:pPr>
      <w:r>
        <w:rPr>
          <w:b/>
          <w:color w:val="auto"/>
        </w:rPr>
        <w:lastRenderedPageBreak/>
        <w:t>2 Bibliography Summary and Literature Alignment</w:t>
      </w:r>
    </w:p>
    <w:p w:rsidR="005925E2" w:rsidRPr="00BF5656" w:rsidRDefault="007C57F0">
      <w:pPr>
        <w:pStyle w:val="Heading2"/>
        <w:spacing w:before="280" w:after="160"/>
        <w:rPr>
          <w:b/>
          <w:color w:val="auto"/>
          <w:sz w:val="28"/>
          <w:szCs w:val="28"/>
        </w:rPr>
      </w:pPr>
      <w:r w:rsidRPr="00BF5656">
        <w:rPr>
          <w:b/>
          <w:color w:val="auto"/>
          <w:sz w:val="28"/>
          <w:szCs w:val="28"/>
        </w:rPr>
        <w:t>2.1 O</w:t>
      </w:r>
      <w:r w:rsidR="001576D8" w:rsidRPr="00BF5656">
        <w:rPr>
          <w:b/>
          <w:color w:val="auto"/>
          <w:sz w:val="28"/>
          <w:szCs w:val="28"/>
        </w:rPr>
        <w:t xml:space="preserve">verview </w:t>
      </w:r>
    </w:p>
    <w:p w:rsidR="005925E2" w:rsidRPr="001576D8" w:rsidRDefault="001576D8">
      <w:pPr>
        <w:spacing w:after="160"/>
        <w:jc w:val="both"/>
        <w:rPr>
          <w:sz w:val="24"/>
          <w:szCs w:val="24"/>
        </w:rPr>
      </w:pPr>
      <w:r w:rsidRPr="001576D8">
        <w:rPr>
          <w:sz w:val="24"/>
          <w:szCs w:val="24"/>
        </w:rPr>
        <w:t>This section provides an overview of the principal studies reviewed in support of the proposed research. The selected literature examines robotic surface disinfection, UV-based cleaning verification, contamination sensing, healthcare human–robot collaboration, and probabilistic machine learning approaches for spatial modeling. Collectively, these works establish the current state of the art, identify limitations in existing disinfection systems, and justify the adoption of Bayesian sensor fusion and Gaussian Process regression for uncertainty-aware hygiene monitoring and surface contamination mapping.</w:t>
      </w:r>
    </w:p>
    <w:p w:rsidR="005925E2" w:rsidRPr="00BF5656" w:rsidRDefault="00BF5656">
      <w:pPr>
        <w:pStyle w:val="Heading2"/>
        <w:spacing w:before="280" w:after="160"/>
        <w:rPr>
          <w:b/>
          <w:color w:val="auto"/>
          <w:sz w:val="28"/>
          <w:szCs w:val="28"/>
        </w:rPr>
      </w:pPr>
      <w:r w:rsidRPr="00BF5656">
        <w:rPr>
          <w:b/>
          <w:color w:val="auto"/>
          <w:sz w:val="28"/>
          <w:szCs w:val="28"/>
        </w:rPr>
        <w:t>2.2 Summary of Reviewed Research Works</w:t>
      </w:r>
    </w:p>
    <w:p w:rsidR="005925E2" w:rsidRPr="00BF5656" w:rsidRDefault="007C57F0">
      <w:pPr>
        <w:spacing w:before="220" w:after="120"/>
        <w:rPr>
          <w:rFonts w:asciiTheme="minorHAnsi" w:hAnsiTheme="minorHAnsi" w:cstheme="minorHAnsi"/>
          <w:sz w:val="28"/>
          <w:szCs w:val="28"/>
        </w:rPr>
      </w:pPr>
      <w:r w:rsidRPr="00BF5656">
        <w:rPr>
          <w:rFonts w:asciiTheme="minorHAnsi" w:eastAsia="Calibri" w:hAnsiTheme="minorHAnsi" w:cstheme="minorHAnsi"/>
          <w:b/>
          <w:bCs/>
          <w:i/>
          <w:iCs/>
          <w:sz w:val="28"/>
          <w:szCs w:val="28"/>
        </w:rPr>
        <w:t>2.2.1 A Shared Autonomy Surface Disinfection System Using a Mobile Manipulator Robot</w:t>
      </w:r>
    </w:p>
    <w:p w:rsidR="005925E2" w:rsidRPr="000A7C1B" w:rsidRDefault="007C57F0">
      <w:pPr>
        <w:spacing w:after="160"/>
        <w:rPr>
          <w:sz w:val="24"/>
          <w:szCs w:val="24"/>
        </w:rPr>
      </w:pPr>
      <w:r w:rsidRPr="00BF5656">
        <w:rPr>
          <w:rFonts w:eastAsia="Calibri"/>
          <w:b/>
          <w:sz w:val="24"/>
          <w:szCs w:val="24"/>
        </w:rPr>
        <w:t>Authors:</w:t>
      </w:r>
      <w:r w:rsidRPr="000A7C1B">
        <w:rPr>
          <w:rFonts w:eastAsia="Calibri"/>
          <w:sz w:val="24"/>
          <w:szCs w:val="24"/>
        </w:rPr>
        <w:t xml:space="preserve"> A. G. Sanchez and W. D. Smart (2021), </w:t>
      </w:r>
      <w:r w:rsidRPr="000A7C1B">
        <w:rPr>
          <w:rFonts w:eastAsia="Calibri"/>
          <w:i/>
          <w:iCs/>
          <w:sz w:val="24"/>
          <w:szCs w:val="24"/>
        </w:rPr>
        <w:t>Proc. IEEE Int. Symp. Safety, Security, Rescue Robotics (SSRR)</w:t>
      </w:r>
      <w:r w:rsidRPr="000A7C1B">
        <w:rPr>
          <w:rFonts w:eastAsia="Calibri"/>
          <w:sz w:val="24"/>
          <w:szCs w:val="24"/>
        </w:rPr>
        <w:t>, pp. 176–183 [1]</w:t>
      </w:r>
    </w:p>
    <w:p w:rsidR="005925E2" w:rsidRPr="000A7C1B" w:rsidRDefault="007C57F0">
      <w:pPr>
        <w:spacing w:after="160"/>
        <w:jc w:val="both"/>
        <w:rPr>
          <w:sz w:val="24"/>
          <w:szCs w:val="24"/>
        </w:rPr>
      </w:pPr>
      <w:r w:rsidRPr="000A7C1B">
        <w:rPr>
          <w:rFonts w:eastAsia="Calibri"/>
          <w:sz w:val="24"/>
          <w:szCs w:val="24"/>
        </w:rPr>
        <w:t>This paper proposes a shared-autonomy system in which a human supervisor designates a contaminated surface through a user interface, after which a mobile manipulator equipped with a UV-C source autonomously executes the disinfection motion. The work demonstrates effective integration of human supervisory intent with autonomous motion execution, but the system relies entirely on the operator to identify target surfaces — no automatic contamination detection, hygiene mapping, or uncertainty estimate is provided.</w:t>
      </w:r>
    </w:p>
    <w:p w:rsidR="005925E2" w:rsidRPr="000A7C1B" w:rsidRDefault="007C57F0">
      <w:pPr>
        <w:spacing w:after="60"/>
        <w:rPr>
          <w:sz w:val="24"/>
          <w:szCs w:val="24"/>
        </w:rPr>
      </w:pPr>
      <w:r w:rsidRPr="000A7C1B">
        <w:rPr>
          <w:rFonts w:eastAsia="Calibri"/>
          <w:b/>
          <w:bCs/>
          <w:sz w:val="24"/>
          <w:szCs w:val="24"/>
        </w:rPr>
        <w:t xml:space="preserve">Key Insight: </w:t>
      </w:r>
      <w:r w:rsidRPr="000A7C1B">
        <w:rPr>
          <w:rFonts w:eastAsia="Calibri"/>
          <w:sz w:val="24"/>
          <w:szCs w:val="24"/>
        </w:rPr>
        <w:t>Effective HRC motion execution, but contamination identification remains a fully manual, operator-driven task.</w:t>
      </w:r>
    </w:p>
    <w:p w:rsidR="005925E2" w:rsidRDefault="007C57F0">
      <w:pPr>
        <w:spacing w:after="200"/>
      </w:pPr>
      <w:r w:rsidRPr="000A7C1B">
        <w:rPr>
          <w:rFonts w:eastAsia="Calibri"/>
          <w:b/>
          <w:bCs/>
          <w:sz w:val="24"/>
          <w:szCs w:val="24"/>
        </w:rPr>
        <w:t xml:space="preserve">Relevance: </w:t>
      </w:r>
      <w:r w:rsidRPr="000A7C1B">
        <w:rPr>
          <w:rFonts w:eastAsia="Calibri"/>
          <w:sz w:val="24"/>
          <w:szCs w:val="24"/>
        </w:rPr>
        <w:t>The proposed framework replaces manual surface selection with an automatically computed, uncertainty-aware disinfection priority derived from fused sensor data</w:t>
      </w:r>
      <w:r>
        <w:rPr>
          <w:rFonts w:ascii="Calibri" w:eastAsia="Calibri" w:hAnsi="Calibri" w:cs="Calibri"/>
        </w:rPr>
        <w:t>.</w:t>
      </w:r>
    </w:p>
    <w:p w:rsidR="005925E2" w:rsidRPr="00BF5656" w:rsidRDefault="007C57F0">
      <w:pPr>
        <w:spacing w:before="220" w:after="120"/>
        <w:rPr>
          <w:sz w:val="28"/>
          <w:szCs w:val="28"/>
        </w:rPr>
      </w:pPr>
      <w:r w:rsidRPr="00BF5656">
        <w:rPr>
          <w:rFonts w:ascii="Calibri" w:eastAsia="Calibri" w:hAnsi="Calibri" w:cs="Calibri"/>
          <w:b/>
          <w:bCs/>
          <w:i/>
          <w:iCs/>
          <w:sz w:val="28"/>
          <w:szCs w:val="28"/>
        </w:rPr>
        <w:t>2.2.2 Verifiable Surface Disinfection Using Ultraviolet Light with a Mobile Manipulation Robot</w:t>
      </w:r>
    </w:p>
    <w:p w:rsidR="005925E2" w:rsidRPr="000A7C1B" w:rsidRDefault="007C57F0">
      <w:pPr>
        <w:spacing w:after="160"/>
        <w:rPr>
          <w:sz w:val="24"/>
          <w:szCs w:val="24"/>
        </w:rPr>
      </w:pPr>
      <w:r w:rsidRPr="00BF5656">
        <w:rPr>
          <w:rFonts w:eastAsia="Calibri"/>
          <w:b/>
          <w:sz w:val="24"/>
          <w:szCs w:val="24"/>
        </w:rPr>
        <w:t>Authors:</w:t>
      </w:r>
      <w:r w:rsidRPr="000A7C1B">
        <w:rPr>
          <w:rFonts w:eastAsia="Calibri"/>
          <w:sz w:val="24"/>
          <w:szCs w:val="24"/>
        </w:rPr>
        <w:t xml:space="preserve"> A. G. Sanchez and W. D. Smart (2022), </w:t>
      </w:r>
      <w:r w:rsidRPr="000A7C1B">
        <w:rPr>
          <w:rFonts w:eastAsia="Calibri"/>
          <w:i/>
          <w:iCs/>
          <w:sz w:val="24"/>
          <w:szCs w:val="24"/>
        </w:rPr>
        <w:t>Technologies</w:t>
      </w:r>
      <w:r w:rsidRPr="000A7C1B">
        <w:rPr>
          <w:rFonts w:eastAsia="Calibri"/>
          <w:sz w:val="24"/>
          <w:szCs w:val="24"/>
        </w:rPr>
        <w:t>, vol. 10, no. 2, Art. no. 48 [2]</w:t>
      </w:r>
    </w:p>
    <w:p w:rsidR="005925E2" w:rsidRPr="000A7C1B" w:rsidRDefault="007C57F0">
      <w:pPr>
        <w:spacing w:after="160"/>
        <w:jc w:val="both"/>
        <w:rPr>
          <w:sz w:val="24"/>
          <w:szCs w:val="24"/>
        </w:rPr>
      </w:pPr>
      <w:r w:rsidRPr="000A7C1B">
        <w:rPr>
          <w:rFonts w:eastAsia="Calibri"/>
          <w:sz w:val="24"/>
          <w:szCs w:val="24"/>
        </w:rPr>
        <w:t>Extending [1], this paper introduces UV-dose calibration and a mechanism for verifying that the robot's planned disinfection path was executed as intended, incorporating distance, angle of incidence, and surface reflectance into the irradiance model. Verification remains path-level: the system confirms dose delivery geometry rather than estimating whether contamination has actually been removed, and no multi-sensor contamination fusion or spatial probability model is proposed.</w:t>
      </w:r>
    </w:p>
    <w:p w:rsidR="005925E2" w:rsidRPr="000A7C1B" w:rsidRDefault="007C57F0">
      <w:pPr>
        <w:spacing w:after="60"/>
        <w:rPr>
          <w:sz w:val="24"/>
          <w:szCs w:val="24"/>
        </w:rPr>
      </w:pPr>
      <w:r w:rsidRPr="000A7C1B">
        <w:rPr>
          <w:rFonts w:eastAsia="Calibri"/>
          <w:b/>
          <w:bCs/>
          <w:sz w:val="24"/>
          <w:szCs w:val="24"/>
        </w:rPr>
        <w:t xml:space="preserve">Key Insight: </w:t>
      </w:r>
      <w:r w:rsidRPr="000A7C1B">
        <w:rPr>
          <w:rFonts w:eastAsia="Calibri"/>
          <w:sz w:val="24"/>
          <w:szCs w:val="24"/>
        </w:rPr>
        <w:t>Rigorous UV-dose modeling, but verification is geometric/dose-based rather than a biological contamination estimate.</w:t>
      </w:r>
    </w:p>
    <w:p w:rsidR="005925E2" w:rsidRPr="000A7C1B" w:rsidRDefault="007C57F0">
      <w:pPr>
        <w:spacing w:after="200"/>
        <w:rPr>
          <w:sz w:val="24"/>
          <w:szCs w:val="24"/>
        </w:rPr>
      </w:pPr>
      <w:r w:rsidRPr="000A7C1B">
        <w:rPr>
          <w:rFonts w:eastAsia="Calibri"/>
          <w:b/>
          <w:bCs/>
          <w:sz w:val="24"/>
          <w:szCs w:val="24"/>
        </w:rPr>
        <w:t xml:space="preserve">Relevance: </w:t>
      </w:r>
      <w:r w:rsidRPr="000A7C1B">
        <w:rPr>
          <w:rFonts w:eastAsia="Calibri"/>
          <w:sz w:val="24"/>
          <w:szCs w:val="24"/>
        </w:rPr>
        <w:t>The proposed Bayesian fusion layer directly targets this gap by producing a calibrated posterior contamination estimate rather than only confirming dose delivery.</w:t>
      </w:r>
    </w:p>
    <w:p w:rsidR="004C0E63" w:rsidRDefault="004C0E63">
      <w:pPr>
        <w:spacing w:before="220" w:after="120"/>
        <w:rPr>
          <w:rFonts w:ascii="Calibri" w:eastAsia="Calibri" w:hAnsi="Calibri" w:cs="Calibri"/>
          <w:b/>
          <w:bCs/>
          <w:i/>
          <w:iCs/>
          <w:sz w:val="22"/>
          <w:szCs w:val="22"/>
        </w:rPr>
      </w:pPr>
    </w:p>
    <w:p w:rsidR="005925E2" w:rsidRPr="00BF5656" w:rsidRDefault="007C57F0">
      <w:pPr>
        <w:spacing w:before="220" w:after="120"/>
        <w:rPr>
          <w:i/>
          <w:sz w:val="28"/>
          <w:szCs w:val="28"/>
        </w:rPr>
      </w:pPr>
      <w:r w:rsidRPr="00BF5656">
        <w:rPr>
          <w:rFonts w:ascii="Calibri" w:eastAsia="Calibri" w:hAnsi="Calibri" w:cs="Calibri"/>
          <w:b/>
          <w:bCs/>
          <w:i/>
          <w:iCs/>
          <w:sz w:val="28"/>
          <w:szCs w:val="28"/>
        </w:rPr>
        <w:lastRenderedPageBreak/>
        <w:t>2.2.3 Development and Evaluation of a Mobile Manipulation Robot for Surface Disinfection (DeKonBot)</w:t>
      </w:r>
    </w:p>
    <w:p w:rsidR="005925E2" w:rsidRPr="000A7C1B" w:rsidRDefault="007C57F0">
      <w:pPr>
        <w:spacing w:after="160"/>
        <w:rPr>
          <w:sz w:val="24"/>
          <w:szCs w:val="24"/>
        </w:rPr>
      </w:pPr>
      <w:r w:rsidRPr="00BF5656">
        <w:rPr>
          <w:rFonts w:eastAsia="Calibri"/>
          <w:b/>
          <w:sz w:val="24"/>
          <w:szCs w:val="24"/>
        </w:rPr>
        <w:t>Authors:</w:t>
      </w:r>
      <w:r w:rsidRPr="000A7C1B">
        <w:rPr>
          <w:rFonts w:eastAsia="Calibri"/>
          <w:sz w:val="24"/>
          <w:szCs w:val="24"/>
        </w:rPr>
        <w:t xml:space="preserve"> S. Baumgarten, F. Jordan, M. Patel, M. Schmelzer, and B. Graf (2022), </w:t>
      </w:r>
      <w:r w:rsidRPr="000A7C1B">
        <w:rPr>
          <w:rFonts w:eastAsia="Calibri"/>
          <w:i/>
          <w:iCs/>
          <w:sz w:val="24"/>
          <w:szCs w:val="24"/>
        </w:rPr>
        <w:t>Proc. 52nd Int. Symp. Robotics (ISR Europe)</w:t>
      </w:r>
      <w:r w:rsidRPr="000A7C1B">
        <w:rPr>
          <w:rFonts w:eastAsia="Calibri"/>
          <w:sz w:val="24"/>
          <w:szCs w:val="24"/>
        </w:rPr>
        <w:t>, pp. 1–8 [3]</w:t>
      </w:r>
    </w:p>
    <w:p w:rsidR="005925E2" w:rsidRPr="000A7C1B" w:rsidRDefault="007C57F0">
      <w:pPr>
        <w:spacing w:after="160"/>
        <w:jc w:val="both"/>
        <w:rPr>
          <w:sz w:val="24"/>
          <w:szCs w:val="24"/>
        </w:rPr>
      </w:pPr>
      <w:r w:rsidRPr="000A7C1B">
        <w:rPr>
          <w:rFonts w:eastAsia="Calibri"/>
          <w:sz w:val="24"/>
          <w:szCs w:val="24"/>
        </w:rPr>
        <w:t>This study presents DeKonBot, a mobile manipulator that uses a convolutional neural network and 3D point-cloud projection to localize high-touch objects such as door handles and light switches, applying predefined cleaning-motion templates once an object is detected. Tested on 45 objects, the system demonstrates practical vision-based detection and manipulation, but it classifies object categories rather than estimating contamination level, and provides no probabilistic cleanliness verification or generalization beyond the trained object set.</w:t>
      </w:r>
    </w:p>
    <w:p w:rsidR="005925E2" w:rsidRPr="000A7C1B" w:rsidRDefault="007C57F0">
      <w:pPr>
        <w:spacing w:after="60"/>
        <w:rPr>
          <w:sz w:val="24"/>
          <w:szCs w:val="24"/>
        </w:rPr>
      </w:pPr>
      <w:r w:rsidRPr="000A7C1B">
        <w:rPr>
          <w:rFonts w:eastAsia="Calibri"/>
          <w:b/>
          <w:bCs/>
          <w:sz w:val="24"/>
          <w:szCs w:val="24"/>
        </w:rPr>
        <w:t xml:space="preserve">Key Insight: </w:t>
      </w:r>
      <w:r w:rsidRPr="000A7C1B">
        <w:rPr>
          <w:rFonts w:eastAsia="Calibri"/>
          <w:sz w:val="24"/>
          <w:szCs w:val="24"/>
        </w:rPr>
        <w:t>Strong object-level detection and manipulation, but no contamination-level estimation or uncertainty output.</w:t>
      </w:r>
    </w:p>
    <w:p w:rsidR="005925E2" w:rsidRPr="000A7C1B" w:rsidRDefault="007C57F0">
      <w:pPr>
        <w:spacing w:after="200"/>
        <w:rPr>
          <w:sz w:val="24"/>
          <w:szCs w:val="24"/>
        </w:rPr>
      </w:pPr>
      <w:r w:rsidRPr="000A7C1B">
        <w:rPr>
          <w:rFonts w:eastAsia="Calibri"/>
          <w:b/>
          <w:bCs/>
          <w:sz w:val="24"/>
          <w:szCs w:val="24"/>
        </w:rPr>
        <w:t xml:space="preserve">Relevance: </w:t>
      </w:r>
      <w:r w:rsidRPr="000A7C1B">
        <w:rPr>
          <w:rFonts w:eastAsia="Calibri"/>
          <w:sz w:val="24"/>
          <w:szCs w:val="24"/>
        </w:rPr>
        <w:t>Motivates the sensing-layer design in the proposed framework, which estimates a continuous contamination level per patch rather than a discrete object category.</w:t>
      </w:r>
    </w:p>
    <w:p w:rsidR="005925E2" w:rsidRPr="00BF5656" w:rsidRDefault="007C57F0">
      <w:pPr>
        <w:spacing w:before="220" w:after="120"/>
        <w:rPr>
          <w:sz w:val="28"/>
          <w:szCs w:val="28"/>
        </w:rPr>
      </w:pPr>
      <w:r w:rsidRPr="00BF5656">
        <w:rPr>
          <w:rFonts w:ascii="Calibri" w:eastAsia="Calibri" w:hAnsi="Calibri" w:cs="Calibri"/>
          <w:b/>
          <w:bCs/>
          <w:i/>
          <w:iCs/>
          <w:sz w:val="28"/>
          <w:szCs w:val="28"/>
        </w:rPr>
        <w:t>2.2.4 RODI: Robot Supported Disinfection of Medical Devices</w:t>
      </w:r>
    </w:p>
    <w:p w:rsidR="005925E2" w:rsidRPr="000A7C1B" w:rsidRDefault="007C57F0">
      <w:pPr>
        <w:spacing w:after="160"/>
        <w:rPr>
          <w:sz w:val="24"/>
          <w:szCs w:val="24"/>
        </w:rPr>
      </w:pPr>
      <w:r w:rsidRPr="00BF5656">
        <w:rPr>
          <w:rFonts w:eastAsia="Calibri"/>
          <w:b/>
          <w:sz w:val="24"/>
          <w:szCs w:val="24"/>
        </w:rPr>
        <w:t>Author:</w:t>
      </w:r>
      <w:r w:rsidRPr="000A7C1B">
        <w:rPr>
          <w:rFonts w:eastAsia="Calibri"/>
          <w:sz w:val="24"/>
          <w:szCs w:val="24"/>
        </w:rPr>
        <w:t xml:space="preserve"> JARVIS Project, </w:t>
      </w:r>
      <w:r w:rsidRPr="000A7C1B">
        <w:rPr>
          <w:rFonts w:eastAsia="Calibri"/>
          <w:i/>
          <w:iCs/>
          <w:sz w:val="24"/>
          <w:szCs w:val="24"/>
        </w:rPr>
        <w:t>JARVIS Pilot Project Document</w:t>
      </w:r>
      <w:r w:rsidRPr="000A7C1B">
        <w:rPr>
          <w:rFonts w:eastAsia="Calibri"/>
          <w:sz w:val="24"/>
          <w:szCs w:val="24"/>
        </w:rPr>
        <w:t>, European Commission [4]</w:t>
      </w:r>
    </w:p>
    <w:p w:rsidR="005925E2" w:rsidRPr="000A7C1B" w:rsidRDefault="007C57F0">
      <w:pPr>
        <w:spacing w:after="160"/>
        <w:jc w:val="both"/>
        <w:rPr>
          <w:sz w:val="24"/>
          <w:szCs w:val="24"/>
        </w:rPr>
      </w:pPr>
      <w:r w:rsidRPr="000A7C1B">
        <w:rPr>
          <w:rFonts w:eastAsia="Calibri"/>
          <w:sz w:val="24"/>
          <w:szCs w:val="24"/>
        </w:rPr>
        <w:t>The RODI pilot demonstrates human–robot collaboration for reprocessing contaminated surgical instruments, automating parts of the clean–disinfect–sterilize–pack workflow to reduce manual handling risk. As a pilot project description rather than a peer-reviewed study, it offers limited experimental validation or mathematical modeling, and targets structured device-handling workflows rather than general environmental surface hygiene mapping.</w:t>
      </w:r>
    </w:p>
    <w:p w:rsidR="005925E2" w:rsidRPr="000A7C1B" w:rsidRDefault="007C57F0">
      <w:pPr>
        <w:spacing w:after="60"/>
        <w:rPr>
          <w:sz w:val="24"/>
          <w:szCs w:val="24"/>
        </w:rPr>
      </w:pPr>
      <w:r w:rsidRPr="000A7C1B">
        <w:rPr>
          <w:rFonts w:eastAsia="Calibri"/>
          <w:b/>
          <w:bCs/>
          <w:sz w:val="24"/>
          <w:szCs w:val="24"/>
        </w:rPr>
        <w:t xml:space="preserve">Key Insight: </w:t>
      </w:r>
      <w:r w:rsidRPr="000A7C1B">
        <w:rPr>
          <w:rFonts w:eastAsia="Calibri"/>
          <w:sz w:val="24"/>
          <w:szCs w:val="24"/>
        </w:rPr>
        <w:t>Demonstrates practical HRC value in a structured clinical workflow, but with limited formal modeling.</w:t>
      </w:r>
    </w:p>
    <w:p w:rsidR="005925E2" w:rsidRPr="000A7C1B" w:rsidRDefault="007C57F0">
      <w:pPr>
        <w:spacing w:after="200"/>
        <w:rPr>
          <w:sz w:val="24"/>
          <w:szCs w:val="24"/>
        </w:rPr>
      </w:pPr>
      <w:r w:rsidRPr="000A7C1B">
        <w:rPr>
          <w:rFonts w:eastAsia="Calibri"/>
          <w:b/>
          <w:bCs/>
          <w:sz w:val="24"/>
          <w:szCs w:val="24"/>
        </w:rPr>
        <w:t xml:space="preserve">Relevance: </w:t>
      </w:r>
      <w:r w:rsidRPr="000A7C1B">
        <w:rPr>
          <w:rFonts w:eastAsia="Calibri"/>
          <w:sz w:val="24"/>
          <w:szCs w:val="24"/>
        </w:rPr>
        <w:t>Reinforces the need for the rigorous, closed-form mathematical treatment provided by the proposed Bayesian fusion and GP framework.</w:t>
      </w:r>
    </w:p>
    <w:p w:rsidR="005925E2" w:rsidRPr="00BF5656" w:rsidRDefault="007C57F0">
      <w:pPr>
        <w:spacing w:before="220" w:after="120"/>
        <w:rPr>
          <w:sz w:val="28"/>
          <w:szCs w:val="28"/>
        </w:rPr>
      </w:pPr>
      <w:r w:rsidRPr="00BF5656">
        <w:rPr>
          <w:rFonts w:ascii="Calibri" w:eastAsia="Calibri" w:hAnsi="Calibri" w:cs="Calibri"/>
          <w:b/>
          <w:bCs/>
          <w:i/>
          <w:iCs/>
          <w:sz w:val="28"/>
          <w:szCs w:val="28"/>
        </w:rPr>
        <w:t>2.2.5 Human–Robot Collaboration for Healthcare: A Narrative Review</w:t>
      </w:r>
    </w:p>
    <w:p w:rsidR="005925E2" w:rsidRPr="000A7C1B" w:rsidRDefault="007C57F0">
      <w:pPr>
        <w:spacing w:after="160"/>
        <w:rPr>
          <w:sz w:val="24"/>
          <w:szCs w:val="24"/>
        </w:rPr>
      </w:pPr>
      <w:r w:rsidRPr="00BF5656">
        <w:rPr>
          <w:rFonts w:eastAsia="Calibri"/>
          <w:b/>
          <w:sz w:val="24"/>
          <w:szCs w:val="24"/>
        </w:rPr>
        <w:t>Authors:</w:t>
      </w:r>
      <w:r w:rsidRPr="000A7C1B">
        <w:rPr>
          <w:rFonts w:eastAsia="Calibri"/>
          <w:sz w:val="24"/>
          <w:szCs w:val="24"/>
        </w:rPr>
        <w:t xml:space="preserve"> I. N. Weerarathna, D. Raymond, and A. Luharia (2023), </w:t>
      </w:r>
      <w:r w:rsidRPr="000A7C1B">
        <w:rPr>
          <w:rFonts w:eastAsia="Calibri"/>
          <w:i/>
          <w:iCs/>
          <w:sz w:val="24"/>
          <w:szCs w:val="24"/>
        </w:rPr>
        <w:t>Cureus</w:t>
      </w:r>
      <w:r w:rsidRPr="000A7C1B">
        <w:rPr>
          <w:rFonts w:eastAsia="Calibri"/>
          <w:sz w:val="24"/>
          <w:szCs w:val="24"/>
        </w:rPr>
        <w:t>, vol. 15, no. 11, Art. no. e49210 [5]</w:t>
      </w:r>
    </w:p>
    <w:p w:rsidR="005925E2" w:rsidRPr="000A7C1B" w:rsidRDefault="007C57F0">
      <w:pPr>
        <w:spacing w:after="160"/>
        <w:jc w:val="both"/>
        <w:rPr>
          <w:sz w:val="24"/>
          <w:szCs w:val="24"/>
        </w:rPr>
      </w:pPr>
      <w:r w:rsidRPr="000A7C1B">
        <w:rPr>
          <w:rFonts w:eastAsia="Calibri"/>
          <w:sz w:val="24"/>
          <w:szCs w:val="24"/>
        </w:rPr>
        <w:t>This narrative review surveys HRC applications across telemedicine, rehabilitation, surgery, and assistive care, identifying safety, trust, usability, privacy, and adoption barriers as the principal challenges facing healthcare robotics. It does not propose specific sensor fusion or probabilistic mapping methods, but provides essential human-factors context for any deployed hygiene-monitoring system.</w:t>
      </w:r>
    </w:p>
    <w:p w:rsidR="005925E2" w:rsidRPr="000A7C1B" w:rsidRDefault="007C57F0">
      <w:pPr>
        <w:spacing w:after="60"/>
        <w:rPr>
          <w:sz w:val="24"/>
          <w:szCs w:val="24"/>
        </w:rPr>
      </w:pPr>
      <w:r w:rsidRPr="000A7C1B">
        <w:rPr>
          <w:rFonts w:eastAsia="Calibri"/>
          <w:b/>
          <w:bCs/>
          <w:sz w:val="24"/>
          <w:szCs w:val="24"/>
        </w:rPr>
        <w:t xml:space="preserve">Key Insight: </w:t>
      </w:r>
      <w:r w:rsidRPr="000A7C1B">
        <w:rPr>
          <w:rFonts w:eastAsia="Calibri"/>
          <w:sz w:val="24"/>
          <w:szCs w:val="24"/>
        </w:rPr>
        <w:t>Robots must be more capable, trustworthy, and easy to use before broad clinical adoption; perception limitations increase operator cognitive burden.</w:t>
      </w:r>
    </w:p>
    <w:p w:rsidR="005925E2" w:rsidRDefault="007C57F0">
      <w:pPr>
        <w:spacing w:after="200"/>
        <w:rPr>
          <w:rFonts w:eastAsia="Calibri"/>
          <w:sz w:val="24"/>
          <w:szCs w:val="24"/>
        </w:rPr>
      </w:pPr>
      <w:r w:rsidRPr="000A7C1B">
        <w:rPr>
          <w:rFonts w:eastAsia="Calibri"/>
          <w:b/>
          <w:bCs/>
          <w:sz w:val="24"/>
          <w:szCs w:val="24"/>
        </w:rPr>
        <w:t xml:space="preserve">Relevance: </w:t>
      </w:r>
      <w:r w:rsidRPr="000A7C1B">
        <w:rPr>
          <w:rFonts w:eastAsia="Calibri"/>
          <w:sz w:val="24"/>
          <w:szCs w:val="24"/>
        </w:rPr>
        <w:t>Supports the design of the proposed uncertainty-aware HRC decision rules, which are intended to reduce operator burden by deferring only where the hygiene map is genuinely uncertain.</w:t>
      </w:r>
    </w:p>
    <w:p w:rsidR="004C0E63" w:rsidRDefault="004C0E63">
      <w:pPr>
        <w:spacing w:after="200"/>
        <w:rPr>
          <w:rFonts w:eastAsia="Calibri"/>
          <w:sz w:val="24"/>
          <w:szCs w:val="24"/>
        </w:rPr>
      </w:pPr>
    </w:p>
    <w:p w:rsidR="004C0E63" w:rsidRDefault="004C0E63">
      <w:pPr>
        <w:spacing w:after="200"/>
        <w:rPr>
          <w:rFonts w:eastAsia="Calibri"/>
          <w:sz w:val="24"/>
          <w:szCs w:val="24"/>
        </w:rPr>
      </w:pPr>
    </w:p>
    <w:p w:rsidR="004C0E63" w:rsidRPr="000A7C1B" w:rsidRDefault="004C0E63">
      <w:pPr>
        <w:spacing w:after="200"/>
        <w:rPr>
          <w:sz w:val="24"/>
          <w:szCs w:val="24"/>
        </w:rPr>
      </w:pPr>
    </w:p>
    <w:p w:rsidR="005925E2" w:rsidRPr="00BF5656" w:rsidRDefault="007C57F0">
      <w:pPr>
        <w:spacing w:before="220" w:after="120"/>
        <w:rPr>
          <w:sz w:val="28"/>
          <w:szCs w:val="28"/>
        </w:rPr>
      </w:pPr>
      <w:r w:rsidRPr="00BF5656">
        <w:rPr>
          <w:rFonts w:ascii="Calibri" w:eastAsia="Calibri" w:hAnsi="Calibri" w:cs="Calibri"/>
          <w:b/>
          <w:bCs/>
          <w:i/>
          <w:iCs/>
          <w:sz w:val="28"/>
          <w:szCs w:val="28"/>
        </w:rPr>
        <w:t>2.2.6 Gaussian Processes for Machine Learning</w:t>
      </w:r>
    </w:p>
    <w:p w:rsidR="005925E2" w:rsidRPr="000A7C1B" w:rsidRDefault="007C57F0">
      <w:pPr>
        <w:spacing w:after="160"/>
        <w:rPr>
          <w:sz w:val="24"/>
          <w:szCs w:val="24"/>
        </w:rPr>
      </w:pPr>
      <w:r w:rsidRPr="000A7C1B">
        <w:rPr>
          <w:rFonts w:eastAsia="Calibri"/>
          <w:sz w:val="24"/>
          <w:szCs w:val="24"/>
        </w:rPr>
        <w:t xml:space="preserve">Authors: C. E. Rasmussen and C. K. I. Williams (2006), </w:t>
      </w:r>
      <w:r w:rsidRPr="000A7C1B">
        <w:rPr>
          <w:rFonts w:eastAsia="Calibri"/>
          <w:i/>
          <w:iCs/>
          <w:sz w:val="24"/>
          <w:szCs w:val="24"/>
        </w:rPr>
        <w:t>MIT Press</w:t>
      </w:r>
      <w:r w:rsidRPr="000A7C1B">
        <w:rPr>
          <w:rFonts w:eastAsia="Calibri"/>
          <w:sz w:val="24"/>
          <w:szCs w:val="24"/>
        </w:rPr>
        <w:t xml:space="preserve"> [6]</w:t>
      </w:r>
    </w:p>
    <w:p w:rsidR="005925E2" w:rsidRPr="000A7C1B" w:rsidRDefault="007C57F0">
      <w:pPr>
        <w:spacing w:after="160"/>
        <w:jc w:val="both"/>
        <w:rPr>
          <w:sz w:val="24"/>
          <w:szCs w:val="24"/>
        </w:rPr>
      </w:pPr>
      <w:r w:rsidRPr="000A7C1B">
        <w:rPr>
          <w:rFonts w:eastAsia="Calibri"/>
          <w:sz w:val="24"/>
          <w:szCs w:val="24"/>
        </w:rPr>
        <w:t>This foundational text formalizes Gaussian Process regression as a nonparametric distribution over functions, providing the closed-form posterior mean and covariance expressions, and detailing kernel functions including the squared-exponential (RBF) kernel used to encode spatial correlation between nearby observations.</w:t>
      </w:r>
    </w:p>
    <w:p w:rsidR="005925E2" w:rsidRPr="000A7C1B" w:rsidRDefault="007C57F0">
      <w:pPr>
        <w:spacing w:after="60"/>
        <w:rPr>
          <w:sz w:val="24"/>
          <w:szCs w:val="24"/>
        </w:rPr>
      </w:pPr>
      <w:r w:rsidRPr="000A7C1B">
        <w:rPr>
          <w:rFonts w:eastAsia="Calibri"/>
          <w:b/>
          <w:bCs/>
          <w:sz w:val="24"/>
          <w:szCs w:val="24"/>
        </w:rPr>
        <w:t xml:space="preserve">Key Insight: </w:t>
      </w:r>
      <w:r w:rsidRPr="000A7C1B">
        <w:rPr>
          <w:rFonts w:eastAsia="Calibri"/>
          <w:sz w:val="24"/>
          <w:szCs w:val="24"/>
        </w:rPr>
        <w:t>Establishes the closed-form GP posterior and RBF kernel formulation used for probabilistic spatial interpolation.</w:t>
      </w:r>
    </w:p>
    <w:p w:rsidR="005925E2" w:rsidRDefault="007C57F0">
      <w:pPr>
        <w:spacing w:after="200"/>
        <w:rPr>
          <w:rFonts w:eastAsia="Calibri"/>
          <w:sz w:val="24"/>
          <w:szCs w:val="24"/>
        </w:rPr>
      </w:pPr>
      <w:r w:rsidRPr="000A7C1B">
        <w:rPr>
          <w:rFonts w:eastAsia="Calibri"/>
          <w:b/>
          <w:bCs/>
          <w:sz w:val="24"/>
          <w:szCs w:val="24"/>
        </w:rPr>
        <w:t xml:space="preserve">Relevance: </w:t>
      </w:r>
      <w:r w:rsidRPr="000A7C1B">
        <w:rPr>
          <w:rFonts w:eastAsia="Calibri"/>
          <w:sz w:val="24"/>
          <w:szCs w:val="24"/>
        </w:rPr>
        <w:t>Provides the direct mathematical basis for the GP hygiene mapping layer, which propagates Bayesian fusion outputs to unobserved surface patches.</w:t>
      </w: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Default="00BF5656">
      <w:pPr>
        <w:spacing w:after="200"/>
        <w:rPr>
          <w:rFonts w:eastAsia="Calibri"/>
          <w:sz w:val="24"/>
          <w:szCs w:val="24"/>
        </w:rPr>
      </w:pPr>
    </w:p>
    <w:p w:rsidR="00BF5656" w:rsidRPr="000A7C1B" w:rsidRDefault="00BF5656">
      <w:pPr>
        <w:spacing w:after="200"/>
        <w:rPr>
          <w:sz w:val="24"/>
          <w:szCs w:val="24"/>
        </w:rPr>
      </w:pPr>
    </w:p>
    <w:p w:rsidR="005925E2" w:rsidRPr="00BF5656" w:rsidRDefault="007C57F0">
      <w:pPr>
        <w:pStyle w:val="Heading2"/>
        <w:spacing w:before="280" w:after="160"/>
        <w:rPr>
          <w:b/>
          <w:color w:val="auto"/>
          <w:sz w:val="28"/>
          <w:szCs w:val="28"/>
        </w:rPr>
      </w:pPr>
      <w:r w:rsidRPr="00BF5656">
        <w:rPr>
          <w:b/>
          <w:color w:val="auto"/>
          <w:sz w:val="28"/>
          <w:szCs w:val="28"/>
        </w:rPr>
        <w:lastRenderedPageBreak/>
        <w:t>2.</w:t>
      </w:r>
      <w:r w:rsidR="00BF5656" w:rsidRPr="00BF5656">
        <w:rPr>
          <w:b/>
          <w:color w:val="auto"/>
          <w:sz w:val="28"/>
          <w:szCs w:val="28"/>
        </w:rPr>
        <w:t xml:space="preserve">3 </w:t>
      </w:r>
      <w:r w:rsidRPr="00BF5656">
        <w:rPr>
          <w:b/>
          <w:color w:val="auto"/>
          <w:sz w:val="28"/>
          <w:szCs w:val="28"/>
        </w:rPr>
        <w:t>Summary of Reviewed Works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2903"/>
        <w:gridCol w:w="1414"/>
        <w:gridCol w:w="3831"/>
      </w:tblGrid>
      <w:tr w:rsidR="005925E2">
        <w:trPr>
          <w:tblHeader/>
        </w:trPr>
        <w:tc>
          <w:tcPr>
            <w:tcW w:w="13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Ref.</w:t>
            </w:r>
          </w:p>
        </w:tc>
        <w:tc>
          <w:tcPr>
            <w:tcW w:w="30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Focus / Contribution</w:t>
            </w:r>
          </w:p>
        </w:tc>
        <w:tc>
          <w:tcPr>
            <w:tcW w:w="12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Domain</w:t>
            </w:r>
          </w:p>
        </w:tc>
        <w:tc>
          <w:tcPr>
            <w:tcW w:w="39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Key Limitation</w:t>
            </w:r>
          </w:p>
        </w:tc>
      </w:tr>
      <w:tr w:rsidR="005925E2">
        <w:tc>
          <w:tcPr>
            <w:tcW w:w="1300" w:type="dxa"/>
            <w:tcMar>
              <w:top w:w="80" w:type="dxa"/>
              <w:left w:w="100" w:type="dxa"/>
              <w:bottom w:w="80" w:type="dxa"/>
              <w:right w:w="100" w:type="dxa"/>
            </w:tcMar>
            <w:vAlign w:val="center"/>
          </w:tcPr>
          <w:p w:rsidR="005925E2" w:rsidRDefault="007C57F0">
            <w:r>
              <w:rPr>
                <w:rFonts w:ascii="Calibri" w:eastAsia="Calibri" w:hAnsi="Calibri" w:cs="Calibri"/>
              </w:rPr>
              <w:t>[1]</w:t>
            </w:r>
          </w:p>
        </w:tc>
        <w:tc>
          <w:tcPr>
            <w:tcW w:w="30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Shared-autonomy UV-C disinfection with mobile manipulator</w:t>
            </w:r>
          </w:p>
        </w:tc>
        <w:tc>
          <w:tcPr>
            <w:tcW w:w="12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HRC disinfection</w:t>
            </w:r>
          </w:p>
        </w:tc>
        <w:tc>
          <w:tcPr>
            <w:tcW w:w="39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Operator selects target; no contamination sensing or probabilistic model</w:t>
            </w:r>
          </w:p>
        </w:tc>
      </w:tr>
      <w:tr w:rsidR="005925E2">
        <w:tc>
          <w:tcPr>
            <w:tcW w:w="1300" w:type="dxa"/>
            <w:tcMar>
              <w:top w:w="80" w:type="dxa"/>
              <w:left w:w="100" w:type="dxa"/>
              <w:bottom w:w="80" w:type="dxa"/>
              <w:right w:w="100" w:type="dxa"/>
            </w:tcMar>
            <w:vAlign w:val="center"/>
          </w:tcPr>
          <w:p w:rsidR="005925E2" w:rsidRDefault="007C57F0">
            <w:r>
              <w:rPr>
                <w:rFonts w:ascii="Calibri" w:eastAsia="Calibri" w:hAnsi="Calibri" w:cs="Calibri"/>
              </w:rPr>
              <w:t>[2]</w:t>
            </w:r>
          </w:p>
        </w:tc>
        <w:tc>
          <w:tcPr>
            <w:tcW w:w="30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UV-dose calibration and path-execution verification</w:t>
            </w:r>
          </w:p>
        </w:tc>
        <w:tc>
          <w:tcPr>
            <w:tcW w:w="12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Verifiable disinfection</w:t>
            </w:r>
          </w:p>
        </w:tc>
        <w:tc>
          <w:tcPr>
            <w:tcW w:w="39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Verification is geometric/dose-based, not biological</w:t>
            </w:r>
          </w:p>
        </w:tc>
      </w:tr>
      <w:tr w:rsidR="005925E2">
        <w:tc>
          <w:tcPr>
            <w:tcW w:w="1300" w:type="dxa"/>
            <w:tcMar>
              <w:top w:w="80" w:type="dxa"/>
              <w:left w:w="100" w:type="dxa"/>
              <w:bottom w:w="80" w:type="dxa"/>
              <w:right w:w="100" w:type="dxa"/>
            </w:tcMar>
            <w:vAlign w:val="center"/>
          </w:tcPr>
          <w:p w:rsidR="005925E2" w:rsidRDefault="007C57F0">
            <w:r>
              <w:rPr>
                <w:rFonts w:ascii="Calibri" w:eastAsia="Calibri" w:hAnsi="Calibri" w:cs="Calibri"/>
              </w:rPr>
              <w:t>[3]</w:t>
            </w:r>
          </w:p>
        </w:tc>
        <w:tc>
          <w:tcPr>
            <w:tcW w:w="30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CNN + point-cloud detection of high-touch objects (DeKonBot)</w:t>
            </w:r>
          </w:p>
        </w:tc>
        <w:tc>
          <w:tcPr>
            <w:tcW w:w="12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Vision-based cleaning</w:t>
            </w:r>
          </w:p>
        </w:tc>
        <w:tc>
          <w:tcPr>
            <w:tcW w:w="39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Detects object class, not contamination level; no uncertainty output</w:t>
            </w:r>
          </w:p>
        </w:tc>
      </w:tr>
      <w:tr w:rsidR="005925E2">
        <w:tc>
          <w:tcPr>
            <w:tcW w:w="1300" w:type="dxa"/>
            <w:tcMar>
              <w:top w:w="80" w:type="dxa"/>
              <w:left w:w="100" w:type="dxa"/>
              <w:bottom w:w="80" w:type="dxa"/>
              <w:right w:w="100" w:type="dxa"/>
            </w:tcMar>
            <w:vAlign w:val="center"/>
          </w:tcPr>
          <w:p w:rsidR="005925E2" w:rsidRDefault="007C57F0">
            <w:r>
              <w:rPr>
                <w:rFonts w:ascii="Calibri" w:eastAsia="Calibri" w:hAnsi="Calibri" w:cs="Calibri"/>
              </w:rPr>
              <w:t>[4]</w:t>
            </w:r>
          </w:p>
        </w:tc>
        <w:tc>
          <w:tcPr>
            <w:tcW w:w="30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RODI pilot: robot-supported medical device reprocessing</w:t>
            </w:r>
          </w:p>
        </w:tc>
        <w:tc>
          <w:tcPr>
            <w:tcW w:w="12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Medical device HRC</w:t>
            </w:r>
          </w:p>
        </w:tc>
        <w:tc>
          <w:tcPr>
            <w:tcW w:w="39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Pilot-level description; limited mathematical/experimental validation</w:t>
            </w:r>
          </w:p>
        </w:tc>
      </w:tr>
      <w:tr w:rsidR="005925E2">
        <w:tc>
          <w:tcPr>
            <w:tcW w:w="1300" w:type="dxa"/>
            <w:tcMar>
              <w:top w:w="80" w:type="dxa"/>
              <w:left w:w="100" w:type="dxa"/>
              <w:bottom w:w="80" w:type="dxa"/>
              <w:right w:w="100" w:type="dxa"/>
            </w:tcMar>
            <w:vAlign w:val="center"/>
          </w:tcPr>
          <w:p w:rsidR="005925E2" w:rsidRDefault="007C57F0">
            <w:r>
              <w:rPr>
                <w:rFonts w:ascii="Calibri" w:eastAsia="Calibri" w:hAnsi="Calibri" w:cs="Calibri"/>
              </w:rPr>
              <w:t>[5]</w:t>
            </w:r>
          </w:p>
        </w:tc>
        <w:tc>
          <w:tcPr>
            <w:tcW w:w="30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Narrative review of HRC applications in healthcare</w:t>
            </w:r>
          </w:p>
        </w:tc>
        <w:tc>
          <w:tcPr>
            <w:tcW w:w="12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HRC survey</w:t>
            </w:r>
          </w:p>
        </w:tc>
        <w:tc>
          <w:tcPr>
            <w:tcW w:w="39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No sensor fusion or mapping method proposed</w:t>
            </w:r>
          </w:p>
        </w:tc>
      </w:tr>
      <w:tr w:rsidR="005925E2">
        <w:tc>
          <w:tcPr>
            <w:tcW w:w="1300" w:type="dxa"/>
            <w:tcMar>
              <w:top w:w="80" w:type="dxa"/>
              <w:left w:w="100" w:type="dxa"/>
              <w:bottom w:w="80" w:type="dxa"/>
              <w:right w:w="100" w:type="dxa"/>
            </w:tcMar>
            <w:vAlign w:val="center"/>
          </w:tcPr>
          <w:p w:rsidR="005925E2" w:rsidRDefault="007C57F0">
            <w:r>
              <w:rPr>
                <w:rFonts w:ascii="Calibri" w:eastAsia="Calibri" w:hAnsi="Calibri" w:cs="Calibri"/>
              </w:rPr>
              <w:t>[6]</w:t>
            </w:r>
          </w:p>
        </w:tc>
        <w:tc>
          <w:tcPr>
            <w:tcW w:w="30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Foundational text on Gaussian Process regression</w:t>
            </w:r>
          </w:p>
        </w:tc>
        <w:tc>
          <w:tcPr>
            <w:tcW w:w="12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Probabilistic ML theory</w:t>
            </w:r>
          </w:p>
        </w:tc>
        <w:tc>
          <w:tcPr>
            <w:tcW w:w="39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General-purpose theory; not domain-specific to hygiene monitoring</w:t>
            </w:r>
          </w:p>
        </w:tc>
      </w:tr>
    </w:tbl>
    <w:p w:rsidR="005925E2" w:rsidRPr="00F04B6C" w:rsidRDefault="00F04B6C">
      <w:pPr>
        <w:spacing w:before="200"/>
        <w:rPr>
          <w:sz w:val="24"/>
          <w:szCs w:val="24"/>
        </w:rPr>
      </w:pPr>
      <w:r w:rsidRPr="00F04B6C">
        <w:rPr>
          <w:sz w:val="24"/>
          <w:szCs w:val="24"/>
        </w:rPr>
        <w:t>Table 2.1: Reviewed Robotic systems commonly used for Surface disinfection</w:t>
      </w:r>
    </w:p>
    <w:p w:rsidR="004C0E63" w:rsidRDefault="004C0E63">
      <w:pPr>
        <w:spacing w:before="200"/>
      </w:pPr>
    </w:p>
    <w:p w:rsidR="004C0E63" w:rsidRDefault="004C0E63">
      <w:pPr>
        <w:spacing w:before="200"/>
      </w:pPr>
    </w:p>
    <w:p w:rsidR="004C0E63" w:rsidRDefault="004C0E63">
      <w:pPr>
        <w:spacing w:before="200"/>
      </w:pPr>
    </w:p>
    <w:p w:rsidR="004C0E63" w:rsidRDefault="004C0E63">
      <w:pPr>
        <w:spacing w:before="200"/>
      </w:pPr>
    </w:p>
    <w:p w:rsidR="004C0E63" w:rsidRDefault="004C0E63">
      <w:pPr>
        <w:spacing w:before="200"/>
      </w:pPr>
    </w:p>
    <w:p w:rsidR="004C0E63" w:rsidRDefault="004C0E63">
      <w:pPr>
        <w:spacing w:before="200"/>
      </w:pPr>
    </w:p>
    <w:p w:rsidR="004C0E63" w:rsidRDefault="004C0E63">
      <w:pPr>
        <w:spacing w:before="200"/>
      </w:pPr>
    </w:p>
    <w:p w:rsidR="00BF5656" w:rsidRDefault="00BF5656">
      <w:pPr>
        <w:spacing w:before="200"/>
      </w:pPr>
    </w:p>
    <w:p w:rsidR="00BF5656" w:rsidRDefault="00BF5656">
      <w:pPr>
        <w:spacing w:before="200"/>
      </w:pPr>
    </w:p>
    <w:p w:rsidR="00BF5656" w:rsidRDefault="00BF5656">
      <w:pPr>
        <w:spacing w:before="200"/>
      </w:pPr>
    </w:p>
    <w:p w:rsidR="00BF5656" w:rsidRDefault="00BF5656">
      <w:pPr>
        <w:spacing w:before="200"/>
      </w:pPr>
    </w:p>
    <w:p w:rsidR="00BF5656" w:rsidRDefault="00BF5656">
      <w:pPr>
        <w:spacing w:before="200"/>
      </w:pPr>
    </w:p>
    <w:p w:rsidR="00BF5656" w:rsidRDefault="00BF5656">
      <w:pPr>
        <w:spacing w:before="200"/>
      </w:pPr>
    </w:p>
    <w:p w:rsidR="00BF5656" w:rsidRDefault="00BF5656">
      <w:pPr>
        <w:spacing w:before="200"/>
      </w:pPr>
    </w:p>
    <w:p w:rsidR="00BF5656" w:rsidRDefault="00BF5656">
      <w:pPr>
        <w:spacing w:before="200"/>
      </w:pPr>
    </w:p>
    <w:p w:rsidR="004C0E63" w:rsidRDefault="004C0E63">
      <w:pPr>
        <w:spacing w:before="200"/>
      </w:pPr>
    </w:p>
    <w:p w:rsidR="005925E2" w:rsidRPr="00BF5656" w:rsidRDefault="007C57F0">
      <w:pPr>
        <w:pStyle w:val="Heading2"/>
        <w:spacing w:before="280" w:after="160"/>
        <w:rPr>
          <w:b/>
          <w:color w:val="auto"/>
          <w:sz w:val="28"/>
          <w:szCs w:val="28"/>
        </w:rPr>
      </w:pPr>
      <w:r w:rsidRPr="00BF5656">
        <w:rPr>
          <w:b/>
          <w:color w:val="auto"/>
          <w:sz w:val="28"/>
          <w:szCs w:val="28"/>
        </w:rPr>
        <w:lastRenderedPageBreak/>
        <w:t>2.4 Synthesis and Observations</w:t>
      </w:r>
    </w:p>
    <w:p w:rsidR="005925E2" w:rsidRPr="000A7C1B" w:rsidRDefault="007C57F0">
      <w:pPr>
        <w:spacing w:after="160"/>
        <w:jc w:val="both"/>
        <w:rPr>
          <w:sz w:val="24"/>
          <w:szCs w:val="24"/>
        </w:rPr>
      </w:pPr>
      <w:r w:rsidRPr="000A7C1B">
        <w:rPr>
          <w:rFonts w:eastAsia="Calibri"/>
          <w:sz w:val="24"/>
          <w:szCs w:val="24"/>
        </w:rPr>
        <w:t>The reviewed literature reveals a consistent pattern across robotic disinfection and HRC research:</w:t>
      </w:r>
    </w:p>
    <w:p w:rsidR="005925E2" w:rsidRPr="000A7C1B" w:rsidRDefault="007C57F0">
      <w:pPr>
        <w:pStyle w:val="ListParagraph"/>
        <w:numPr>
          <w:ilvl w:val="0"/>
          <w:numId w:val="1"/>
        </w:numPr>
        <w:spacing w:after="100"/>
        <w:rPr>
          <w:sz w:val="24"/>
          <w:szCs w:val="24"/>
        </w:rPr>
      </w:pPr>
      <w:r w:rsidRPr="000A7C1B">
        <w:rPr>
          <w:rFonts w:eastAsia="Calibri"/>
          <w:sz w:val="24"/>
          <w:szCs w:val="24"/>
        </w:rPr>
        <w:t>Existing disinfection robots emphasize motion execution and dose delivery over contamination sensing [1], [2].</w:t>
      </w:r>
    </w:p>
    <w:p w:rsidR="005925E2" w:rsidRPr="000A7C1B" w:rsidRDefault="007C57F0">
      <w:pPr>
        <w:pStyle w:val="ListParagraph"/>
        <w:numPr>
          <w:ilvl w:val="0"/>
          <w:numId w:val="1"/>
        </w:numPr>
        <w:spacing w:after="100"/>
        <w:rPr>
          <w:sz w:val="24"/>
          <w:szCs w:val="24"/>
        </w:rPr>
      </w:pPr>
      <w:r w:rsidRPr="000A7C1B">
        <w:rPr>
          <w:rFonts w:eastAsia="Calibri"/>
          <w:sz w:val="24"/>
          <w:szCs w:val="24"/>
        </w:rPr>
        <w:t>Vision-based cleaning systems detect object or surface categories, not continuous contamination level [3].</w:t>
      </w:r>
    </w:p>
    <w:p w:rsidR="005925E2" w:rsidRPr="000A7C1B" w:rsidRDefault="007C57F0">
      <w:pPr>
        <w:pStyle w:val="ListParagraph"/>
        <w:numPr>
          <w:ilvl w:val="0"/>
          <w:numId w:val="1"/>
        </w:numPr>
        <w:spacing w:after="100"/>
        <w:rPr>
          <w:sz w:val="24"/>
          <w:szCs w:val="24"/>
        </w:rPr>
      </w:pPr>
      <w:r w:rsidRPr="000A7C1B">
        <w:rPr>
          <w:rFonts w:eastAsia="Calibri"/>
          <w:sz w:val="24"/>
          <w:szCs w:val="24"/>
        </w:rPr>
        <w:t>Clinical HRC pilots demonstrate workflow value but lack formal probabilistic modeling [4].</w:t>
      </w:r>
    </w:p>
    <w:p w:rsidR="005925E2" w:rsidRPr="000A7C1B" w:rsidRDefault="007C57F0">
      <w:pPr>
        <w:pStyle w:val="ListParagraph"/>
        <w:numPr>
          <w:ilvl w:val="0"/>
          <w:numId w:val="1"/>
        </w:numPr>
        <w:spacing w:after="100"/>
        <w:rPr>
          <w:sz w:val="24"/>
          <w:szCs w:val="24"/>
        </w:rPr>
      </w:pPr>
      <w:r w:rsidRPr="000A7C1B">
        <w:rPr>
          <w:rFonts w:eastAsia="Calibri"/>
          <w:sz w:val="24"/>
          <w:szCs w:val="24"/>
        </w:rPr>
        <w:t>Broader HRC adoption is constrained by perception limitations that place cognitive load on human operators [5].</w:t>
      </w:r>
    </w:p>
    <w:p w:rsidR="005925E2" w:rsidRPr="000A7C1B" w:rsidRDefault="007C57F0">
      <w:pPr>
        <w:pStyle w:val="ListParagraph"/>
        <w:numPr>
          <w:ilvl w:val="0"/>
          <w:numId w:val="1"/>
        </w:numPr>
        <w:spacing w:after="100"/>
        <w:rPr>
          <w:sz w:val="24"/>
          <w:szCs w:val="24"/>
        </w:rPr>
      </w:pPr>
      <w:r w:rsidRPr="000A7C1B">
        <w:rPr>
          <w:rFonts w:eastAsia="Calibri"/>
          <w:sz w:val="24"/>
          <w:szCs w:val="24"/>
        </w:rPr>
        <w:t>Gaussian Process regression offers an established, closed-form tool for propagating sparse observations across a spatial domain with calibrated uncertainty [6].</w:t>
      </w:r>
    </w:p>
    <w:p w:rsidR="000A7C1B" w:rsidRDefault="000A7C1B" w:rsidP="000A7C1B">
      <w:pPr>
        <w:pStyle w:val="ListParagraph"/>
        <w:spacing w:after="100"/>
        <w:ind w:left="720"/>
        <w:rPr>
          <w:rFonts w:eastAsia="Calibri"/>
          <w:sz w:val="24"/>
          <w:szCs w:val="24"/>
        </w:rPr>
      </w:pPr>
    </w:p>
    <w:p w:rsidR="000A7C1B" w:rsidRDefault="000A7C1B"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Default="00BF5656" w:rsidP="000A7C1B">
      <w:pPr>
        <w:pStyle w:val="ListParagraph"/>
        <w:spacing w:after="100"/>
        <w:ind w:left="720"/>
        <w:rPr>
          <w:sz w:val="24"/>
          <w:szCs w:val="24"/>
        </w:rPr>
      </w:pPr>
    </w:p>
    <w:p w:rsidR="00BF5656" w:rsidRPr="000A7C1B" w:rsidRDefault="00BF5656" w:rsidP="000A7C1B">
      <w:pPr>
        <w:pStyle w:val="ListParagraph"/>
        <w:spacing w:after="100"/>
        <w:ind w:left="720"/>
        <w:rPr>
          <w:sz w:val="24"/>
          <w:szCs w:val="24"/>
        </w:rPr>
      </w:pPr>
    </w:p>
    <w:p w:rsidR="005925E2" w:rsidRPr="00BF5656" w:rsidRDefault="007C57F0">
      <w:pPr>
        <w:pStyle w:val="Heading2"/>
        <w:spacing w:before="280" w:after="160"/>
        <w:rPr>
          <w:b/>
          <w:color w:val="auto"/>
          <w:sz w:val="28"/>
          <w:szCs w:val="28"/>
        </w:rPr>
      </w:pPr>
      <w:r w:rsidRPr="00BF5656">
        <w:rPr>
          <w:b/>
          <w:color w:val="auto"/>
          <w:sz w:val="28"/>
          <w:szCs w:val="28"/>
        </w:rPr>
        <w:lastRenderedPageBreak/>
        <w:t>2.5 Alignment with the Proposed Work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600"/>
      </w:tblGrid>
      <w:tr w:rsidR="005925E2">
        <w:trPr>
          <w:tblHeader/>
        </w:trPr>
        <w:tc>
          <w:tcPr>
            <w:tcW w:w="21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Criteria</w:t>
            </w:r>
          </w:p>
        </w:tc>
        <w:tc>
          <w:tcPr>
            <w:tcW w:w="37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Research Insight</w:t>
            </w:r>
          </w:p>
        </w:tc>
        <w:tc>
          <w:tcPr>
            <w:tcW w:w="3600" w:type="dxa"/>
            <w:shd w:val="clear" w:color="auto" w:fill="1F4E79"/>
            <w:tcMar>
              <w:top w:w="80" w:type="dxa"/>
              <w:left w:w="100" w:type="dxa"/>
              <w:bottom w:w="80" w:type="dxa"/>
              <w:right w:w="100" w:type="dxa"/>
            </w:tcMar>
            <w:vAlign w:val="center"/>
          </w:tcPr>
          <w:p w:rsidR="005925E2" w:rsidRDefault="007C57F0">
            <w:r>
              <w:rPr>
                <w:rFonts w:ascii="Calibri" w:eastAsia="Calibri" w:hAnsi="Calibri" w:cs="Calibri"/>
                <w:b/>
                <w:bCs/>
                <w:color w:val="FFFFFF"/>
              </w:rPr>
              <w:t>Proposed Framework Justification</w:t>
            </w:r>
          </w:p>
        </w:tc>
      </w:tr>
      <w:tr w:rsidR="005925E2">
        <w:tc>
          <w:tcPr>
            <w:tcW w:w="21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Contamination Sensing</w:t>
            </w:r>
          </w:p>
        </w:tc>
        <w:tc>
          <w:tcPr>
            <w:tcW w:w="37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Existing systems detect surfaces/objects but not contamination level [1], [3]</w:t>
            </w:r>
          </w:p>
        </w:tc>
        <w:tc>
          <w:tcPr>
            <w:tcW w:w="36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Bayesian multi-sensor fusion yields a calibrated per-patch contamination posterior</w:t>
            </w:r>
          </w:p>
        </w:tc>
      </w:tr>
      <w:tr w:rsidR="005925E2">
        <w:tc>
          <w:tcPr>
            <w:tcW w:w="21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Verification Depth</w:t>
            </w:r>
          </w:p>
        </w:tc>
        <w:tc>
          <w:tcPr>
            <w:tcW w:w="37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Verification is limited to path/dose execution [2]</w:t>
            </w:r>
          </w:p>
        </w:tc>
        <w:tc>
          <w:tcPr>
            <w:tcW w:w="36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Fused posterior offers a probabilistic, biologically-motivated cleanliness estimate</w:t>
            </w:r>
          </w:p>
        </w:tc>
      </w:tr>
      <w:tr w:rsidR="005925E2">
        <w:tc>
          <w:tcPr>
            <w:tcW w:w="21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Spatial Coverage</w:t>
            </w:r>
          </w:p>
        </w:tc>
        <w:tc>
          <w:tcPr>
            <w:tcW w:w="37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No reviewed system maps unobserved regions</w:t>
            </w:r>
          </w:p>
        </w:tc>
        <w:tc>
          <w:tcPr>
            <w:tcW w:w="36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GP regression with RBF kernel [6] interpolates over unobserved patches</w:t>
            </w:r>
          </w:p>
        </w:tc>
      </w:tr>
      <w:tr w:rsidR="005925E2">
        <w:tc>
          <w:tcPr>
            <w:tcW w:w="21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Sensor Fusion</w:t>
            </w:r>
          </w:p>
        </w:tc>
        <w:tc>
          <w:tcPr>
            <w:tcW w:w="37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Modalities used in isolation across reviewed works [1]–[3]</w:t>
            </w:r>
          </w:p>
        </w:tc>
        <w:tc>
          <w:tcPr>
            <w:tcW w:w="36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Closed-form, inverse-variance-weighted fusion of RGB-D, fluorescence, hyperspectral, UV-dose</w:t>
            </w:r>
          </w:p>
        </w:tc>
      </w:tr>
      <w:tr w:rsidR="005925E2">
        <w:tc>
          <w:tcPr>
            <w:tcW w:w="21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Human–Robot Collaboration</w:t>
            </w:r>
          </w:p>
        </w:tc>
        <w:tc>
          <w:tcPr>
            <w:tcW w:w="37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HRC adoption barriers are perception-limited [5]</w:t>
            </w:r>
          </w:p>
        </w:tc>
        <w:tc>
          <w:tcPr>
            <w:tcW w:w="3600" w:type="dxa"/>
            <w:tcMar>
              <w:top w:w="80" w:type="dxa"/>
              <w:left w:w="100" w:type="dxa"/>
              <w:bottom w:w="80" w:type="dxa"/>
              <w:right w:w="100" w:type="dxa"/>
            </w:tcMar>
            <w:vAlign w:val="center"/>
          </w:tcPr>
          <w:p w:rsidR="005925E2" w:rsidRPr="000A7C1B" w:rsidRDefault="007C57F0">
            <w:pPr>
              <w:rPr>
                <w:sz w:val="24"/>
                <w:szCs w:val="24"/>
              </w:rPr>
            </w:pPr>
            <w:r w:rsidRPr="000A7C1B">
              <w:rPr>
                <w:rFonts w:eastAsia="Calibri"/>
                <w:sz w:val="24"/>
                <w:szCs w:val="24"/>
              </w:rPr>
              <w:t>Uncertainty-aware priority policy and threshold-based HRC rules reduce operator burden</w:t>
            </w:r>
          </w:p>
        </w:tc>
      </w:tr>
    </w:tbl>
    <w:p w:rsidR="00F04B6C" w:rsidRPr="00F04B6C" w:rsidRDefault="00F04B6C">
      <w:pPr>
        <w:spacing w:before="200"/>
        <w:rPr>
          <w:sz w:val="24"/>
          <w:szCs w:val="24"/>
        </w:rPr>
      </w:pPr>
      <w:r w:rsidRPr="00F04B6C">
        <w:rPr>
          <w:sz w:val="24"/>
          <w:szCs w:val="24"/>
        </w:rPr>
        <w:t>Table 2.2: Alignment of reviewed research insights with the proposed model selection</w:t>
      </w:r>
    </w:p>
    <w:p w:rsidR="00F04B6C" w:rsidRDefault="00F04B6C" w:rsidP="00F04B6C">
      <w:pPr>
        <w:tabs>
          <w:tab w:val="left" w:pos="3180"/>
        </w:tabs>
        <w:spacing w:before="220" w:after="120"/>
        <w:rPr>
          <w:rFonts w:ascii="Calibri" w:eastAsia="Calibri" w:hAnsi="Calibri" w:cs="Calibri"/>
          <w:b/>
          <w:bCs/>
          <w:sz w:val="22"/>
          <w:szCs w:val="22"/>
        </w:rPr>
      </w:pPr>
    </w:p>
    <w:p w:rsidR="005925E2" w:rsidRPr="00BF5656" w:rsidRDefault="007C57F0" w:rsidP="00F04B6C">
      <w:pPr>
        <w:tabs>
          <w:tab w:val="left" w:pos="3180"/>
        </w:tabs>
        <w:spacing w:before="220" w:after="120"/>
        <w:rPr>
          <w:b/>
          <w:sz w:val="28"/>
          <w:szCs w:val="28"/>
        </w:rPr>
      </w:pPr>
      <w:r w:rsidRPr="00BF5656">
        <w:rPr>
          <w:rFonts w:ascii="Calibri" w:eastAsia="Calibri" w:hAnsi="Calibri" w:cs="Calibri"/>
          <w:b/>
          <w:bCs/>
          <w:sz w:val="28"/>
          <w:szCs w:val="28"/>
        </w:rPr>
        <w:t>2.5.1 Identified Research Gaps</w:t>
      </w:r>
      <w:r w:rsidR="00F04B6C" w:rsidRPr="00BF5656">
        <w:rPr>
          <w:rFonts w:ascii="Calibri" w:eastAsia="Calibri" w:hAnsi="Calibri" w:cs="Calibri"/>
          <w:b/>
          <w:bCs/>
          <w:sz w:val="28"/>
          <w:szCs w:val="28"/>
        </w:rPr>
        <w:tab/>
      </w:r>
    </w:p>
    <w:p w:rsidR="005925E2" w:rsidRPr="000A7C1B" w:rsidRDefault="007C57F0">
      <w:pPr>
        <w:pStyle w:val="ListParagraph"/>
        <w:numPr>
          <w:ilvl w:val="0"/>
          <w:numId w:val="1"/>
        </w:numPr>
        <w:spacing w:after="100"/>
        <w:rPr>
          <w:sz w:val="24"/>
          <w:szCs w:val="24"/>
        </w:rPr>
      </w:pPr>
      <w:r w:rsidRPr="000A7C1B">
        <w:rPr>
          <w:rFonts w:eastAsia="Calibri"/>
          <w:sz w:val="24"/>
          <w:szCs w:val="24"/>
        </w:rPr>
        <w:t>Lack of automatic, sensor-driven contamination estimation in deployed disinfection robots.</w:t>
      </w:r>
    </w:p>
    <w:p w:rsidR="005925E2" w:rsidRPr="000A7C1B" w:rsidRDefault="007C57F0">
      <w:pPr>
        <w:pStyle w:val="ListParagraph"/>
        <w:numPr>
          <w:ilvl w:val="0"/>
          <w:numId w:val="1"/>
        </w:numPr>
        <w:spacing w:after="100"/>
        <w:rPr>
          <w:sz w:val="24"/>
          <w:szCs w:val="24"/>
        </w:rPr>
      </w:pPr>
      <w:r w:rsidRPr="000A7C1B">
        <w:rPr>
          <w:rFonts w:eastAsia="Calibri"/>
          <w:sz w:val="24"/>
          <w:szCs w:val="24"/>
        </w:rPr>
        <w:t>Cleanliness verification that confirms path/dose execution rather than biological contamination removal.</w:t>
      </w:r>
    </w:p>
    <w:p w:rsidR="005925E2" w:rsidRPr="000A7C1B" w:rsidRDefault="007C57F0">
      <w:pPr>
        <w:pStyle w:val="ListParagraph"/>
        <w:numPr>
          <w:ilvl w:val="0"/>
          <w:numId w:val="1"/>
        </w:numPr>
        <w:spacing w:after="100"/>
        <w:rPr>
          <w:sz w:val="24"/>
          <w:szCs w:val="24"/>
        </w:rPr>
      </w:pPr>
      <w:r w:rsidRPr="000A7C1B">
        <w:rPr>
          <w:rFonts w:eastAsia="Calibri"/>
          <w:sz w:val="24"/>
          <w:szCs w:val="24"/>
        </w:rPr>
        <w:t>Sensor modalities (visual, fluorescence, hyperspectral, UV-dose) used in isolation rather than fused probabilistically.</w:t>
      </w:r>
    </w:p>
    <w:p w:rsidR="005925E2" w:rsidRPr="000A7C1B" w:rsidRDefault="007C57F0">
      <w:pPr>
        <w:pStyle w:val="ListParagraph"/>
        <w:numPr>
          <w:ilvl w:val="0"/>
          <w:numId w:val="1"/>
        </w:numPr>
        <w:spacing w:after="100"/>
        <w:rPr>
          <w:sz w:val="24"/>
          <w:szCs w:val="24"/>
        </w:rPr>
      </w:pPr>
      <w:r w:rsidRPr="000A7C1B">
        <w:rPr>
          <w:rFonts w:eastAsia="Calibri"/>
          <w:sz w:val="24"/>
          <w:szCs w:val="24"/>
        </w:rPr>
        <w:t>No continuous spatial hygiene map covering both observed and unobserved surface regions with calibrated uncertainty.</w:t>
      </w:r>
    </w:p>
    <w:p w:rsidR="005925E2" w:rsidRPr="00EC5875" w:rsidRDefault="007C57F0">
      <w:pPr>
        <w:pStyle w:val="ListParagraph"/>
        <w:numPr>
          <w:ilvl w:val="0"/>
          <w:numId w:val="1"/>
        </w:numPr>
        <w:spacing w:after="100"/>
        <w:rPr>
          <w:sz w:val="24"/>
          <w:szCs w:val="24"/>
        </w:rPr>
      </w:pPr>
      <w:r w:rsidRPr="000A7C1B">
        <w:rPr>
          <w:rFonts w:eastAsia="Calibri"/>
          <w:sz w:val="24"/>
          <w:szCs w:val="24"/>
        </w:rPr>
        <w:t>HRC systems remain perception-limited, leaving surface-identification burden entirely with the human operator.</w:t>
      </w:r>
    </w:p>
    <w:p w:rsidR="00EC5875" w:rsidRDefault="00EC5875" w:rsidP="00EC5875">
      <w:pPr>
        <w:spacing w:after="100"/>
        <w:rPr>
          <w:sz w:val="24"/>
          <w:szCs w:val="24"/>
        </w:rPr>
      </w:pPr>
    </w:p>
    <w:p w:rsidR="00EC5875" w:rsidRDefault="00EC5875" w:rsidP="00EC5875">
      <w:pPr>
        <w:spacing w:after="100"/>
        <w:rPr>
          <w:sz w:val="24"/>
          <w:szCs w:val="24"/>
        </w:rPr>
      </w:pPr>
    </w:p>
    <w:p w:rsidR="00EC5875" w:rsidRDefault="00EC5875" w:rsidP="00EC5875">
      <w:pPr>
        <w:spacing w:after="100"/>
        <w:rPr>
          <w:sz w:val="24"/>
          <w:szCs w:val="24"/>
        </w:rPr>
      </w:pPr>
    </w:p>
    <w:p w:rsidR="00EC5875" w:rsidRDefault="00EC5875" w:rsidP="00EC5875">
      <w:pPr>
        <w:spacing w:after="100"/>
        <w:rPr>
          <w:sz w:val="24"/>
          <w:szCs w:val="24"/>
        </w:rPr>
      </w:pPr>
    </w:p>
    <w:p w:rsidR="00EC5875" w:rsidRDefault="00EC5875" w:rsidP="00EC5875">
      <w:pPr>
        <w:spacing w:after="100"/>
        <w:rPr>
          <w:sz w:val="24"/>
          <w:szCs w:val="24"/>
        </w:rPr>
      </w:pPr>
    </w:p>
    <w:p w:rsidR="00EC5875" w:rsidRDefault="00EC5875" w:rsidP="00EC5875">
      <w:pPr>
        <w:spacing w:after="100"/>
        <w:rPr>
          <w:sz w:val="24"/>
          <w:szCs w:val="24"/>
        </w:rPr>
      </w:pPr>
    </w:p>
    <w:p w:rsidR="00EC5875" w:rsidRPr="00EC5875" w:rsidRDefault="00EC5875" w:rsidP="00EC5875">
      <w:pPr>
        <w:spacing w:after="100"/>
        <w:rPr>
          <w:sz w:val="24"/>
          <w:szCs w:val="24"/>
        </w:rPr>
      </w:pPr>
    </w:p>
    <w:p w:rsidR="005925E2" w:rsidRPr="00BF5656" w:rsidRDefault="00BF5656">
      <w:pPr>
        <w:pStyle w:val="Heading2"/>
        <w:spacing w:before="280" w:after="160"/>
        <w:rPr>
          <w:b/>
          <w:color w:val="auto"/>
          <w:sz w:val="32"/>
          <w:szCs w:val="32"/>
        </w:rPr>
      </w:pPr>
      <w:r w:rsidRPr="00BF5656">
        <w:rPr>
          <w:b/>
          <w:color w:val="auto"/>
          <w:sz w:val="32"/>
          <w:szCs w:val="32"/>
        </w:rPr>
        <w:lastRenderedPageBreak/>
        <w:t>3 M</w:t>
      </w:r>
      <w:r w:rsidR="007C57F0" w:rsidRPr="00BF5656">
        <w:rPr>
          <w:b/>
          <w:color w:val="auto"/>
          <w:sz w:val="32"/>
          <w:szCs w:val="32"/>
        </w:rPr>
        <w:t>od</w:t>
      </w:r>
      <w:r w:rsidRPr="00BF5656">
        <w:rPr>
          <w:b/>
          <w:color w:val="auto"/>
          <w:sz w:val="32"/>
          <w:szCs w:val="32"/>
        </w:rPr>
        <w:t>el</w:t>
      </w:r>
      <w:r w:rsidR="007C57F0" w:rsidRPr="00BF5656">
        <w:rPr>
          <w:b/>
          <w:color w:val="auto"/>
          <w:sz w:val="32"/>
          <w:szCs w:val="32"/>
        </w:rPr>
        <w:t xml:space="preserve"> Selection Justification</w:t>
      </w:r>
    </w:p>
    <w:p w:rsidR="005925E2" w:rsidRDefault="007C57F0">
      <w:pPr>
        <w:spacing w:after="160"/>
        <w:jc w:val="both"/>
        <w:rPr>
          <w:rFonts w:eastAsia="Calibri"/>
          <w:sz w:val="24"/>
          <w:szCs w:val="24"/>
        </w:rPr>
      </w:pPr>
      <w:r w:rsidRPr="000A7C1B">
        <w:rPr>
          <w:rFonts w:eastAsia="Calibri"/>
          <w:sz w:val="24"/>
          <w:szCs w:val="24"/>
        </w:rPr>
        <w:t>Based on the literature analysis above, closed-form Bayesian multi-sensor fusion and Gaussian Process regression with an RBF kernel were selected as the core mathematical tools for this project. Bayesian fusion provides an optimal, precision-weighted contamination estimate at directly observed patches, while GP regression extends this estimate, with calibrated uncertainty, to unobserved regions of the surface.</w:t>
      </w:r>
    </w:p>
    <w:p w:rsidR="00BF5656" w:rsidRPr="00EC5875" w:rsidRDefault="00BF5656">
      <w:pPr>
        <w:spacing w:after="160"/>
        <w:jc w:val="both"/>
        <w:rPr>
          <w:b/>
          <w:sz w:val="28"/>
          <w:szCs w:val="28"/>
        </w:rPr>
      </w:pPr>
      <w:r w:rsidRPr="00EC5875">
        <w:rPr>
          <w:rFonts w:eastAsia="Calibri"/>
          <w:b/>
          <w:sz w:val="28"/>
          <w:szCs w:val="28"/>
        </w:rPr>
        <w:t xml:space="preserve">  3.1 Reasons for Justification:</w:t>
      </w:r>
    </w:p>
    <w:p w:rsidR="005925E2" w:rsidRPr="000A7C1B" w:rsidRDefault="007C57F0">
      <w:pPr>
        <w:pStyle w:val="ListParagraph"/>
        <w:numPr>
          <w:ilvl w:val="0"/>
          <w:numId w:val="1"/>
        </w:numPr>
        <w:spacing w:after="100"/>
        <w:rPr>
          <w:sz w:val="24"/>
          <w:szCs w:val="24"/>
        </w:rPr>
      </w:pPr>
      <w:r w:rsidRPr="000A7C1B">
        <w:rPr>
          <w:rFonts w:eastAsia="Calibri"/>
          <w:sz w:val="24"/>
          <w:szCs w:val="24"/>
        </w:rPr>
        <w:t>Bayesian Fusion: Closed-form, precision-weighted combination of heterogeneous sensors; provably reduces variance versus any single sensor; degrades gracefully under sensor failure.</w:t>
      </w:r>
    </w:p>
    <w:p w:rsidR="005925E2" w:rsidRPr="000A7C1B" w:rsidRDefault="007C57F0">
      <w:pPr>
        <w:pStyle w:val="ListParagraph"/>
        <w:numPr>
          <w:ilvl w:val="0"/>
          <w:numId w:val="1"/>
        </w:numPr>
        <w:spacing w:after="100"/>
        <w:rPr>
          <w:sz w:val="24"/>
          <w:szCs w:val="24"/>
        </w:rPr>
      </w:pPr>
      <w:r w:rsidRPr="000A7C1B">
        <w:rPr>
          <w:rFonts w:eastAsia="Calibri"/>
          <w:sz w:val="24"/>
          <w:szCs w:val="24"/>
        </w:rPr>
        <w:t>Gaussian Process (RBF kernel): Nonparametric spatial interpolation with calibrated uncertainty; well-established theoretical foundation [6]; directly addresses the coverage gap identified across [1]–[3].</w:t>
      </w:r>
    </w:p>
    <w:p w:rsidR="000A7C1B" w:rsidRPr="00BF5656" w:rsidRDefault="007C57F0" w:rsidP="000A7C1B">
      <w:pPr>
        <w:pStyle w:val="ListParagraph"/>
        <w:numPr>
          <w:ilvl w:val="0"/>
          <w:numId w:val="1"/>
        </w:numPr>
        <w:spacing w:after="100"/>
        <w:rPr>
          <w:sz w:val="24"/>
          <w:szCs w:val="24"/>
        </w:rPr>
      </w:pPr>
      <w:r w:rsidRPr="000A7C1B">
        <w:rPr>
          <w:rFonts w:eastAsia="Calibri"/>
          <w:sz w:val="24"/>
          <w:szCs w:val="24"/>
        </w:rPr>
        <w:t>Combined Advantage: Enables a single pipeline that both estimates contamination at observed patches and extends coverage to unobserved ones, feeding an uncertainty-aware disinfection and HRC decision policy.</w:t>
      </w:r>
    </w:p>
    <w:p w:rsidR="005925E2" w:rsidRPr="00EC5875" w:rsidRDefault="00BF5656">
      <w:pPr>
        <w:pStyle w:val="Heading1"/>
        <w:spacing w:before="360" w:after="200"/>
        <w:rPr>
          <w:b/>
          <w:color w:val="auto"/>
          <w:sz w:val="28"/>
          <w:szCs w:val="28"/>
        </w:rPr>
      </w:pPr>
      <w:r w:rsidRPr="00EC5875">
        <w:rPr>
          <w:b/>
          <w:color w:val="auto"/>
          <w:sz w:val="28"/>
          <w:szCs w:val="28"/>
        </w:rPr>
        <w:t xml:space="preserve">  </w:t>
      </w:r>
      <w:r w:rsidR="007C57F0" w:rsidRPr="00EC5875">
        <w:rPr>
          <w:b/>
          <w:color w:val="auto"/>
          <w:sz w:val="28"/>
          <w:szCs w:val="28"/>
        </w:rPr>
        <w:t>3</w:t>
      </w:r>
      <w:r w:rsidRPr="00EC5875">
        <w:rPr>
          <w:b/>
          <w:color w:val="auto"/>
          <w:sz w:val="28"/>
          <w:szCs w:val="28"/>
        </w:rPr>
        <w:t xml:space="preserve">.2 </w:t>
      </w:r>
      <w:r w:rsidR="007C57F0" w:rsidRPr="00EC5875">
        <w:rPr>
          <w:b/>
          <w:color w:val="auto"/>
          <w:sz w:val="28"/>
          <w:szCs w:val="28"/>
        </w:rPr>
        <w:t>Conclusion</w:t>
      </w:r>
    </w:p>
    <w:p w:rsidR="005925E2" w:rsidRPr="000A7C1B" w:rsidRDefault="007C57F0">
      <w:pPr>
        <w:spacing w:after="160"/>
        <w:jc w:val="both"/>
        <w:rPr>
          <w:sz w:val="24"/>
          <w:szCs w:val="24"/>
        </w:rPr>
      </w:pPr>
      <w:r w:rsidRPr="000A7C1B">
        <w:rPr>
          <w:rFonts w:eastAsia="Calibri"/>
          <w:sz w:val="24"/>
          <w:szCs w:val="24"/>
        </w:rPr>
        <w:t>This report has moved from the general problem of infection control in healthcare to the specific technical requirements of an uncertainty-aware robotic hygiene monitoring system. The literature review confirms substantial progress in robotic disinfection and human–robot collaboration, yet a persistent gap remains in probabilistically estimating and mapping surface contamination rather than only executing or verifying a UV delivery path. Reviewed shared-autonomy and vision-based systems [1]–[3] demonstrate reliable motion execution and object detection but stop short of contamination-level estimation, while the clinical pilot [4] and HRC survey [5] highlight practical and human-factors context without proposing a fusion or mapping method.</w:t>
      </w:r>
    </w:p>
    <w:p w:rsidR="005925E2" w:rsidRDefault="007C57F0">
      <w:pPr>
        <w:spacing w:after="160"/>
        <w:jc w:val="both"/>
        <w:rPr>
          <w:rFonts w:eastAsia="Calibri"/>
          <w:sz w:val="24"/>
          <w:szCs w:val="24"/>
        </w:rPr>
      </w:pPr>
      <w:r w:rsidRPr="000A7C1B">
        <w:rPr>
          <w:rFonts w:eastAsia="Calibri"/>
          <w:sz w:val="24"/>
          <w:szCs w:val="24"/>
        </w:rPr>
        <w:t>Against this background, closed-form Bayesian sensor fusion combined with Gaussian Process spatial mapping [6] was identified as the pair of complementary methods that together close these gaps: Bayesian fusion delivers an optimal, precision-weighted contamination estimate wherever sensors have observed a patch, and GP regression extends that estimate, with calibrated uncertainty, to surface regions that were never directly sensed. Together they form the mathematical foundation of the proposed hygiene monitoring and disinfection framework, translating the general need for safer, more autonomous infection control into a specific, well-justified methodological choice for this project.</w:t>
      </w: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0A7C1B" w:rsidRDefault="000A7C1B">
      <w:pPr>
        <w:spacing w:after="160"/>
        <w:jc w:val="both"/>
        <w:rPr>
          <w:rFonts w:eastAsia="Calibri"/>
          <w:sz w:val="24"/>
          <w:szCs w:val="24"/>
        </w:rPr>
      </w:pPr>
    </w:p>
    <w:p w:rsidR="00EC5875" w:rsidRPr="000A7C1B" w:rsidRDefault="00EC5875">
      <w:pPr>
        <w:spacing w:after="160"/>
        <w:jc w:val="both"/>
        <w:rPr>
          <w:sz w:val="24"/>
          <w:szCs w:val="24"/>
        </w:rPr>
      </w:pPr>
    </w:p>
    <w:p w:rsidR="005925E2" w:rsidRPr="00C37D2E" w:rsidRDefault="007C57F0">
      <w:pPr>
        <w:pStyle w:val="Heading1"/>
        <w:spacing w:before="360" w:after="200"/>
        <w:rPr>
          <w:b/>
          <w:color w:val="auto"/>
        </w:rPr>
      </w:pPr>
      <w:r w:rsidRPr="00C37D2E">
        <w:rPr>
          <w:b/>
          <w:color w:val="auto"/>
        </w:rPr>
        <w:lastRenderedPageBreak/>
        <w:t>References</w:t>
      </w:r>
    </w:p>
    <w:p w:rsidR="005925E2" w:rsidRPr="00EC5875" w:rsidRDefault="007C57F0" w:rsidP="00EC5875">
      <w:pPr>
        <w:pStyle w:val="ListParagraph"/>
        <w:numPr>
          <w:ilvl w:val="0"/>
          <w:numId w:val="2"/>
        </w:numPr>
        <w:spacing w:after="160"/>
        <w:rPr>
          <w:sz w:val="24"/>
          <w:szCs w:val="24"/>
        </w:rPr>
      </w:pPr>
      <w:r w:rsidRPr="00EC5875">
        <w:rPr>
          <w:rFonts w:eastAsia="Calibri"/>
          <w:sz w:val="24"/>
          <w:szCs w:val="24"/>
        </w:rPr>
        <w:t xml:space="preserve">A. G. Sanchez and W. D. Smart, “A shared autonomy surface disinfection system using a mobile manipulator robot,” in </w:t>
      </w:r>
      <w:r w:rsidRPr="00EC5875">
        <w:rPr>
          <w:rFonts w:eastAsia="Calibri"/>
          <w:i/>
          <w:iCs/>
          <w:sz w:val="24"/>
          <w:szCs w:val="24"/>
        </w:rPr>
        <w:t>Proc. IEEE Int. Symp. Safety, Security, Rescue Robotics (SSRR)</w:t>
      </w:r>
      <w:r w:rsidRPr="00EC5875">
        <w:rPr>
          <w:rFonts w:eastAsia="Calibri"/>
          <w:sz w:val="24"/>
          <w:szCs w:val="24"/>
        </w:rPr>
        <w:t>, New York, NY, USA, 2021, pp. 176–183, doi: 10.1109/SSRR53300.2021.9597678.</w:t>
      </w:r>
    </w:p>
    <w:p w:rsidR="005925E2" w:rsidRPr="00EC5875" w:rsidRDefault="007C57F0" w:rsidP="00EC5875">
      <w:pPr>
        <w:pStyle w:val="ListParagraph"/>
        <w:numPr>
          <w:ilvl w:val="0"/>
          <w:numId w:val="2"/>
        </w:numPr>
        <w:spacing w:after="160"/>
        <w:rPr>
          <w:sz w:val="24"/>
          <w:szCs w:val="24"/>
        </w:rPr>
      </w:pPr>
      <w:r w:rsidRPr="00EC5875">
        <w:rPr>
          <w:rFonts w:eastAsia="Calibri"/>
          <w:sz w:val="24"/>
          <w:szCs w:val="24"/>
        </w:rPr>
        <w:t xml:space="preserve">A. G. Sanchez and W. D. Smart, “Verifiable surface disinfection using ultraviolet light with a mobile manipulation robot,” </w:t>
      </w:r>
      <w:r w:rsidRPr="00EC5875">
        <w:rPr>
          <w:rFonts w:eastAsia="Calibri"/>
          <w:i/>
          <w:iCs/>
          <w:sz w:val="24"/>
          <w:szCs w:val="24"/>
        </w:rPr>
        <w:t>Technologies</w:t>
      </w:r>
      <w:r w:rsidRPr="00EC5875">
        <w:rPr>
          <w:rFonts w:eastAsia="Calibri"/>
          <w:sz w:val="24"/>
          <w:szCs w:val="24"/>
        </w:rPr>
        <w:t>, vol. 10, no. 2, Art. no. 48, 2022, doi: 10.3390/technologies10020048.</w:t>
      </w:r>
    </w:p>
    <w:p w:rsidR="005925E2" w:rsidRPr="00EC5875" w:rsidRDefault="007C57F0" w:rsidP="00EC5875">
      <w:pPr>
        <w:pStyle w:val="ListParagraph"/>
        <w:numPr>
          <w:ilvl w:val="0"/>
          <w:numId w:val="2"/>
        </w:numPr>
        <w:spacing w:after="160"/>
        <w:rPr>
          <w:sz w:val="24"/>
          <w:szCs w:val="24"/>
        </w:rPr>
      </w:pPr>
      <w:r w:rsidRPr="00EC5875">
        <w:rPr>
          <w:rFonts w:eastAsia="Calibri"/>
          <w:sz w:val="24"/>
          <w:szCs w:val="24"/>
        </w:rPr>
        <w:t xml:space="preserve">S. Baumgarten, F. Jordan, M. Patel, M. Schmelzer, and B. Graf, “Development and evaluation of a mobile manipulation robot for surface disinfection,” in </w:t>
      </w:r>
      <w:r w:rsidRPr="00EC5875">
        <w:rPr>
          <w:rFonts w:eastAsia="Calibri"/>
          <w:i/>
          <w:iCs/>
          <w:sz w:val="24"/>
          <w:szCs w:val="24"/>
        </w:rPr>
        <w:t>Proc. 52nd Int. Symp. Robotics (ISR Europe)</w:t>
      </w:r>
      <w:r w:rsidRPr="00EC5875">
        <w:rPr>
          <w:rFonts w:eastAsia="Calibri"/>
          <w:sz w:val="24"/>
          <w:szCs w:val="24"/>
        </w:rPr>
        <w:t>, 2022, pp. 1–8.</w:t>
      </w:r>
    </w:p>
    <w:p w:rsidR="005925E2" w:rsidRPr="00EC5875" w:rsidRDefault="007C57F0" w:rsidP="00EC5875">
      <w:pPr>
        <w:pStyle w:val="ListParagraph"/>
        <w:numPr>
          <w:ilvl w:val="0"/>
          <w:numId w:val="2"/>
        </w:numPr>
        <w:spacing w:after="160"/>
        <w:rPr>
          <w:sz w:val="24"/>
          <w:szCs w:val="24"/>
        </w:rPr>
      </w:pPr>
      <w:r w:rsidRPr="00EC5875">
        <w:rPr>
          <w:rFonts w:eastAsia="Calibri"/>
          <w:sz w:val="24"/>
          <w:szCs w:val="24"/>
        </w:rPr>
        <w:t xml:space="preserve">JARVIS Project, “RODI: Robot supported disinfection of medical devices,” </w:t>
      </w:r>
      <w:r w:rsidRPr="00EC5875">
        <w:rPr>
          <w:rFonts w:eastAsia="Calibri"/>
          <w:i/>
          <w:iCs/>
          <w:sz w:val="24"/>
          <w:szCs w:val="24"/>
        </w:rPr>
        <w:t>JARVIS Pilot Project Document</w:t>
      </w:r>
      <w:r w:rsidRPr="00EC5875">
        <w:rPr>
          <w:rFonts w:eastAsia="Calibri"/>
          <w:sz w:val="24"/>
          <w:szCs w:val="24"/>
        </w:rPr>
        <w:t>, European Commission. [Online]. Available: https://jarvis-project.eu/meet-the-8-pilots-of-jarvis-open-call-1/. [Accessed: Jul. 1, 2026].</w:t>
      </w:r>
    </w:p>
    <w:p w:rsidR="00EC5875" w:rsidRPr="00EC5875" w:rsidRDefault="007C57F0" w:rsidP="00EC5875">
      <w:pPr>
        <w:pStyle w:val="ListParagraph"/>
        <w:numPr>
          <w:ilvl w:val="0"/>
          <w:numId w:val="2"/>
        </w:numPr>
        <w:spacing w:after="160"/>
        <w:rPr>
          <w:rFonts w:eastAsia="Calibri"/>
          <w:sz w:val="24"/>
          <w:szCs w:val="24"/>
        </w:rPr>
      </w:pPr>
      <w:r w:rsidRPr="00EC5875">
        <w:rPr>
          <w:rFonts w:eastAsia="Calibri"/>
          <w:sz w:val="24"/>
          <w:szCs w:val="24"/>
        </w:rPr>
        <w:t xml:space="preserve">I. N. Weerarathna, D. Raymond, and A. Luharia, “Human-robot collaboration for healthcare: A narrative review,” </w:t>
      </w:r>
      <w:r w:rsidRPr="00EC5875">
        <w:rPr>
          <w:rFonts w:eastAsia="Calibri"/>
          <w:i/>
          <w:iCs/>
          <w:sz w:val="24"/>
          <w:szCs w:val="24"/>
        </w:rPr>
        <w:t>Cureus</w:t>
      </w:r>
      <w:r w:rsidRPr="00EC5875">
        <w:rPr>
          <w:rFonts w:eastAsia="Calibri"/>
          <w:sz w:val="24"/>
          <w:szCs w:val="24"/>
        </w:rPr>
        <w:t>, vol. 15, no. 11, Art. no. e49210, Nov. 2023, doi: 10.7759/cureus.49210.</w:t>
      </w:r>
    </w:p>
    <w:p w:rsidR="005925E2" w:rsidRDefault="007C57F0" w:rsidP="00EC5875">
      <w:pPr>
        <w:pStyle w:val="ListParagraph"/>
        <w:numPr>
          <w:ilvl w:val="0"/>
          <w:numId w:val="2"/>
        </w:numPr>
        <w:spacing w:after="160"/>
        <w:rPr>
          <w:rFonts w:ascii="Calibri" w:eastAsia="Calibri" w:hAnsi="Calibri" w:cs="Calibri"/>
          <w:sz w:val="24"/>
          <w:szCs w:val="24"/>
        </w:rPr>
      </w:pPr>
      <w:r w:rsidRPr="00EC5875">
        <w:rPr>
          <w:rFonts w:eastAsia="Calibri"/>
          <w:sz w:val="24"/>
          <w:szCs w:val="24"/>
        </w:rPr>
        <w:t xml:space="preserve">C. E. Rasmussen and C. K. I. Williams, </w:t>
      </w:r>
      <w:r w:rsidRPr="00EC5875">
        <w:rPr>
          <w:rFonts w:eastAsia="Calibri"/>
          <w:i/>
          <w:iCs/>
          <w:sz w:val="24"/>
          <w:szCs w:val="24"/>
        </w:rPr>
        <w:t>Gaussian Processes for Machine Learning</w:t>
      </w:r>
      <w:r w:rsidRPr="00EC5875">
        <w:rPr>
          <w:rFonts w:eastAsia="Calibri"/>
          <w:sz w:val="24"/>
          <w:szCs w:val="24"/>
        </w:rPr>
        <w:t>. Cambridge, MA, USA: MIT Press, 2006</w:t>
      </w:r>
      <w:r w:rsidRPr="00EC5875">
        <w:rPr>
          <w:rFonts w:ascii="Calibri" w:eastAsia="Calibri" w:hAnsi="Calibri" w:cs="Calibri"/>
          <w:sz w:val="24"/>
          <w:szCs w:val="24"/>
        </w:rPr>
        <w:t>.</w:t>
      </w:r>
    </w:p>
    <w:p w:rsidR="00EC5875" w:rsidRPr="00EC5875" w:rsidRDefault="00EC5875" w:rsidP="00EC5875">
      <w:pPr>
        <w:pStyle w:val="ListParagraph"/>
        <w:numPr>
          <w:ilvl w:val="0"/>
          <w:numId w:val="2"/>
        </w:numPr>
        <w:spacing w:after="160"/>
        <w:rPr>
          <w:rStyle w:val="Strong"/>
          <w:rFonts w:ascii="Calibri" w:eastAsia="Calibri" w:hAnsi="Calibri" w:cs="Calibri"/>
          <w:b w:val="0"/>
          <w:bCs w:val="0"/>
          <w:sz w:val="24"/>
          <w:szCs w:val="24"/>
        </w:rPr>
      </w:pPr>
      <w:r w:rsidRPr="00EC5875">
        <w:rPr>
          <w:sz w:val="24"/>
          <w:szCs w:val="24"/>
        </w:rPr>
        <w:t xml:space="preserve">Thakar, S., Malhan, R. K., Bhatt, P. M., and Gupta, S. K., "Area-Coverage Planning for Spray-based Surface Disinfection with a Mobile Manipulator," </w:t>
      </w:r>
      <w:r w:rsidRPr="00EC5875">
        <w:rPr>
          <w:rStyle w:val="Emphasis"/>
          <w:sz w:val="24"/>
          <w:szCs w:val="24"/>
        </w:rPr>
        <w:t>Robotics and Autonomous Systems</w:t>
      </w:r>
      <w:r w:rsidRPr="00EC5875">
        <w:rPr>
          <w:sz w:val="24"/>
          <w:szCs w:val="24"/>
        </w:rPr>
        <w:t>, vol. 147,</w:t>
      </w:r>
      <w:r>
        <w:rPr>
          <w:sz w:val="24"/>
          <w:szCs w:val="24"/>
        </w:rPr>
        <w:t xml:space="preserve"> Art. no. 103920, Jan. 2022.</w:t>
      </w:r>
    </w:p>
    <w:p w:rsidR="00EC5875" w:rsidRPr="00EC5875" w:rsidRDefault="00EC5875" w:rsidP="00EC5875">
      <w:pPr>
        <w:pStyle w:val="ListParagraph"/>
        <w:numPr>
          <w:ilvl w:val="0"/>
          <w:numId w:val="2"/>
        </w:numPr>
        <w:spacing w:after="160"/>
        <w:rPr>
          <w:rStyle w:val="Strong"/>
          <w:rFonts w:ascii="Calibri" w:eastAsia="Calibri" w:hAnsi="Calibri" w:cs="Calibri"/>
          <w:b w:val="0"/>
          <w:bCs w:val="0"/>
          <w:sz w:val="24"/>
          <w:szCs w:val="24"/>
        </w:rPr>
      </w:pPr>
      <w:r w:rsidRPr="00EC5875">
        <w:rPr>
          <w:rStyle w:val="Strong"/>
          <w:b w:val="0"/>
          <w:sz w:val="24"/>
          <w:szCs w:val="24"/>
        </w:rPr>
        <w:t>Mehta, I., Hsueh, H.-Y., Kourtzanidis, N., Brylka, M., and Saeedi, S., "Far-UVC Disinfection with Robotic Mobile Manipulator," arXiv:2203.01286, 2022.</w:t>
      </w:r>
    </w:p>
    <w:p w:rsidR="00EC5875" w:rsidRPr="00EC5875" w:rsidRDefault="00EC5875" w:rsidP="00EC5875">
      <w:pPr>
        <w:pStyle w:val="ListParagraph"/>
        <w:numPr>
          <w:ilvl w:val="0"/>
          <w:numId w:val="2"/>
        </w:numPr>
        <w:spacing w:after="160"/>
        <w:rPr>
          <w:rFonts w:ascii="Calibri" w:eastAsia="Calibri" w:hAnsi="Calibri" w:cs="Calibri"/>
          <w:sz w:val="24"/>
          <w:szCs w:val="24"/>
        </w:rPr>
      </w:pPr>
      <w:r w:rsidRPr="00EC5875">
        <w:rPr>
          <w:sz w:val="24"/>
          <w:szCs w:val="24"/>
        </w:rPr>
        <w:t xml:space="preserve">Liu, L., Fryc, S., Wu, L., Vu, T., Paul, G., and Vidal-Calleja, T., "Active and Interactive Mapping with Dynamic Gaussian Process Implicit Surfaces for Mobile Manipulators," </w:t>
      </w:r>
      <w:r w:rsidRPr="00EC5875">
        <w:rPr>
          <w:rStyle w:val="Emphasis"/>
          <w:sz w:val="24"/>
          <w:szCs w:val="24"/>
        </w:rPr>
        <w:t>IEEE Robotics and Automation Letters</w:t>
      </w:r>
      <w:r w:rsidRPr="00EC5875">
        <w:rPr>
          <w:sz w:val="24"/>
          <w:szCs w:val="24"/>
        </w:rPr>
        <w:t>, 2020.</w:t>
      </w:r>
    </w:p>
    <w:p w:rsidR="00EC5875" w:rsidRPr="00EB6CAB" w:rsidRDefault="00EB6CAB" w:rsidP="00EC5875">
      <w:pPr>
        <w:pStyle w:val="ListParagraph"/>
        <w:numPr>
          <w:ilvl w:val="0"/>
          <w:numId w:val="2"/>
        </w:numPr>
        <w:spacing w:after="160"/>
        <w:rPr>
          <w:rFonts w:ascii="Calibri" w:eastAsia="Calibri" w:hAnsi="Calibri" w:cs="Calibri"/>
          <w:sz w:val="24"/>
          <w:szCs w:val="24"/>
        </w:rPr>
      </w:pPr>
      <w:r>
        <w:rPr>
          <w:sz w:val="24"/>
          <w:szCs w:val="24"/>
        </w:rPr>
        <w:t>T</w:t>
      </w:r>
      <w:r w:rsidR="00EC5875" w:rsidRPr="00EB6CAB">
        <w:rPr>
          <w:sz w:val="24"/>
          <w:szCs w:val="24"/>
        </w:rPr>
        <w:t xml:space="preserve">iwari, K., Jeong, S., and Chong, N. Y., "Point-wise Fusion of Distributed Gaussian Process Experts (FuDGE) Using a Fully Decentralized Robot Team Operating in Communication-Devoid Environment," </w:t>
      </w:r>
      <w:r w:rsidR="00EC5875" w:rsidRPr="00EB6CAB">
        <w:rPr>
          <w:rStyle w:val="Emphasis"/>
          <w:sz w:val="24"/>
          <w:szCs w:val="24"/>
        </w:rPr>
        <w:t>IEEE Transactions on Robotics</w:t>
      </w:r>
      <w:r w:rsidR="00EC5875" w:rsidRPr="00EB6CAB">
        <w:rPr>
          <w:sz w:val="24"/>
          <w:szCs w:val="24"/>
        </w:rPr>
        <w:t>, vol. 34,</w:t>
      </w:r>
      <w:r>
        <w:rPr>
          <w:sz w:val="24"/>
          <w:szCs w:val="24"/>
        </w:rPr>
        <w:t xml:space="preserve"> no. 3, pp. 820–828, 2018.</w:t>
      </w:r>
    </w:p>
    <w:p w:rsidR="00EC5875" w:rsidRPr="00EB6CAB" w:rsidRDefault="00EC5875" w:rsidP="00EC5875">
      <w:pPr>
        <w:pStyle w:val="ListParagraph"/>
        <w:numPr>
          <w:ilvl w:val="0"/>
          <w:numId w:val="2"/>
        </w:numPr>
        <w:spacing w:after="160"/>
        <w:rPr>
          <w:rFonts w:ascii="Calibri" w:eastAsia="Calibri" w:hAnsi="Calibri" w:cs="Calibri"/>
          <w:sz w:val="24"/>
          <w:szCs w:val="24"/>
        </w:rPr>
      </w:pPr>
      <w:r w:rsidRPr="00EB6CAB">
        <w:rPr>
          <w:sz w:val="24"/>
          <w:szCs w:val="24"/>
        </w:rPr>
        <w:t xml:space="preserve">Wan, A. Y. S., Yi, L., Hayat, A. A., Elara, M. R., </w:t>
      </w:r>
      <w:r w:rsidRPr="00EB6CAB">
        <w:rPr>
          <w:rStyle w:val="Emphasis"/>
          <w:sz w:val="24"/>
          <w:szCs w:val="24"/>
        </w:rPr>
        <w:t>et al.</w:t>
      </w:r>
      <w:r w:rsidRPr="00EB6CAB">
        <w:rPr>
          <w:sz w:val="24"/>
          <w:szCs w:val="24"/>
        </w:rPr>
        <w:t xml:space="preserve">, "Complete Area-Coverage Path Planner for Surface Cleaning in Hospital Settings Using Mobile Dual-Arm Robot and GBNN with Heuristics," </w:t>
      </w:r>
      <w:r w:rsidRPr="00EB6CAB">
        <w:rPr>
          <w:rStyle w:val="Emphasis"/>
          <w:sz w:val="24"/>
          <w:szCs w:val="24"/>
        </w:rPr>
        <w:t>Complex &amp; Intelligent Systems</w:t>
      </w:r>
      <w:r w:rsidRPr="00EB6CAB">
        <w:rPr>
          <w:sz w:val="24"/>
          <w:szCs w:val="24"/>
        </w:rPr>
        <w:t>, vol. 10, 2024.</w:t>
      </w:r>
    </w:p>
    <w:p w:rsidR="00EB6CAB" w:rsidRPr="00EB6CAB" w:rsidRDefault="00EB6CAB" w:rsidP="00EC5875">
      <w:pPr>
        <w:pStyle w:val="ListParagraph"/>
        <w:numPr>
          <w:ilvl w:val="0"/>
          <w:numId w:val="2"/>
        </w:numPr>
        <w:spacing w:after="160"/>
        <w:rPr>
          <w:rFonts w:ascii="Calibri" w:eastAsia="Calibri" w:hAnsi="Calibri" w:cs="Calibri"/>
          <w:sz w:val="24"/>
          <w:szCs w:val="24"/>
        </w:rPr>
      </w:pPr>
      <w:r w:rsidRPr="00EB6CAB">
        <w:rPr>
          <w:sz w:val="24"/>
          <w:szCs w:val="24"/>
        </w:rPr>
        <w:t>Oh, X., Her, J., Ong, Z., Koh, B., Tan, Y. H., and Tan, U.-X., "Autonomous Surface Selection for Manipulator-Based UV Disinfection in Hospitals Using Foundation Models," arXiv, 2025.</w:t>
      </w:r>
    </w:p>
    <w:p w:rsidR="00EC5875" w:rsidRPr="00EB6CAB" w:rsidRDefault="00EC5875" w:rsidP="00EC5875">
      <w:pPr>
        <w:pStyle w:val="ListParagraph"/>
        <w:numPr>
          <w:ilvl w:val="0"/>
          <w:numId w:val="2"/>
        </w:numPr>
        <w:spacing w:after="160"/>
        <w:rPr>
          <w:rFonts w:ascii="Calibri" w:eastAsia="Calibri" w:hAnsi="Calibri" w:cs="Calibri"/>
          <w:sz w:val="24"/>
          <w:szCs w:val="24"/>
        </w:rPr>
      </w:pPr>
      <w:r w:rsidRPr="00EB6CAB">
        <w:rPr>
          <w:sz w:val="24"/>
          <w:szCs w:val="24"/>
        </w:rPr>
        <w:t xml:space="preserve">S. Thrun, W. Burgard, and D. Fox, </w:t>
      </w:r>
      <w:r w:rsidRPr="00EB6CAB">
        <w:rPr>
          <w:rStyle w:val="Emphasis"/>
          <w:sz w:val="24"/>
          <w:szCs w:val="24"/>
        </w:rPr>
        <w:t>Probabilistic Robotics</w:t>
      </w:r>
      <w:r w:rsidRPr="00EB6CAB">
        <w:rPr>
          <w:sz w:val="24"/>
          <w:szCs w:val="24"/>
        </w:rPr>
        <w:t>, MIT Press, 2005.</w:t>
      </w:r>
    </w:p>
    <w:p w:rsidR="00EC5875" w:rsidRPr="00EB6CAB" w:rsidRDefault="00EC5875" w:rsidP="00EC5875">
      <w:pPr>
        <w:pStyle w:val="ListParagraph"/>
        <w:numPr>
          <w:ilvl w:val="0"/>
          <w:numId w:val="2"/>
        </w:numPr>
        <w:spacing w:after="160"/>
        <w:rPr>
          <w:rStyle w:val="Strong"/>
          <w:rFonts w:ascii="Calibri" w:eastAsia="Calibri" w:hAnsi="Calibri" w:cs="Calibri"/>
          <w:bCs w:val="0"/>
          <w:sz w:val="24"/>
          <w:szCs w:val="24"/>
        </w:rPr>
      </w:pPr>
      <w:r w:rsidRPr="00EB6CAB">
        <w:rPr>
          <w:rStyle w:val="Strong"/>
          <w:b w:val="0"/>
          <w:sz w:val="24"/>
          <w:szCs w:val="24"/>
        </w:rPr>
        <w:t>Perminov, S., Kalinov, I., and Tsetserukou, D., "GHACPP: Genetic-based Human-Aware Coverage Path Planning Algorithm for Autonomous Disinfection Robot," arXiv:2307.08294, 2023.</w:t>
      </w:r>
    </w:p>
    <w:p w:rsidR="00EB6CAB" w:rsidRPr="00EB6CAB" w:rsidRDefault="00EB6CAB" w:rsidP="00EC5875">
      <w:pPr>
        <w:pStyle w:val="ListParagraph"/>
        <w:numPr>
          <w:ilvl w:val="0"/>
          <w:numId w:val="2"/>
        </w:numPr>
        <w:spacing w:after="160"/>
        <w:rPr>
          <w:rStyle w:val="Strong"/>
          <w:rFonts w:ascii="Calibri" w:eastAsia="Calibri" w:hAnsi="Calibri" w:cs="Calibri"/>
          <w:bCs w:val="0"/>
          <w:sz w:val="24"/>
          <w:szCs w:val="24"/>
        </w:rPr>
      </w:pPr>
      <w:r w:rsidRPr="00EB6CAB">
        <w:rPr>
          <w:sz w:val="24"/>
          <w:szCs w:val="24"/>
        </w:rPr>
        <w:lastRenderedPageBreak/>
        <w:t xml:space="preserve">Zhang, C., Qin, H., Sun, S., Pan, Y., Liu, K., Li, T., and Zhao, X., "JPMDP: Joint Base Placement and Multi-Configuration Path Planning for 3D Surface Disinfection with a UV-C Robotic System," </w:t>
      </w:r>
      <w:r w:rsidRPr="00EB6CAB">
        <w:rPr>
          <w:rStyle w:val="Emphasis"/>
          <w:sz w:val="24"/>
          <w:szCs w:val="24"/>
        </w:rPr>
        <w:t>Robotics and Autonomous Systems</w:t>
      </w:r>
      <w:r w:rsidRPr="00EB6CAB">
        <w:rPr>
          <w:sz w:val="24"/>
          <w:szCs w:val="24"/>
        </w:rPr>
        <w:t>, vol. 174, Art. 104644, 2024. DOI: 10.1016/j.robot.2024.104644.</w:t>
      </w:r>
    </w:p>
    <w:p w:rsidR="00EB6CAB" w:rsidRPr="00EB6CAB" w:rsidRDefault="00EB6CAB" w:rsidP="00EC5875">
      <w:pPr>
        <w:pStyle w:val="ListParagraph"/>
        <w:numPr>
          <w:ilvl w:val="0"/>
          <w:numId w:val="2"/>
        </w:numPr>
        <w:spacing w:after="160"/>
        <w:rPr>
          <w:rFonts w:ascii="Calibri" w:eastAsia="Calibri" w:hAnsi="Calibri" w:cs="Calibri"/>
          <w:b/>
          <w:sz w:val="24"/>
          <w:szCs w:val="24"/>
        </w:rPr>
      </w:pPr>
      <w:r w:rsidRPr="00EB6CAB">
        <w:rPr>
          <w:sz w:val="24"/>
          <w:szCs w:val="24"/>
        </w:rPr>
        <w:t xml:space="preserve">Füszl, A., Zatorska, B., Van den Nest, M., Ebner, J., Presterl, E., Diab-Elschahawi, M., </w:t>
      </w:r>
      <w:r w:rsidRPr="00EB6CAB">
        <w:rPr>
          <w:rStyle w:val="Emphasis"/>
          <w:sz w:val="24"/>
          <w:szCs w:val="24"/>
        </w:rPr>
        <w:t>et al.</w:t>
      </w:r>
      <w:r w:rsidRPr="00EB6CAB">
        <w:rPr>
          <w:sz w:val="24"/>
          <w:szCs w:val="24"/>
        </w:rPr>
        <w:t xml:space="preserve">, "The Use of a UV-C Disinfection Robot in the Routine Cleaning Process: A Field Study in an Academic Hospital," </w:t>
      </w:r>
      <w:r w:rsidRPr="00EB6CAB">
        <w:rPr>
          <w:rStyle w:val="Emphasis"/>
          <w:sz w:val="24"/>
          <w:szCs w:val="24"/>
        </w:rPr>
        <w:t>Antimicrobial Resistance &amp; Infection Control</w:t>
      </w:r>
      <w:r w:rsidRPr="00EB6CAB">
        <w:rPr>
          <w:sz w:val="24"/>
          <w:szCs w:val="24"/>
        </w:rPr>
        <w:t>, vol. 10, Art. 84, 2021</w:t>
      </w:r>
      <w:r>
        <w:t>.</w:t>
      </w:r>
    </w:p>
    <w:p w:rsidR="00EC5875" w:rsidRDefault="00EC5875" w:rsidP="00EC5875">
      <w:pPr>
        <w:pStyle w:val="pdq2pgselectionanchorcontainer"/>
        <w:numPr>
          <w:ilvl w:val="0"/>
          <w:numId w:val="2"/>
        </w:numPr>
      </w:pPr>
      <w:r>
        <w:t xml:space="preserve">Peñacoba, M., Bayona, E., Sierra-García, J. E., and Santos, M., "Route Optimization for UVC Disinfection Robot Using Bio-Inspired Metaheuristic Techniques," </w:t>
      </w:r>
      <w:r>
        <w:rPr>
          <w:rStyle w:val="Emphasis"/>
        </w:rPr>
        <w:t>Biomimetics</w:t>
      </w:r>
      <w:r>
        <w:t xml:space="preserve">, vol. 9, no. 12, 2024. </w:t>
      </w:r>
    </w:p>
    <w:p w:rsidR="00EC5875" w:rsidRPr="00EC5875" w:rsidRDefault="00EC5875" w:rsidP="00EC5875">
      <w:pPr>
        <w:pStyle w:val="ListParagraph"/>
        <w:spacing w:after="160"/>
        <w:ind w:left="720"/>
        <w:rPr>
          <w:rFonts w:ascii="Calibri" w:eastAsia="Calibri" w:hAnsi="Calibri" w:cs="Calibri"/>
          <w:sz w:val="24"/>
          <w:szCs w:val="24"/>
        </w:rPr>
      </w:pPr>
    </w:p>
    <w:p w:rsidR="00EC5875" w:rsidRPr="000A7C1B" w:rsidRDefault="00EC5875">
      <w:pPr>
        <w:spacing w:after="160"/>
        <w:ind w:left="420" w:hanging="420"/>
        <w:rPr>
          <w:sz w:val="24"/>
          <w:szCs w:val="24"/>
        </w:rPr>
      </w:pPr>
    </w:p>
    <w:sectPr w:rsidR="00EC5875" w:rsidRPr="000A7C1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7848" w:rsidRDefault="00907848" w:rsidP="00C37D2E">
      <w:r>
        <w:separator/>
      </w:r>
    </w:p>
  </w:endnote>
  <w:endnote w:type="continuationSeparator" w:id="0">
    <w:p w:rsidR="00907848" w:rsidRDefault="00907848" w:rsidP="00C37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3081418"/>
      <w:docPartObj>
        <w:docPartGallery w:val="Page Numbers (Bottom of Page)"/>
        <w:docPartUnique/>
      </w:docPartObj>
    </w:sdtPr>
    <w:sdtEndPr>
      <w:rPr>
        <w:noProof/>
      </w:rPr>
    </w:sdtEndPr>
    <w:sdtContent>
      <w:p w:rsidR="00EB6CAB" w:rsidRDefault="00EB6CAB">
        <w:pPr>
          <w:pStyle w:val="Footer"/>
          <w:jc w:val="center"/>
        </w:pPr>
        <w:r>
          <w:fldChar w:fldCharType="begin"/>
        </w:r>
        <w:r>
          <w:instrText xml:space="preserve"> PAGE   \* MERGEFORMAT </w:instrText>
        </w:r>
        <w:r>
          <w:fldChar w:fldCharType="separate"/>
        </w:r>
        <w:r w:rsidR="007C074E">
          <w:rPr>
            <w:noProof/>
          </w:rPr>
          <w:t>1</w:t>
        </w:r>
        <w:r>
          <w:rPr>
            <w:noProof/>
          </w:rPr>
          <w:fldChar w:fldCharType="end"/>
        </w:r>
      </w:p>
    </w:sdtContent>
  </w:sdt>
  <w:p w:rsidR="00EB6CAB" w:rsidRDefault="00EB6C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7848" w:rsidRDefault="00907848" w:rsidP="00C37D2E">
      <w:r>
        <w:separator/>
      </w:r>
    </w:p>
  </w:footnote>
  <w:footnote w:type="continuationSeparator" w:id="0">
    <w:p w:rsidR="00907848" w:rsidRDefault="00907848" w:rsidP="00C37D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E61FE9"/>
    <w:multiLevelType w:val="hybridMultilevel"/>
    <w:tmpl w:val="ABEA9E20"/>
    <w:lvl w:ilvl="0" w:tplc="B75A9B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E144D"/>
    <w:multiLevelType w:val="hybridMultilevel"/>
    <w:tmpl w:val="1EC0F28A"/>
    <w:lvl w:ilvl="0" w:tplc="1E0C2902">
      <w:start w:val="1"/>
      <w:numFmt w:val="bullet"/>
      <w:lvlText w:val="●"/>
      <w:lvlJc w:val="left"/>
      <w:pPr>
        <w:ind w:left="720" w:hanging="360"/>
      </w:pPr>
    </w:lvl>
    <w:lvl w:ilvl="1" w:tplc="A2B6D21A">
      <w:start w:val="1"/>
      <w:numFmt w:val="bullet"/>
      <w:lvlText w:val="○"/>
      <w:lvlJc w:val="left"/>
      <w:pPr>
        <w:ind w:left="1440" w:hanging="360"/>
      </w:pPr>
    </w:lvl>
    <w:lvl w:ilvl="2" w:tplc="BBCCF5B8">
      <w:start w:val="1"/>
      <w:numFmt w:val="bullet"/>
      <w:lvlText w:val="■"/>
      <w:lvlJc w:val="left"/>
      <w:pPr>
        <w:ind w:left="2160" w:hanging="360"/>
      </w:pPr>
    </w:lvl>
    <w:lvl w:ilvl="3" w:tplc="1DD286FA">
      <w:start w:val="1"/>
      <w:numFmt w:val="bullet"/>
      <w:lvlText w:val="●"/>
      <w:lvlJc w:val="left"/>
      <w:pPr>
        <w:ind w:left="2880" w:hanging="360"/>
      </w:pPr>
    </w:lvl>
    <w:lvl w:ilvl="4" w:tplc="B41650F0">
      <w:start w:val="1"/>
      <w:numFmt w:val="bullet"/>
      <w:lvlText w:val="○"/>
      <w:lvlJc w:val="left"/>
      <w:pPr>
        <w:ind w:left="3600" w:hanging="360"/>
      </w:pPr>
    </w:lvl>
    <w:lvl w:ilvl="5" w:tplc="6776AC30">
      <w:start w:val="1"/>
      <w:numFmt w:val="bullet"/>
      <w:lvlText w:val="■"/>
      <w:lvlJc w:val="left"/>
      <w:pPr>
        <w:ind w:left="4320" w:hanging="360"/>
      </w:pPr>
    </w:lvl>
    <w:lvl w:ilvl="6" w:tplc="55E45FFA">
      <w:start w:val="1"/>
      <w:numFmt w:val="bullet"/>
      <w:lvlText w:val="●"/>
      <w:lvlJc w:val="left"/>
      <w:pPr>
        <w:ind w:left="5040" w:hanging="360"/>
      </w:pPr>
    </w:lvl>
    <w:lvl w:ilvl="7" w:tplc="898E9C54">
      <w:start w:val="1"/>
      <w:numFmt w:val="bullet"/>
      <w:lvlText w:val="●"/>
      <w:lvlJc w:val="left"/>
      <w:pPr>
        <w:ind w:left="5760" w:hanging="360"/>
      </w:pPr>
    </w:lvl>
    <w:lvl w:ilvl="8" w:tplc="A8B81AA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5E2"/>
    <w:rsid w:val="000A7C1B"/>
    <w:rsid w:val="001576D8"/>
    <w:rsid w:val="002D1311"/>
    <w:rsid w:val="004C0E63"/>
    <w:rsid w:val="005925E2"/>
    <w:rsid w:val="007C074E"/>
    <w:rsid w:val="007C57F0"/>
    <w:rsid w:val="008E6628"/>
    <w:rsid w:val="00907848"/>
    <w:rsid w:val="00B24662"/>
    <w:rsid w:val="00BF5656"/>
    <w:rsid w:val="00C37D2E"/>
    <w:rsid w:val="00EB6CAB"/>
    <w:rsid w:val="00EC5875"/>
    <w:rsid w:val="00F04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96B3A8-AFAC-4B18-90FF-153D1C80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7D2E"/>
    <w:pPr>
      <w:tabs>
        <w:tab w:val="center" w:pos="4680"/>
        <w:tab w:val="right" w:pos="9360"/>
      </w:tabs>
    </w:pPr>
  </w:style>
  <w:style w:type="character" w:customStyle="1" w:styleId="HeaderChar">
    <w:name w:val="Header Char"/>
    <w:basedOn w:val="DefaultParagraphFont"/>
    <w:link w:val="Header"/>
    <w:uiPriority w:val="99"/>
    <w:rsid w:val="00C37D2E"/>
  </w:style>
  <w:style w:type="paragraph" w:styleId="Footer">
    <w:name w:val="footer"/>
    <w:basedOn w:val="Normal"/>
    <w:link w:val="FooterChar"/>
    <w:uiPriority w:val="99"/>
    <w:unhideWhenUsed/>
    <w:rsid w:val="00C37D2E"/>
    <w:pPr>
      <w:tabs>
        <w:tab w:val="center" w:pos="4680"/>
        <w:tab w:val="right" w:pos="9360"/>
      </w:tabs>
    </w:pPr>
  </w:style>
  <w:style w:type="character" w:customStyle="1" w:styleId="FooterChar">
    <w:name w:val="Footer Char"/>
    <w:basedOn w:val="DefaultParagraphFont"/>
    <w:link w:val="Footer"/>
    <w:uiPriority w:val="99"/>
    <w:rsid w:val="00C37D2E"/>
  </w:style>
  <w:style w:type="paragraph" w:customStyle="1" w:styleId="pdq2pgselectionanchorcontainer">
    <w:name w:val="pdq2pg_selectionanchorcontainer"/>
    <w:basedOn w:val="Normal"/>
    <w:rsid w:val="00B24662"/>
    <w:pPr>
      <w:spacing w:before="100" w:beforeAutospacing="1" w:after="100" w:afterAutospacing="1"/>
    </w:pPr>
    <w:rPr>
      <w:sz w:val="24"/>
      <w:szCs w:val="24"/>
    </w:rPr>
  </w:style>
  <w:style w:type="paragraph" w:styleId="NormalWeb">
    <w:name w:val="Normal (Web)"/>
    <w:basedOn w:val="Normal"/>
    <w:uiPriority w:val="99"/>
    <w:semiHidden/>
    <w:unhideWhenUsed/>
    <w:rsid w:val="00B24662"/>
    <w:pPr>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B2466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2466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2466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24662"/>
    <w:rPr>
      <w:rFonts w:ascii="Arial" w:hAnsi="Arial" w:cs="Arial"/>
      <w:vanish/>
      <w:sz w:val="16"/>
      <w:szCs w:val="16"/>
    </w:rPr>
  </w:style>
  <w:style w:type="character" w:styleId="Emphasis">
    <w:name w:val="Emphasis"/>
    <w:basedOn w:val="DefaultParagraphFont"/>
    <w:uiPriority w:val="20"/>
    <w:qFormat/>
    <w:rsid w:val="00EC5875"/>
    <w:rPr>
      <w:i/>
      <w:iCs/>
    </w:rPr>
  </w:style>
  <w:style w:type="character" w:styleId="Strong">
    <w:name w:val="Strong"/>
    <w:basedOn w:val="DefaultParagraphFont"/>
    <w:uiPriority w:val="22"/>
    <w:qFormat/>
    <w:rsid w:val="00EC5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385992">
      <w:bodyDiv w:val="1"/>
      <w:marLeft w:val="0"/>
      <w:marRight w:val="0"/>
      <w:marTop w:val="0"/>
      <w:marBottom w:val="0"/>
      <w:divBdr>
        <w:top w:val="none" w:sz="0" w:space="0" w:color="auto"/>
        <w:left w:val="none" w:sz="0" w:space="0" w:color="auto"/>
        <w:bottom w:val="none" w:sz="0" w:space="0" w:color="auto"/>
        <w:right w:val="none" w:sz="0" w:space="0" w:color="auto"/>
      </w:divBdr>
    </w:div>
    <w:div w:id="909727291">
      <w:bodyDiv w:val="1"/>
      <w:marLeft w:val="0"/>
      <w:marRight w:val="0"/>
      <w:marTop w:val="0"/>
      <w:marBottom w:val="0"/>
      <w:divBdr>
        <w:top w:val="none" w:sz="0" w:space="0" w:color="auto"/>
        <w:left w:val="none" w:sz="0" w:space="0" w:color="auto"/>
        <w:bottom w:val="none" w:sz="0" w:space="0" w:color="auto"/>
        <w:right w:val="none" w:sz="0" w:space="0" w:color="auto"/>
      </w:divBdr>
      <w:divsChild>
        <w:div w:id="1876888064">
          <w:marLeft w:val="0"/>
          <w:marRight w:val="0"/>
          <w:marTop w:val="0"/>
          <w:marBottom w:val="0"/>
          <w:divBdr>
            <w:top w:val="none" w:sz="0" w:space="0" w:color="auto"/>
            <w:left w:val="none" w:sz="0" w:space="0" w:color="auto"/>
            <w:bottom w:val="none" w:sz="0" w:space="0" w:color="auto"/>
            <w:right w:val="none" w:sz="0" w:space="0" w:color="auto"/>
          </w:divBdr>
          <w:divsChild>
            <w:div w:id="1606502331">
              <w:marLeft w:val="0"/>
              <w:marRight w:val="0"/>
              <w:marTop w:val="0"/>
              <w:marBottom w:val="0"/>
              <w:divBdr>
                <w:top w:val="none" w:sz="0" w:space="0" w:color="auto"/>
                <w:left w:val="none" w:sz="0" w:space="0" w:color="auto"/>
                <w:bottom w:val="none" w:sz="0" w:space="0" w:color="auto"/>
                <w:right w:val="none" w:sz="0" w:space="0" w:color="auto"/>
              </w:divBdr>
              <w:divsChild>
                <w:div w:id="1494492565">
                  <w:marLeft w:val="0"/>
                  <w:marRight w:val="0"/>
                  <w:marTop w:val="0"/>
                  <w:marBottom w:val="0"/>
                  <w:divBdr>
                    <w:top w:val="none" w:sz="0" w:space="0" w:color="auto"/>
                    <w:left w:val="none" w:sz="0" w:space="0" w:color="auto"/>
                    <w:bottom w:val="none" w:sz="0" w:space="0" w:color="auto"/>
                    <w:right w:val="none" w:sz="0" w:space="0" w:color="auto"/>
                  </w:divBdr>
                  <w:divsChild>
                    <w:div w:id="387071583">
                      <w:marLeft w:val="0"/>
                      <w:marRight w:val="0"/>
                      <w:marTop w:val="0"/>
                      <w:marBottom w:val="0"/>
                      <w:divBdr>
                        <w:top w:val="none" w:sz="0" w:space="0" w:color="auto"/>
                        <w:left w:val="none" w:sz="0" w:space="0" w:color="auto"/>
                        <w:bottom w:val="none" w:sz="0" w:space="0" w:color="auto"/>
                        <w:right w:val="none" w:sz="0" w:space="0" w:color="auto"/>
                      </w:divBdr>
                      <w:divsChild>
                        <w:div w:id="329914834">
                          <w:marLeft w:val="0"/>
                          <w:marRight w:val="0"/>
                          <w:marTop w:val="0"/>
                          <w:marBottom w:val="0"/>
                          <w:divBdr>
                            <w:top w:val="none" w:sz="0" w:space="0" w:color="auto"/>
                            <w:left w:val="none" w:sz="0" w:space="0" w:color="auto"/>
                            <w:bottom w:val="none" w:sz="0" w:space="0" w:color="auto"/>
                            <w:right w:val="none" w:sz="0" w:space="0" w:color="auto"/>
                          </w:divBdr>
                          <w:divsChild>
                            <w:div w:id="1030842639">
                              <w:marLeft w:val="0"/>
                              <w:marRight w:val="0"/>
                              <w:marTop w:val="0"/>
                              <w:marBottom w:val="0"/>
                              <w:divBdr>
                                <w:top w:val="none" w:sz="0" w:space="0" w:color="auto"/>
                                <w:left w:val="none" w:sz="0" w:space="0" w:color="auto"/>
                                <w:bottom w:val="none" w:sz="0" w:space="0" w:color="auto"/>
                                <w:right w:val="none" w:sz="0" w:space="0" w:color="auto"/>
                              </w:divBdr>
                              <w:divsChild>
                                <w:div w:id="966081141">
                                  <w:marLeft w:val="0"/>
                                  <w:marRight w:val="0"/>
                                  <w:marTop w:val="0"/>
                                  <w:marBottom w:val="0"/>
                                  <w:divBdr>
                                    <w:top w:val="none" w:sz="0" w:space="0" w:color="auto"/>
                                    <w:left w:val="none" w:sz="0" w:space="0" w:color="auto"/>
                                    <w:bottom w:val="none" w:sz="0" w:space="0" w:color="auto"/>
                                    <w:right w:val="none" w:sz="0" w:space="0" w:color="auto"/>
                                  </w:divBdr>
                                  <w:divsChild>
                                    <w:div w:id="622273283">
                                      <w:marLeft w:val="0"/>
                                      <w:marRight w:val="0"/>
                                      <w:marTop w:val="0"/>
                                      <w:marBottom w:val="0"/>
                                      <w:divBdr>
                                        <w:top w:val="none" w:sz="0" w:space="0" w:color="auto"/>
                                        <w:left w:val="none" w:sz="0" w:space="0" w:color="auto"/>
                                        <w:bottom w:val="none" w:sz="0" w:space="0" w:color="auto"/>
                                        <w:right w:val="none" w:sz="0" w:space="0" w:color="auto"/>
                                      </w:divBdr>
                                      <w:divsChild>
                                        <w:div w:id="556282778">
                                          <w:marLeft w:val="0"/>
                                          <w:marRight w:val="0"/>
                                          <w:marTop w:val="0"/>
                                          <w:marBottom w:val="0"/>
                                          <w:divBdr>
                                            <w:top w:val="none" w:sz="0" w:space="0" w:color="auto"/>
                                            <w:left w:val="none" w:sz="0" w:space="0" w:color="auto"/>
                                            <w:bottom w:val="none" w:sz="0" w:space="0" w:color="auto"/>
                                            <w:right w:val="none" w:sz="0" w:space="0" w:color="auto"/>
                                          </w:divBdr>
                                          <w:divsChild>
                                            <w:div w:id="135078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052713">
          <w:marLeft w:val="0"/>
          <w:marRight w:val="0"/>
          <w:marTop w:val="0"/>
          <w:marBottom w:val="0"/>
          <w:divBdr>
            <w:top w:val="none" w:sz="0" w:space="0" w:color="auto"/>
            <w:left w:val="none" w:sz="0" w:space="0" w:color="auto"/>
            <w:bottom w:val="none" w:sz="0" w:space="0" w:color="auto"/>
            <w:right w:val="none" w:sz="0" w:space="0" w:color="auto"/>
          </w:divBdr>
          <w:divsChild>
            <w:div w:id="1525051510">
              <w:marLeft w:val="0"/>
              <w:marRight w:val="0"/>
              <w:marTop w:val="0"/>
              <w:marBottom w:val="0"/>
              <w:divBdr>
                <w:top w:val="none" w:sz="0" w:space="0" w:color="auto"/>
                <w:left w:val="none" w:sz="0" w:space="0" w:color="auto"/>
                <w:bottom w:val="none" w:sz="0" w:space="0" w:color="auto"/>
                <w:right w:val="none" w:sz="0" w:space="0" w:color="auto"/>
              </w:divBdr>
              <w:divsChild>
                <w:div w:id="16468723">
                  <w:marLeft w:val="0"/>
                  <w:marRight w:val="0"/>
                  <w:marTop w:val="0"/>
                  <w:marBottom w:val="0"/>
                  <w:divBdr>
                    <w:top w:val="none" w:sz="0" w:space="0" w:color="auto"/>
                    <w:left w:val="none" w:sz="0" w:space="0" w:color="auto"/>
                    <w:bottom w:val="none" w:sz="0" w:space="0" w:color="auto"/>
                    <w:right w:val="none" w:sz="0" w:space="0" w:color="auto"/>
                  </w:divBdr>
                  <w:divsChild>
                    <w:div w:id="1854341554">
                      <w:marLeft w:val="0"/>
                      <w:marRight w:val="0"/>
                      <w:marTop w:val="0"/>
                      <w:marBottom w:val="0"/>
                      <w:divBdr>
                        <w:top w:val="none" w:sz="0" w:space="0" w:color="auto"/>
                        <w:left w:val="none" w:sz="0" w:space="0" w:color="auto"/>
                        <w:bottom w:val="none" w:sz="0" w:space="0" w:color="auto"/>
                        <w:right w:val="none" w:sz="0" w:space="0" w:color="auto"/>
                      </w:divBdr>
                      <w:divsChild>
                        <w:div w:id="1122768537">
                          <w:marLeft w:val="0"/>
                          <w:marRight w:val="0"/>
                          <w:marTop w:val="0"/>
                          <w:marBottom w:val="0"/>
                          <w:divBdr>
                            <w:top w:val="none" w:sz="0" w:space="0" w:color="auto"/>
                            <w:left w:val="none" w:sz="0" w:space="0" w:color="auto"/>
                            <w:bottom w:val="none" w:sz="0" w:space="0" w:color="auto"/>
                            <w:right w:val="none" w:sz="0" w:space="0" w:color="auto"/>
                          </w:divBdr>
                          <w:divsChild>
                            <w:div w:id="1792430097">
                              <w:marLeft w:val="0"/>
                              <w:marRight w:val="0"/>
                              <w:marTop w:val="0"/>
                              <w:marBottom w:val="0"/>
                              <w:divBdr>
                                <w:top w:val="none" w:sz="0" w:space="0" w:color="auto"/>
                                <w:left w:val="none" w:sz="0" w:space="0" w:color="auto"/>
                                <w:bottom w:val="none" w:sz="0" w:space="0" w:color="auto"/>
                                <w:right w:val="none" w:sz="0" w:space="0" w:color="auto"/>
                              </w:divBdr>
                              <w:divsChild>
                                <w:div w:id="694422401">
                                  <w:marLeft w:val="0"/>
                                  <w:marRight w:val="0"/>
                                  <w:marTop w:val="0"/>
                                  <w:marBottom w:val="0"/>
                                  <w:divBdr>
                                    <w:top w:val="none" w:sz="0" w:space="0" w:color="auto"/>
                                    <w:left w:val="none" w:sz="0" w:space="0" w:color="auto"/>
                                    <w:bottom w:val="none" w:sz="0" w:space="0" w:color="auto"/>
                                    <w:right w:val="none" w:sz="0" w:space="0" w:color="auto"/>
                                  </w:divBdr>
                                  <w:divsChild>
                                    <w:div w:id="2007198281">
                                      <w:marLeft w:val="0"/>
                                      <w:marRight w:val="0"/>
                                      <w:marTop w:val="0"/>
                                      <w:marBottom w:val="0"/>
                                      <w:divBdr>
                                        <w:top w:val="none" w:sz="0" w:space="0" w:color="auto"/>
                                        <w:left w:val="none" w:sz="0" w:space="0" w:color="auto"/>
                                        <w:bottom w:val="none" w:sz="0" w:space="0" w:color="auto"/>
                                        <w:right w:val="none" w:sz="0" w:space="0" w:color="auto"/>
                                      </w:divBdr>
                                      <w:divsChild>
                                        <w:div w:id="1798140622">
                                          <w:marLeft w:val="0"/>
                                          <w:marRight w:val="0"/>
                                          <w:marTop w:val="0"/>
                                          <w:marBottom w:val="0"/>
                                          <w:divBdr>
                                            <w:top w:val="none" w:sz="0" w:space="0" w:color="auto"/>
                                            <w:left w:val="none" w:sz="0" w:space="0" w:color="auto"/>
                                            <w:bottom w:val="none" w:sz="0" w:space="0" w:color="auto"/>
                                            <w:right w:val="none" w:sz="0" w:space="0" w:color="auto"/>
                                          </w:divBdr>
                                          <w:divsChild>
                                            <w:div w:id="1746880053">
                                              <w:marLeft w:val="0"/>
                                              <w:marRight w:val="0"/>
                                              <w:marTop w:val="0"/>
                                              <w:marBottom w:val="0"/>
                                              <w:divBdr>
                                                <w:top w:val="none" w:sz="0" w:space="0" w:color="auto"/>
                                                <w:left w:val="none" w:sz="0" w:space="0" w:color="auto"/>
                                                <w:bottom w:val="none" w:sz="0" w:space="0" w:color="auto"/>
                                                <w:right w:val="none" w:sz="0" w:space="0" w:color="auto"/>
                                              </w:divBdr>
                                              <w:divsChild>
                                                <w:div w:id="1352032806">
                                                  <w:marLeft w:val="0"/>
                                                  <w:marRight w:val="0"/>
                                                  <w:marTop w:val="0"/>
                                                  <w:marBottom w:val="0"/>
                                                  <w:divBdr>
                                                    <w:top w:val="none" w:sz="0" w:space="0" w:color="auto"/>
                                                    <w:left w:val="none" w:sz="0" w:space="0" w:color="auto"/>
                                                    <w:bottom w:val="none" w:sz="0" w:space="0" w:color="auto"/>
                                                    <w:right w:val="none" w:sz="0" w:space="0" w:color="auto"/>
                                                  </w:divBdr>
                                                  <w:divsChild>
                                                    <w:div w:id="9732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3356</Words>
  <Characters>19132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Alwa Jyoshna</dc:creator>
  <cp:lastModifiedBy>home</cp:lastModifiedBy>
  <cp:revision>2</cp:revision>
  <dcterms:created xsi:type="dcterms:W3CDTF">2026-07-01T16:43:00Z</dcterms:created>
  <dcterms:modified xsi:type="dcterms:W3CDTF">2026-07-01T16:43:00Z</dcterms:modified>
</cp:coreProperties>
</file>