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40"/>
        <w:rPr>
          <w:b/>
          <w:bCs/>
          <w:color w:val="0000FF"/>
          <w:sz w:val="32"/>
          <w:szCs w:val="32"/>
        </w:rPr>
      </w:pPr>
      <w:bookmarkStart w:id="3" w:name="_GoBack"/>
      <w:bookmarkEnd w:id="3"/>
      <w:r>
        <w:rPr>
          <w:b/>
          <w:bCs/>
          <w:color w:val="0000FF"/>
          <w:sz w:val="32"/>
          <w:szCs w:val="32"/>
          <w:rtl w:val="0"/>
        </w:rPr>
        <w:t>90-day post transition trend Analysis and Further Improvements for this project.</w:t>
      </w:r>
    </w:p>
    <w:p w14:paraId="00000002">
      <w:pPr>
        <w:spacing w:after="40"/>
        <w:rPr>
          <w:b/>
          <w:bCs/>
        </w:rPr>
      </w:pPr>
    </w:p>
    <w:p w14:paraId="00000003">
      <w:pPr>
        <w:spacing w:after="40"/>
        <w:rPr>
          <w:b/>
          <w:bCs/>
        </w:rPr>
      </w:pPr>
      <w:r>
        <w:rPr>
          <w:b/>
          <w:bCs/>
          <w:rtl w:val="0"/>
        </w:rPr>
        <w:t>Why 90 days is correct as the primary metric</w:t>
      </w:r>
    </w:p>
    <w:p w14:paraId="00000004">
      <w:pPr>
        <w:spacing w:after="40"/>
        <w:rPr>
          <w:b/>
          <w:bCs/>
        </w:rPr>
      </w:pPr>
    </w:p>
    <w:p w14:paraId="00000005">
      <w:pPr>
        <w:rPr>
          <w:b/>
          <w:bCs/>
        </w:rPr>
      </w:pPr>
      <w:r>
        <w:rPr>
          <w:b/>
          <w:bCs/>
          <w:rtl w:val="0"/>
        </w:rPr>
        <w:t>1. It captures the market's first verdict on the CEO — before other variables dominate</w:t>
      </w:r>
    </w:p>
    <w:p w14:paraId="00000006">
      <w:r>
        <w:rPr>
          <w:rtl w:val="0"/>
        </w:rPr>
        <w:t>The stock market processes information rapidly. In the first 90 days after a CEO transition, the price movement is dominated by:</w:t>
      </w:r>
    </w:p>
    <w:p w14:paraId="00000007">
      <w:pPr>
        <w:numPr>
          <w:ilvl w:val="0"/>
          <w:numId w:val="1"/>
        </w:numPr>
        <w:spacing w:before="240" w:after="0" w:afterAutospacing="0"/>
        <w:ind w:left="720" w:hanging="360"/>
      </w:pPr>
      <w:r>
        <w:rPr>
          <w:rtl w:val="0"/>
        </w:rPr>
        <w:t>The announced appointment and investor reaction</w:t>
      </w:r>
    </w:p>
    <w:p w14:paraId="00000008">
      <w:pPr>
        <w:numPr>
          <w:ilvl w:val="0"/>
          <w:numId w:val="1"/>
        </w:numPr>
        <w:spacing w:before="0" w:beforeAutospacing="0" w:after="0" w:afterAutospacing="0"/>
        <w:ind w:left="720" w:hanging="360"/>
      </w:pPr>
      <w:r>
        <w:rPr>
          <w:rtl w:val="0"/>
        </w:rPr>
        <w:t>The new CEO's first public statements, earnings call, and strategic signals</w:t>
      </w:r>
    </w:p>
    <w:p w14:paraId="00000009">
      <w:pPr>
        <w:numPr>
          <w:ilvl w:val="0"/>
          <w:numId w:val="1"/>
        </w:numPr>
        <w:spacing w:before="0" w:beforeAutospacing="0" w:after="240"/>
        <w:ind w:left="720" w:hanging="360"/>
      </w:pPr>
      <w:r>
        <w:rPr>
          <w:rtl w:val="0"/>
        </w:rPr>
        <w:t>Analyst re-ratings triggered by the leadership change</w:t>
      </w:r>
    </w:p>
    <w:p w14:paraId="0000000A">
      <w:r>
        <w:rPr>
          <w:rtl w:val="0"/>
        </w:rPr>
        <w:t xml:space="preserve">Beyond 90 days, product cycles, macro events, competitor moves, and broader market regimes start contributing more signal than the CEO effect itself. The 90-day window isolates the </w:t>
      </w:r>
      <w:r>
        <w:rPr>
          <w:i/>
          <w:iCs/>
          <w:rtl w:val="0"/>
        </w:rPr>
        <w:t>leadership signal</w:t>
      </w:r>
      <w:r>
        <w:rPr>
          <w:rtl w:val="0"/>
        </w:rPr>
        <w:t xml:space="preserve"> as cleanly as possible.</w:t>
      </w:r>
    </w:p>
    <w:p w14:paraId="0000000B">
      <w:r>
        <w:rPr>
          <w:rtl w:val="0"/>
        </w:rPr>
        <w:t xml:space="preserve">Academic reference: </w:t>
      </w:r>
      <w:r>
        <w:rPr>
          <w:b/>
          <w:bCs/>
          <w:rtl w:val="0"/>
        </w:rPr>
        <w:t>Karaevli (2007)</w:t>
      </w:r>
      <w:r>
        <w:rPr>
          <w:rtl w:val="0"/>
        </w:rPr>
        <w:t xml:space="preserve"> — "Performance consequences of new CEO 'outsiderness': Moderating effects of pre- and post-succession contexts" (</w:t>
      </w:r>
      <w:r>
        <w:rPr>
          <w:i/>
          <w:iCs/>
          <w:rtl w:val="0"/>
        </w:rPr>
        <w:t>Strategic Management Journal</w:t>
      </w:r>
      <w:r>
        <w:rPr>
          <w:rtl w:val="0"/>
        </w:rPr>
        <w:t>) — uses a 90-day announcement window as the market's first assessment of the incoming executive.</w:t>
      </w:r>
    </w:p>
    <w:p w14:paraId="0000000C">
      <w:pPr>
        <w:rPr>
          <w:b/>
          <w:bCs/>
        </w:rPr>
      </w:pPr>
      <w:r>
        <w:rPr>
          <w:b/>
          <w:bCs/>
          <w:rtl w:val="0"/>
        </w:rPr>
        <w:t>2. Earnings call alignment — 90 days is roughly one full reporting cycle</w:t>
      </w:r>
    </w:p>
    <w:p w14:paraId="0000000D">
      <w:r>
        <w:rPr>
          <w:rtl w:val="0"/>
        </w:rPr>
        <w:t>Most public companies report quarterly. Within 90 days of a CEO transition, the new CEO will almost always appear on at least one earnings call — the first moment they must publicly commit to a strategy. The market reprices on this information.</w:t>
      </w:r>
    </w:p>
    <w:p w14:paraId="0000000E">
      <w:r>
        <w:rPr>
          <w:rtl w:val="0"/>
        </w:rPr>
        <w:t>A 6-month window would span two quarterly calls, introducing a second round of forward-looking noise unrelated to the CEO arrival itself.</w:t>
      </w:r>
    </w:p>
    <w:p w14:paraId="0000000F">
      <w:pPr>
        <w:rPr>
          <w:b/>
          <w:bCs/>
        </w:rPr>
      </w:pPr>
      <w:r>
        <w:rPr>
          <w:b/>
          <w:bCs/>
          <w:rtl w:val="0"/>
        </w:rPr>
        <w:t>3. Survivorship is cleanest at 90 days</w:t>
      </w:r>
    </w:p>
    <w:p w14:paraId="00000010">
      <w:r>
        <w:rPr>
          <w:rtl w:val="0"/>
        </w:rPr>
        <w:t xml:space="preserve">Your dataset is Russell 2000 CEO transitions — small-to-mid cap companies. CEOs at this level sometimes depart in under a year (fired after a bad quarter, or the company gets acquired). A 1-year window will have </w:t>
      </w:r>
      <w:r>
        <w:rPr>
          <w:b/>
          <w:bCs/>
          <w:rtl w:val="0"/>
        </w:rPr>
        <w:t>missing data</w:t>
      </w:r>
      <w:r>
        <w:rPr>
          <w:rtl w:val="0"/>
        </w:rPr>
        <w:t xml:space="preserve"> for short tenures, forcing imputation or exclusion.</w:t>
      </w:r>
    </w:p>
    <w:p w14:paraId="00000011">
      <w:r>
        <w:rPr>
          <w:rtl w:val="0"/>
        </w:rPr>
        <w:t>if not impact or impact.get("impact_1year_pct") is None:</w:t>
      </w:r>
    </w:p>
    <w:p w14:paraId="00000012">
      <w:r>
        <w:rPr>
          <w:rtl w:val="0"/>
        </w:rPr>
        <w:t>This removes shorter-tenure transitions from the 1-year analysis entirely — meaning 1-year ranking is on a biased subset. 90-day data is far more complete.</w:t>
      </w:r>
    </w:p>
    <w:p w14:paraId="00000013">
      <w:pPr>
        <w:rPr>
          <w:b/>
          <w:bCs/>
        </w:rPr>
      </w:pPr>
      <w:r>
        <w:rPr>
          <w:b/>
          <w:bCs/>
          <w:rtl w:val="0"/>
        </w:rPr>
        <w:t>4. Z-score normalization works better on 90-day data</w:t>
      </w:r>
    </w:p>
    <w:p w14:paraId="00000014">
      <w:r>
        <w:rPr>
          <w:rtl w:val="0"/>
        </w:rPr>
        <w:t>Your outlier detection computes:</w:t>
      </w:r>
    </w:p>
    <w:p w14:paraId="00000015">
      <w:r>
        <w:rPr>
          <w:rtl w:val="0"/>
        </w:rPr>
        <w:t>pdf["z90"] = _z(pdf["impact_90days_pct"].values)</w:t>
      </w:r>
    </w:p>
    <w:p w14:paraId="00000016">
      <w:r>
        <w:rPr>
          <w:rtl w:val="0"/>
        </w:rPr>
        <w:t>For z-scores and percentile rankings to be statistically valid, the distribution needs to be reasonably tight and comparable across transitions. The 1-year return distribution has much higher variance — markets can move ±30% in a year for macro reasons entirely unrelated to who is CEO. This makes z-score comparisons across different years unreliable. 90-day variance is smaller and more CEO-attributable.</w:t>
      </w:r>
    </w:p>
    <w:p w14:paraId="00000017">
      <w:pPr>
        <w:rPr>
          <w:b/>
          <w:bCs/>
        </w:rPr>
      </w:pPr>
      <w:r>
        <w:rPr>
          <w:b/>
          <w:bCs/>
          <w:rtl w:val="0"/>
        </w:rPr>
        <w:t>5. Pre-transition baseline uses the same window</w:t>
      </w:r>
    </w:p>
    <w:p w14:paraId="00000018">
      <w:r>
        <w:rPr>
          <w:rtl w:val="0"/>
        </w:rPr>
        <w:t>Your system also computes:</w:t>
      </w:r>
    </w:p>
    <w:p w14:paraId="00000019">
      <w:r>
        <w:rPr>
          <w:rtl w:val="0"/>
        </w:rPr>
        <w:t>trend_90d_before = ((transition_price - price_before_90) / price_before_90) × 100</w:t>
      </w:r>
    </w:p>
    <w:p w14:paraId="0000001A">
      <w:pPr>
        <w:rPr>
          <w:b/>
          <w:bCs/>
        </w:rPr>
      </w:pPr>
      <w:r>
        <w:rPr>
          <w:rtl w:val="0"/>
        </w:rPr>
        <w:t xml:space="preserve">This 90-day pre-transition trend is the natural control variable — it tells you what the stock was doing </w:t>
      </w:r>
      <w:r>
        <w:rPr>
          <w:i/>
          <w:iCs/>
          <w:rtl w:val="0"/>
        </w:rPr>
        <w:t>before</w:t>
      </w:r>
      <w:r>
        <w:rPr>
          <w:rtl w:val="0"/>
        </w:rPr>
        <w:t xml:space="preserve"> the CEO changed. Using the same 90-day window on both sides makes the before/after comparison symmetric and interpretable. If you used 6-month post but 90-day pre, the comparison loses its symmetry.</w:t>
      </w:r>
    </w:p>
    <w:p w14:paraId="0000001B">
      <w:pPr>
        <w:spacing w:after="40"/>
        <w:rPr>
          <w:b/>
          <w:bCs/>
        </w:rPr>
      </w:pPr>
    </w:p>
    <w:p w14:paraId="0000001C">
      <w:pPr>
        <w:spacing w:after="40"/>
        <w:rPr>
          <w:b/>
          <w:bCs/>
        </w:rPr>
      </w:pPr>
      <w:r>
        <w:rPr>
          <w:b/>
          <w:bCs/>
          <w:rtl w:val="0"/>
        </w:rPr>
        <w:t>Why 6-month fails as primary metric</w:t>
      </w:r>
    </w:p>
    <w:p w14:paraId="0000001D">
      <w:pPr>
        <w:numPr>
          <w:ilvl w:val="0"/>
          <w:numId w:val="2"/>
        </w:numPr>
        <w:spacing w:before="240" w:after="0" w:afterAutospacing="0"/>
        <w:ind w:left="720" w:hanging="360"/>
      </w:pPr>
      <w:r>
        <w:rPr>
          <w:b/>
          <w:bCs/>
          <w:rtl w:val="0"/>
        </w:rPr>
        <w:t>No natural corporate calendar anchor.</w:t>
      </w:r>
      <w:r>
        <w:rPr>
          <w:rtl w:val="0"/>
        </w:rPr>
        <w:t xml:space="preserve"> Quarterly reporting is on a 90-day cycle. 6 months straddles two reporting cycles without fully capturing either.</w:t>
      </w:r>
    </w:p>
    <w:p w14:paraId="0000001E">
      <w:pPr>
        <w:numPr>
          <w:ilvl w:val="0"/>
          <w:numId w:val="2"/>
        </w:numPr>
        <w:spacing w:before="0" w:beforeAutospacing="0" w:after="0" w:afterAutospacing="0"/>
        <w:ind w:left="720" w:hanging="360"/>
      </w:pPr>
      <w:r>
        <w:rPr>
          <w:b/>
          <w:bCs/>
          <w:rtl w:val="0"/>
        </w:rPr>
        <w:t>Harder to isolate CEO effect.</w:t>
      </w:r>
      <w:r>
        <w:rPr>
          <w:rtl w:val="0"/>
        </w:rPr>
        <w:t xml:space="preserve"> A second earnings call introduces a second round of analyst revisions, guidance changes, and market reactions — all harder to attribute to the CEO arrival.</w:t>
      </w:r>
    </w:p>
    <w:p w14:paraId="0000001F">
      <w:pPr>
        <w:numPr>
          <w:ilvl w:val="0"/>
          <w:numId w:val="2"/>
        </w:numPr>
        <w:spacing w:before="0" w:beforeAutospacing="0" w:after="240"/>
        <w:ind w:left="720" w:hanging="360"/>
      </w:pPr>
      <w:r>
        <w:rPr>
          <w:b/>
          <w:bCs/>
          <w:rtl w:val="0"/>
        </w:rPr>
        <w:t>Not used in the academic event-study literature.</w:t>
      </w:r>
      <w:r>
        <w:rPr>
          <w:rtl w:val="0"/>
        </w:rPr>
        <w:t xml:space="preserve"> The standard event window in executive turnover research is the announcement window (1–5 days), a short-run window (30–90 days), or a long-run window (1–3 years). 6 months is the orphan window that few papers use.</w:t>
      </w:r>
    </w:p>
    <w:p w14:paraId="00000020">
      <w:pPr>
        <w:spacing w:after="40"/>
        <w:rPr>
          <w:b/>
          <w:bCs/>
        </w:rPr>
      </w:pPr>
      <w:r>
        <w:rPr>
          <w:b/>
          <w:bCs/>
          <w:rtl w:val="0"/>
        </w:rPr>
        <w:t>Why 1-year is useful but not the primary metric</w:t>
      </w:r>
    </w:p>
    <w:tbl>
      <w:tblPr>
        <w:tblStyle w:val="1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73"/>
        <w:gridCol w:w="3152"/>
        <w:gridCol w:w="4099"/>
      </w:tblGrid>
      <w:tr w14:paraId="10B512F8">
        <w:trPr>
          <w:trHeight w:val="485" w:hRule="atLeast"/>
        </w:trPr>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1">
            <w:pPr>
              <w:rPr>
                <w:b/>
                <w:bCs/>
              </w:rPr>
            </w:pPr>
            <w:r>
              <w:rPr>
                <w:b/>
                <w:bCs/>
                <w:rtl w:val="0"/>
              </w:rPr>
              <w:t>Dimension</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2">
            <w:pPr>
              <w:rPr>
                <w:b/>
                <w:bCs/>
              </w:rPr>
            </w:pPr>
            <w:r>
              <w:rPr>
                <w:b/>
                <w:bCs/>
                <w:rtl w:val="0"/>
              </w:rPr>
              <w:t>90-day</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3">
            <w:pPr>
              <w:rPr>
                <w:b/>
                <w:bCs/>
              </w:rPr>
            </w:pPr>
            <w:r>
              <w:rPr>
                <w:b/>
                <w:bCs/>
                <w:rtl w:val="0"/>
              </w:rPr>
              <w:t>1-year</w:t>
            </w:r>
          </w:p>
        </w:tc>
      </w:tr>
      <w:tr w14:paraId="3E70FBE3">
        <w:trPr>
          <w:trHeight w:val="725" w:hRule="atLeast"/>
        </w:trPr>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4">
            <w:r>
              <w:rPr>
                <w:rtl w:val="0"/>
              </w:rPr>
              <w:t>CEO attribution</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5">
            <w:r>
              <w:rPr>
                <w:rtl w:val="0"/>
              </w:rPr>
              <w:t>High — few confounders</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6">
            <w:r>
              <w:rPr>
                <w:rtl w:val="0"/>
              </w:rPr>
              <w:t>Lower — macro, competitors, two earnings cycles</w:t>
            </w:r>
          </w:p>
        </w:tc>
      </w:tr>
      <w:tr w14:paraId="53D5B6FB">
        <w:trPr>
          <w:trHeight w:val="725" w:hRule="atLeast"/>
        </w:trPr>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7">
            <w:r>
              <w:rPr>
                <w:rtl w:val="0"/>
              </w:rPr>
              <w:t>Data completeness</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8">
            <w:r>
              <w:rPr>
                <w:rtl w:val="0"/>
              </w:rPr>
              <w:t>Near 100%</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9">
            <w:r>
              <w:rPr>
                <w:rtl w:val="0"/>
              </w:rPr>
              <w:t>Gaps for short-tenure CEOs</w:t>
            </w:r>
          </w:p>
        </w:tc>
      </w:tr>
      <w:tr w14:paraId="3F2B34C9">
        <w:trPr>
          <w:trHeight w:val="485" w:hRule="atLeast"/>
        </w:trPr>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A">
            <w:r>
              <w:rPr>
                <w:rtl w:val="0"/>
              </w:rPr>
              <w:t>Z-score validity</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B">
            <w:r>
              <w:rPr>
                <w:rtl w:val="0"/>
              </w:rPr>
              <w:t>Strong — low variance</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C">
            <w:r>
              <w:rPr>
                <w:rtl w:val="0"/>
              </w:rPr>
              <w:t>Weaker — macro amplifies variance</w:t>
            </w:r>
          </w:p>
        </w:tc>
      </w:tr>
      <w:tr w14:paraId="425C2CFA">
        <w:trPr>
          <w:trHeight w:val="725" w:hRule="atLeast"/>
        </w:trPr>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D">
            <w:r>
              <w:rPr>
                <w:rtl w:val="0"/>
              </w:rPr>
              <w:t>Statutory alignment</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E">
            <w:r>
              <w:rPr>
                <w:rtl w:val="0"/>
              </w:rPr>
              <w:t>One earnings cycle</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2F">
            <w:r>
              <w:rPr>
                <w:rtl w:val="0"/>
              </w:rPr>
              <w:t>Full fiscal year</w:t>
            </w:r>
          </w:p>
        </w:tc>
      </w:tr>
      <w:tr w14:paraId="26B55F8E">
        <w:trPr>
          <w:trHeight w:val="725" w:hRule="atLeast"/>
        </w:trPr>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30">
            <w:r>
              <w:rPr>
                <w:rtl w:val="0"/>
              </w:rPr>
              <w:t>Use in your system</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31">
            <w:r>
              <w:rPr>
                <w:rtl w:val="0"/>
              </w:rPr>
              <w:t>Primary ranking, outlier detection, CEO profile</w:t>
            </w:r>
          </w:p>
        </w:tc>
        <w:tc>
          <w:tcPr>
            <w:tcBorders>
              <w:top w:val="single" w:color="9A9A9A" w:sz="6" w:space="0"/>
              <w:left w:val="single" w:color="9A9A9A" w:sz="6" w:space="0"/>
              <w:bottom w:val="single" w:color="9A9A9A" w:sz="6" w:space="0"/>
              <w:right w:val="single" w:color="9A9A9A" w:sz="6" w:space="0"/>
            </w:tcBorders>
            <w:tcMar>
              <w:top w:w="100" w:type="dxa"/>
              <w:left w:w="100" w:type="dxa"/>
              <w:bottom w:w="100" w:type="dxa"/>
              <w:right w:w="100" w:type="dxa"/>
            </w:tcMar>
            <w:vAlign w:val="top"/>
          </w:tcPr>
          <w:p w14:paraId="00000032">
            <w:r>
              <w:rPr>
                <w:rtl w:val="0"/>
              </w:rPr>
              <w:t>Secondary display, Index Comparison, tenure-adjusted ranking</w:t>
            </w:r>
          </w:p>
        </w:tc>
      </w:tr>
    </w:tbl>
    <w:p w14:paraId="00000033"/>
    <w:p w14:paraId="00000034">
      <w:pPr>
        <w:rPr>
          <w:b/>
          <w:bCs/>
        </w:rPr>
      </w:pPr>
      <w:r>
        <w:rPr>
          <w:b/>
          <w:bCs/>
          <w:rtl w:val="0"/>
        </w:rPr>
        <w:t>Summary</w:t>
      </w:r>
    </w:p>
    <w:p w14:paraId="00000035">
      <w:r>
        <w:rPr>
          <w:rtl w:val="0"/>
        </w:rPr>
        <w:t>90 days is the right primary metric because it is:</w:t>
      </w:r>
    </w:p>
    <w:p w14:paraId="00000036">
      <w:pPr>
        <w:numPr>
          <w:ilvl w:val="0"/>
          <w:numId w:val="3"/>
        </w:numPr>
        <w:spacing w:before="240" w:after="0" w:afterAutospacing="0"/>
        <w:ind w:left="720" w:hanging="360"/>
      </w:pPr>
      <w:r>
        <w:rPr>
          <w:rtl w:val="0"/>
        </w:rPr>
        <w:t>Long enough to capture the market's real reaction (beyond announcement noise)</w:t>
      </w:r>
    </w:p>
    <w:p w14:paraId="00000037">
      <w:pPr>
        <w:numPr>
          <w:ilvl w:val="0"/>
          <w:numId w:val="3"/>
        </w:numPr>
        <w:spacing w:before="0" w:beforeAutospacing="0" w:after="0" w:afterAutospacing="0"/>
        <w:ind w:left="720" w:hanging="360"/>
      </w:pPr>
      <w:r>
        <w:rPr>
          <w:rtl w:val="0"/>
        </w:rPr>
        <w:t>Short enough to remain attributable to the CEO, not to macro or product cycles</w:t>
      </w:r>
    </w:p>
    <w:p w14:paraId="00000038">
      <w:pPr>
        <w:numPr>
          <w:ilvl w:val="0"/>
          <w:numId w:val="3"/>
        </w:numPr>
        <w:spacing w:before="0" w:beforeAutospacing="0" w:after="0" w:afterAutospacing="0"/>
        <w:ind w:left="720" w:hanging="360"/>
      </w:pPr>
      <w:r>
        <w:rPr>
          <w:rtl w:val="0"/>
        </w:rPr>
        <w:t>Aligned with one quarterly reporting cycle — the CEO's first public accountability moment</w:t>
      </w:r>
    </w:p>
    <w:p w14:paraId="00000039">
      <w:pPr>
        <w:numPr>
          <w:ilvl w:val="0"/>
          <w:numId w:val="3"/>
        </w:numPr>
        <w:spacing w:before="0" w:beforeAutospacing="0" w:after="0" w:afterAutospacing="0"/>
        <w:ind w:left="720" w:hanging="360"/>
      </w:pPr>
      <w:r>
        <w:rPr>
          <w:rtl w:val="0"/>
        </w:rPr>
        <w:t>Symmetric with the pre-transition 90-day baseline already computed</w:t>
      </w:r>
    </w:p>
    <w:p w14:paraId="0000003A">
      <w:pPr>
        <w:numPr>
          <w:ilvl w:val="0"/>
          <w:numId w:val="3"/>
        </w:numPr>
        <w:spacing w:before="0" w:beforeAutospacing="0" w:after="240"/>
        <w:ind w:left="720" w:hanging="360"/>
      </w:pPr>
      <w:r>
        <w:rPr>
          <w:rtl w:val="0"/>
        </w:rPr>
        <w:t>Complete for nearly all transitions, including short tenures</w:t>
      </w:r>
    </w:p>
    <w:p w14:paraId="0000003B"/>
    <w:p w14:paraId="0000003C"/>
    <w:p w14:paraId="0000003D"/>
    <w:p w14:paraId="0000003E">
      <w:pPr>
        <w:spacing w:before="240" w:after="240"/>
      </w:pPr>
      <w:r>
        <w:rPr>
          <w:rtl w:val="0"/>
        </w:rPr>
        <w:t>Evaluating both timelines prevents you from getting fooled by short-term stock market hype (at 90 days) or missing early warning signs of execution failure (at 6 months). This dual-window framework maps perfectly to how professional equity research analysts track leadership changes.</w:t>
      </w:r>
    </w:p>
    <w:p w14:paraId="0000003F">
      <w:pPr>
        <w:spacing w:before="240" w:after="240"/>
        <w:rPr>
          <w:sz w:val="30"/>
          <w:szCs w:val="30"/>
        </w:rPr>
      </w:pPr>
      <w:r>
        <w:rPr>
          <w:sz w:val="30"/>
          <w:szCs w:val="30"/>
          <w:rtl w:val="0"/>
        </w:rPr>
        <w:t>The Dual-Window CEO Analysis Framework</w:t>
      </w:r>
    </w:p>
    <w:p w14:paraId="00000040">
      <w:r>
        <w:rPr>
          <w:rtl w:val="0"/>
        </w:rPr>
        <w:t>[Phase 1: 90 Days] ────────────────────────► [Phase 2: 6 Months]</w:t>
      </w:r>
    </w:p>
    <w:p w14:paraId="00000041">
      <w:r>
        <w:rPr>
          <w:rtl w:val="0"/>
        </w:rPr>
        <w:t>Focus: Sentiment &amp; Credibility                Focus: Execution &amp; Fundamentals</w:t>
      </w:r>
    </w:p>
    <w:p w14:paraId="00000042">
      <w:pPr>
        <w:shd w:val="clear" w:fill="F4F6F7"/>
      </w:pPr>
    </w:p>
    <w:p w14:paraId="00000043">
      <w:pPr>
        <w:pStyle w:val="3"/>
        <w:keepNext w:val="0"/>
        <w:keepLines w:val="0"/>
        <w:spacing w:after="80"/>
        <w:rPr>
          <w:sz w:val="30"/>
          <w:szCs w:val="30"/>
        </w:rPr>
      </w:pPr>
      <w:bookmarkStart w:id="0" w:name="_5coypcu3wjyq" w:colFirst="0" w:colLast="0"/>
      <w:bookmarkEnd w:id="0"/>
      <w:r>
        <w:rPr>
          <w:sz w:val="30"/>
          <w:szCs w:val="30"/>
          <w:rtl w:val="0"/>
        </w:rPr>
        <w:t>Phase 1: The 90-Day "Credibility" Check</w:t>
      </w:r>
    </w:p>
    <w:p w14:paraId="00000044">
      <w:pPr>
        <w:spacing w:before="240" w:after="240"/>
      </w:pPr>
      <w:r>
        <w:rPr>
          <w:rtl w:val="0"/>
        </w:rPr>
        <w:t>This phase evaluates how well the new CEO managed the transition narrative and won over Wall Street.</w:t>
      </w:r>
    </w:p>
    <w:p w14:paraId="00000045">
      <w:pPr>
        <w:numPr>
          <w:ilvl w:val="0"/>
          <w:numId w:val="4"/>
        </w:numPr>
        <w:spacing w:before="240" w:after="0" w:afterAutospacing="0"/>
        <w:ind w:left="720" w:hanging="360"/>
      </w:pPr>
      <w:r>
        <w:rPr>
          <w:b/>
          <w:bCs/>
          <w:rtl w:val="0"/>
        </w:rPr>
        <w:t>Primary Metric</w:t>
      </w:r>
      <w:r>
        <w:rPr>
          <w:rtl w:val="0"/>
        </w:rPr>
        <w:t xml:space="preserve">: </w:t>
      </w:r>
      <w:r>
        <w:rPr>
          <w:b/>
          <w:bCs/>
          <w:rtl w:val="0"/>
        </w:rPr>
        <w:t>Abnormal Announcement Return (AAR)</w:t>
      </w:r>
      <w:r>
        <w:rPr>
          <w:rtl w:val="0"/>
        </w:rPr>
        <w:t xml:space="preserve"> over a 5-day window around their first public strategy presentation.</w:t>
      </w:r>
    </w:p>
    <w:p w14:paraId="00000046">
      <w:pPr>
        <w:numPr>
          <w:ilvl w:val="0"/>
          <w:numId w:val="4"/>
        </w:numPr>
        <w:spacing w:before="0" w:beforeAutospacing="0" w:after="0" w:afterAutospacing="0"/>
        <w:ind w:left="720" w:hanging="360"/>
      </w:pPr>
      <w:r>
        <w:rPr>
          <w:b/>
          <w:bCs/>
          <w:rtl w:val="0"/>
        </w:rPr>
        <w:t>Secondary Metric</w:t>
      </w:r>
      <w:r>
        <w:rPr>
          <w:rtl w:val="0"/>
        </w:rPr>
        <w:t xml:space="preserve">: </w:t>
      </w:r>
      <w:r>
        <w:rPr>
          <w:b/>
          <w:bCs/>
          <w:rtl w:val="0"/>
        </w:rPr>
        <w:t>Forward P/E Multiple Expansion/Contraction</w:t>
      </w:r>
      <w:r>
        <w:rPr>
          <w:rtl w:val="0"/>
        </w:rPr>
        <w:t xml:space="preserve"> relative to the sector index (S&amp;P 500 or Russell 2000 peer group).</w:t>
      </w:r>
    </w:p>
    <w:p w14:paraId="00000047">
      <w:pPr>
        <w:numPr>
          <w:ilvl w:val="0"/>
          <w:numId w:val="4"/>
        </w:numPr>
        <w:spacing w:before="0" w:beforeAutospacing="0" w:after="240"/>
        <w:ind w:left="720" w:hanging="360"/>
      </w:pPr>
      <w:r>
        <w:rPr>
          <w:b/>
          <w:bCs/>
          <w:rtl w:val="0"/>
        </w:rPr>
        <w:t>What it proves</w:t>
      </w:r>
      <w:r>
        <w:rPr>
          <w:rtl w:val="0"/>
        </w:rPr>
        <w:t xml:space="preserve">: If the stock gains relative value and the P/E multiple expands, the market is paying a </w:t>
      </w:r>
      <w:r>
        <w:rPr>
          <w:b/>
          <w:bCs/>
          <w:rtl w:val="0"/>
        </w:rPr>
        <w:t>"credibility premium."</w:t>
      </w:r>
      <w:r>
        <w:rPr>
          <w:rtl w:val="0"/>
        </w:rPr>
        <w:t xml:space="preserve"> Investors trust the CEO's </w:t>
      </w:r>
      <w:r>
        <w:rPr>
          <w:i/>
          <w:iCs/>
          <w:rtl w:val="0"/>
        </w:rPr>
        <w:t>promises</w:t>
      </w:r>
      <w:r>
        <w:rPr>
          <w:rtl w:val="0"/>
        </w:rPr>
        <w:t>. If it contracts, the market is pricing in execution risk.</w:t>
      </w:r>
    </w:p>
    <w:p w14:paraId="00000048">
      <w:pPr>
        <w:pStyle w:val="3"/>
        <w:keepNext w:val="0"/>
        <w:keepLines w:val="0"/>
        <w:spacing w:after="80"/>
        <w:rPr>
          <w:sz w:val="30"/>
          <w:szCs w:val="30"/>
        </w:rPr>
      </w:pPr>
      <w:bookmarkStart w:id="1" w:name="_aexga3h28cdq" w:colFirst="0" w:colLast="0"/>
      <w:bookmarkEnd w:id="1"/>
      <w:r>
        <w:rPr>
          <w:sz w:val="30"/>
          <w:szCs w:val="30"/>
          <w:rtl w:val="0"/>
        </w:rPr>
        <w:t>Phase 2: The 6-Month "Execution" Check</w:t>
      </w:r>
    </w:p>
    <w:p w14:paraId="00000049">
      <w:pPr>
        <w:spacing w:before="240" w:after="240"/>
      </w:pPr>
      <w:r>
        <w:rPr>
          <w:rtl w:val="0"/>
        </w:rPr>
        <w:t>This phase evaluates whether the CEO is actually delivering on those promises once the previous regime's operational momentum fades.</w:t>
      </w:r>
    </w:p>
    <w:p w14:paraId="0000004A">
      <w:pPr>
        <w:numPr>
          <w:ilvl w:val="0"/>
          <w:numId w:val="5"/>
        </w:numPr>
        <w:spacing w:before="240" w:after="0" w:afterAutospacing="0"/>
        <w:ind w:left="720" w:hanging="360"/>
      </w:pPr>
      <w:r>
        <w:rPr>
          <w:b/>
          <w:bCs/>
          <w:rtl w:val="0"/>
        </w:rPr>
        <w:t>Primary Metric</w:t>
      </w:r>
      <w:r>
        <w:rPr>
          <w:rtl w:val="0"/>
        </w:rPr>
        <w:t xml:space="preserve">: </w:t>
      </w:r>
      <w:r>
        <w:rPr>
          <w:b/>
          <w:bCs/>
          <w:rtl w:val="0"/>
        </w:rPr>
        <w:t>Relative Total Shareholder Return (Relative TSR)</w:t>
      </w:r>
      <w:r>
        <w:rPr>
          <w:rtl w:val="0"/>
        </w:rPr>
        <w:t xml:space="preserve"> across the full 180 days.</w:t>
      </w:r>
    </w:p>
    <w:p w14:paraId="0000004B">
      <w:pPr>
        <w:numPr>
          <w:ilvl w:val="0"/>
          <w:numId w:val="5"/>
        </w:numPr>
        <w:spacing w:before="0" w:beforeAutospacing="0" w:after="0" w:afterAutospacing="0"/>
        <w:ind w:left="720" w:hanging="360"/>
      </w:pPr>
      <w:r>
        <w:rPr>
          <w:b/>
          <w:bCs/>
          <w:rtl w:val="0"/>
        </w:rPr>
        <w:t>Secondary Metric</w:t>
      </w:r>
      <w:r>
        <w:rPr>
          <w:rtl w:val="0"/>
        </w:rPr>
        <w:t xml:space="preserve">: </w:t>
      </w:r>
      <w:r>
        <w:rPr>
          <w:b/>
          <w:bCs/>
          <w:rtl w:val="0"/>
        </w:rPr>
        <w:t>Consensus Earnings Per Share (EPS) Revision Velocity</w:t>
      </w:r>
      <w:r>
        <w:rPr>
          <w:rtl w:val="0"/>
        </w:rPr>
        <w:t xml:space="preserve"> (the direction Wall Street analysts are moving their future profit models).</w:t>
      </w:r>
    </w:p>
    <w:p w14:paraId="0000004C">
      <w:pPr>
        <w:numPr>
          <w:ilvl w:val="0"/>
          <w:numId w:val="5"/>
        </w:numPr>
        <w:spacing w:before="0" w:beforeAutospacing="0" w:after="240"/>
        <w:ind w:left="720" w:hanging="360"/>
      </w:pPr>
      <w:r>
        <w:rPr>
          <w:b/>
          <w:bCs/>
          <w:rtl w:val="0"/>
        </w:rPr>
        <w:t>What it proves</w:t>
      </w:r>
      <w:r>
        <w:rPr>
          <w:rtl w:val="0"/>
        </w:rPr>
        <w:t xml:space="preserve">: If Relative TSR is positive and EPS revisions are moving upward by day 180, the CEO has successfully translated their narrative into </w:t>
      </w:r>
      <w:r>
        <w:rPr>
          <w:i/>
          <w:iCs/>
          <w:rtl w:val="0"/>
        </w:rPr>
        <w:t>measurable business performance</w:t>
      </w:r>
      <w:r>
        <w:rPr>
          <w:rtl w:val="0"/>
        </w:rPr>
        <w:t>.</w:t>
      </w:r>
    </w:p>
    <w:p w14:paraId="0000004D">
      <w:pPr>
        <w:spacing w:before="240" w:after="240"/>
      </w:pPr>
    </w:p>
    <w:p w14:paraId="0000004E">
      <w:pPr>
        <w:spacing w:before="240" w:after="240"/>
      </w:pPr>
    </w:p>
    <w:p w14:paraId="0000004F">
      <w:pPr>
        <w:spacing w:before="240" w:after="240"/>
      </w:pPr>
    </w:p>
    <w:p w14:paraId="00000050">
      <w:pPr>
        <w:spacing w:before="240" w:after="240"/>
      </w:pPr>
    </w:p>
    <w:p w14:paraId="00000051">
      <w:pPr>
        <w:spacing w:before="240" w:after="240"/>
      </w:pPr>
    </w:p>
    <w:p w14:paraId="00000052">
      <w:pPr>
        <w:spacing w:before="240" w:after="240"/>
      </w:pPr>
    </w:p>
    <w:p w14:paraId="00000053">
      <w:pPr>
        <w:spacing w:before="240" w:after="240"/>
      </w:pPr>
      <w:r>
        <w:rPr>
          <w:rtl w:val="0"/>
        </w:rPr>
        <w:t>When you put both timelines together, the results will fall into one of four distinct performance quadrants:</w:t>
      </w:r>
    </w:p>
    <w:tbl>
      <w:tblPr>
        <w:tblStyle w:val="1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56"/>
        <w:gridCol w:w="2256"/>
        <w:gridCol w:w="2256"/>
        <w:gridCol w:w="2256"/>
      </w:tblGrid>
      <w:tr w14:paraId="4DF35042">
        <w:trPr>
          <w:trHeight w:val="51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4">
            <w:pPr>
              <w:spacing w:line="288" w:lineRule="auto"/>
            </w:pPr>
            <w:r>
              <w:rPr>
                <w:b/>
                <w:bCs/>
                <w:rtl w:val="0"/>
              </w:rPr>
              <w:t>90-Day Metric</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5">
            <w:pPr>
              <w:spacing w:line="288" w:lineRule="auto"/>
            </w:pPr>
            <w:r>
              <w:rPr>
                <w:b/>
                <w:bCs/>
                <w:rtl w:val="0"/>
              </w:rPr>
              <w:t>6-Month Metric</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6">
            <w:pPr>
              <w:spacing w:line="288" w:lineRule="auto"/>
            </w:pPr>
            <w:r>
              <w:rPr>
                <w:b/>
                <w:bCs/>
                <w:rtl w:val="0"/>
              </w:rPr>
              <w:t>Diagnostic Result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7">
            <w:pPr>
              <w:spacing w:line="288" w:lineRule="auto"/>
            </w:pPr>
            <w:r>
              <w:rPr>
                <w:b/>
                <w:bCs/>
                <w:rtl w:val="0"/>
              </w:rPr>
              <w:t>Investor Action</w:t>
            </w:r>
          </w:p>
        </w:tc>
      </w:tr>
      <w:tr w14:paraId="04E16D79">
        <w:trPr>
          <w:trHeight w:val="165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8">
            <w:pPr>
              <w:spacing w:line="288" w:lineRule="auto"/>
            </w:pPr>
            <w:r>
              <w:rPr>
                <w:b/>
                <w:bCs/>
                <w:rtl w:val="0"/>
              </w:rPr>
              <w:t>Positive</w:t>
            </w:r>
            <w:r>
              <w:rPr>
                <w:rtl w:val="0"/>
              </w:rPr>
              <w:t xml:space="preserve"> (High Hype)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9">
            <w:pPr>
              <w:spacing w:line="288" w:lineRule="auto"/>
            </w:pPr>
            <w:r>
              <w:rPr>
                <w:b/>
                <w:bCs/>
                <w:rtl w:val="0"/>
              </w:rPr>
              <w:t>Positive</w:t>
            </w:r>
            <w:r>
              <w:rPr>
                <w:rtl w:val="0"/>
              </w:rPr>
              <w:t xml:space="preserve"> (High Delivery)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A">
            <w:pPr>
              <w:spacing w:line="288" w:lineRule="auto"/>
            </w:pPr>
            <w:r>
              <w:rPr>
                <w:b/>
                <w:bCs/>
                <w:rtl w:val="0"/>
              </w:rPr>
              <w:t>The Real Deal</w:t>
            </w:r>
            <w:r>
              <w:rPr>
                <w:rtl w:val="0"/>
              </w:rPr>
              <w:t>: CEO successfully aligned vision with operational execution.</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B">
            <w:pPr>
              <w:spacing w:line="288" w:lineRule="auto"/>
            </w:pPr>
            <w:r>
              <w:rPr>
                <w:b/>
                <w:bCs/>
                <w:rtl w:val="0"/>
              </w:rPr>
              <w:t>Strong Buy / Hold</w:t>
            </w:r>
          </w:p>
        </w:tc>
      </w:tr>
      <w:tr w14:paraId="5666F43B">
        <w:trPr>
          <w:trHeight w:val="136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C">
            <w:pPr>
              <w:spacing w:line="288" w:lineRule="auto"/>
            </w:pPr>
            <w:r>
              <w:rPr>
                <w:b/>
                <w:bCs/>
                <w:rtl w:val="0"/>
              </w:rPr>
              <w:t>Positive</w:t>
            </w:r>
            <w:r>
              <w:rPr>
                <w:rtl w:val="0"/>
              </w:rPr>
              <w:t xml:space="preserve"> (High Hype)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D">
            <w:pPr>
              <w:spacing w:line="288" w:lineRule="auto"/>
            </w:pPr>
            <w:r>
              <w:rPr>
                <w:b/>
                <w:bCs/>
                <w:rtl w:val="0"/>
              </w:rPr>
              <w:t>Negative</w:t>
            </w:r>
            <w:r>
              <w:rPr>
                <w:rtl w:val="0"/>
              </w:rPr>
              <w:t xml:space="preserve"> (Low Delivery)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E">
            <w:pPr>
              <w:spacing w:line="288" w:lineRule="auto"/>
            </w:pPr>
            <w:r>
              <w:rPr>
                <w:b/>
                <w:bCs/>
                <w:rtl w:val="0"/>
              </w:rPr>
              <w:t>The Honeymoon Over</w:t>
            </w:r>
            <w:r>
              <w:rPr>
                <w:rtl w:val="0"/>
              </w:rPr>
              <w:t>: CEO is great at PR but failing to execute the roadmap.</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5F">
            <w:pPr>
              <w:spacing w:line="288" w:lineRule="auto"/>
            </w:pPr>
            <w:r>
              <w:rPr>
                <w:b/>
                <w:bCs/>
                <w:rtl w:val="0"/>
              </w:rPr>
              <w:t>Sell / Trim Position</w:t>
            </w:r>
          </w:p>
        </w:tc>
      </w:tr>
      <w:tr w14:paraId="7C71CF2C">
        <w:trPr>
          <w:trHeight w:val="165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60">
            <w:pPr>
              <w:spacing w:line="288" w:lineRule="auto"/>
            </w:pPr>
            <w:r>
              <w:rPr>
                <w:b/>
                <w:bCs/>
                <w:rtl w:val="0"/>
              </w:rPr>
              <w:t>Negative</w:t>
            </w:r>
            <w:r>
              <w:rPr>
                <w:rtl w:val="0"/>
              </w:rPr>
              <w:t xml:space="preserve"> (Low Trust)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61">
            <w:pPr>
              <w:spacing w:line="288" w:lineRule="auto"/>
            </w:pPr>
            <w:r>
              <w:rPr>
                <w:b/>
                <w:bCs/>
                <w:rtl w:val="0"/>
              </w:rPr>
              <w:t>Positive</w:t>
            </w:r>
            <w:r>
              <w:rPr>
                <w:rtl w:val="0"/>
              </w:rPr>
              <w:t xml:space="preserve"> (High Delivery)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62">
            <w:pPr>
              <w:spacing w:line="288" w:lineRule="auto"/>
            </w:pPr>
            <w:r>
              <w:rPr>
                <w:b/>
                <w:bCs/>
                <w:rtl w:val="0"/>
              </w:rPr>
              <w:t>The Underdog</w:t>
            </w:r>
            <w:r>
              <w:rPr>
                <w:rtl w:val="0"/>
              </w:rPr>
              <w:t>: Market initially doubted the hire, but operations are turning around.</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63">
            <w:pPr>
              <w:spacing w:line="288" w:lineRule="auto"/>
            </w:pPr>
            <w:r>
              <w:rPr>
                <w:b/>
                <w:bCs/>
                <w:rtl w:val="0"/>
              </w:rPr>
              <w:t>Value Buy Opportunity</w:t>
            </w:r>
          </w:p>
        </w:tc>
      </w:tr>
      <w:tr w14:paraId="134F3631">
        <w:trPr>
          <w:trHeight w:val="136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64">
            <w:pPr>
              <w:spacing w:line="288" w:lineRule="auto"/>
            </w:pPr>
            <w:r>
              <w:rPr>
                <w:b/>
                <w:bCs/>
                <w:rtl w:val="0"/>
              </w:rPr>
              <w:t>Negative</w:t>
            </w:r>
            <w:r>
              <w:rPr>
                <w:rtl w:val="0"/>
              </w:rPr>
              <w:t xml:space="preserve"> (Low Trust)</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65">
            <w:pPr>
              <w:spacing w:line="288" w:lineRule="auto"/>
            </w:pPr>
            <w:r>
              <w:rPr>
                <w:b/>
                <w:bCs/>
                <w:rtl w:val="0"/>
              </w:rPr>
              <w:t>Negative</w:t>
            </w:r>
            <w:r>
              <w:rPr>
                <w:rtl w:val="0"/>
              </w:rPr>
              <w:t xml:space="preserve"> (Low Delivery)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66">
            <w:pPr>
              <w:spacing w:line="288" w:lineRule="auto"/>
            </w:pPr>
            <w:r>
              <w:rPr>
                <w:b/>
                <w:bCs/>
                <w:rtl w:val="0"/>
              </w:rPr>
              <w:t>Strategic Failure</w:t>
            </w:r>
            <w:r>
              <w:rPr>
                <w:rtl w:val="0"/>
              </w:rPr>
              <w:t>: The transition has broken the business model or culture.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67">
            <w:pPr>
              <w:spacing w:line="288" w:lineRule="auto"/>
            </w:pPr>
            <w:r>
              <w:rPr>
                <w:b/>
                <w:bCs/>
                <w:rtl w:val="0"/>
              </w:rPr>
              <w:t>Avoid / Short</w:t>
            </w:r>
          </w:p>
        </w:tc>
      </w:tr>
    </w:tbl>
    <w:p w14:paraId="00000068">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69">
      <w:pPr>
        <w:pStyle w:val="3"/>
        <w:keepNext w:val="0"/>
        <w:keepLines w:val="0"/>
        <w:spacing w:after="80"/>
        <w:rPr>
          <w:sz w:val="30"/>
          <w:szCs w:val="30"/>
        </w:rPr>
      </w:pPr>
      <w:bookmarkStart w:id="2" w:name="_bq6c6gwfzf94" w:colFirst="0" w:colLast="0"/>
      <w:bookmarkEnd w:id="2"/>
      <w:r>
        <w:rPr>
          <w:sz w:val="30"/>
          <w:szCs w:val="30"/>
          <w:rtl w:val="0"/>
        </w:rPr>
        <w:t>Tailoring to Your Index</w:t>
      </w:r>
    </w:p>
    <w:p w14:paraId="0000006A">
      <w:pPr>
        <w:numPr>
          <w:ilvl w:val="0"/>
          <w:numId w:val="6"/>
        </w:numPr>
        <w:spacing w:before="240" w:after="0" w:afterAutospacing="0"/>
        <w:ind w:left="720" w:hanging="360"/>
      </w:pPr>
      <w:r>
        <w:rPr>
          <w:b/>
          <w:bCs/>
          <w:rtl w:val="0"/>
        </w:rPr>
        <w:t>For S&amp;P 500 Companies</w:t>
      </w:r>
      <w:r>
        <w:rPr>
          <w:rtl w:val="0"/>
        </w:rPr>
        <w:t xml:space="preserve">: Weigh the </w:t>
      </w:r>
      <w:r>
        <w:rPr>
          <w:b/>
          <w:bCs/>
          <w:rtl w:val="0"/>
        </w:rPr>
        <w:t>6-month metrics at 70%</w:t>
      </w:r>
      <w:r>
        <w:rPr>
          <w:rtl w:val="0"/>
        </w:rPr>
        <w:t xml:space="preserve"> of your final grade. Large-cap stocks require deep institutional capital reallocation, which takes time to show up in the stock price.</w:t>
      </w:r>
    </w:p>
    <w:p w14:paraId="0000006B">
      <w:pPr>
        <w:numPr>
          <w:ilvl w:val="0"/>
          <w:numId w:val="6"/>
        </w:numPr>
        <w:spacing w:before="0" w:beforeAutospacing="0" w:after="240"/>
        <w:ind w:left="720" w:hanging="360"/>
      </w:pPr>
      <w:r>
        <w:rPr>
          <w:b/>
          <w:bCs/>
          <w:rtl w:val="0"/>
        </w:rPr>
        <w:t>For Russell 2000 Companies</w:t>
      </w:r>
      <w:r>
        <w:rPr>
          <w:rtl w:val="0"/>
        </w:rPr>
        <w:t xml:space="preserve">: Weigh the </w:t>
      </w:r>
      <w:r>
        <w:rPr>
          <w:b/>
          <w:bCs/>
          <w:rtl w:val="0"/>
        </w:rPr>
        <w:t>90-day metrics at 50%</w:t>
      </w:r>
      <w:r>
        <w:rPr>
          <w:rtl w:val="0"/>
        </w:rPr>
        <w:t xml:space="preserve">. Small-cap stocks are highly sensitive to sudden leadership changes. Watch the </w:t>
      </w:r>
      <w:r>
        <w:rPr>
          <w:b/>
          <w:bCs/>
          <w:rtl w:val="0"/>
        </w:rPr>
        <w:t>Direct Short Interest Velocity</w:t>
      </w:r>
      <w:r>
        <w:rPr>
          <w:rtl w:val="0"/>
        </w:rPr>
        <w:t xml:space="preserve"> closely in the 90-day window to see if short-sellers are fleeing or piling in.</w:t>
      </w:r>
    </w:p>
    <w:p w14:paraId="0000006C">
      <w:pPr>
        <w:spacing w:before="240" w:after="240"/>
      </w:pPr>
    </w:p>
    <w:p w14:paraId="0000006D">
      <w:pPr>
        <w:spacing w:before="240" w:after="240"/>
      </w:pPr>
    </w:p>
    <w:p w14:paraId="0000006E"/>
    <w:p w14:paraId="0000006F"/>
    <w:p w14:paraId="00000070"/>
    <w:p w14:paraId="00000071"/>
    <w:p w14:paraId="00000072"/>
    <w:p w14:paraId="00000073">
      <w:r>
        <w:rPr>
          <w:rtl w:val="0"/>
        </w:rPr>
        <w:t xml:space="preserve">Expanding your </w:t>
      </w:r>
      <w:r>
        <w:rPr>
          <w:b/>
          <w:bCs/>
          <w:rtl w:val="0"/>
        </w:rPr>
        <w:t>CEO Performance Analysis project</w:t>
      </w:r>
      <w:r>
        <w:rPr>
          <w:rtl w:val="0"/>
        </w:rPr>
        <w:t xml:space="preserve"> beyond raw stock price data.</w:t>
      </w:r>
    </w:p>
    <w:p w14:paraId="00000074">
      <w:r>
        <w:rPr>
          <w:rtl w:val="0"/>
        </w:rPr>
        <w:t xml:space="preserve">To isolate actual </w:t>
      </w:r>
      <w:r>
        <w:rPr>
          <w:b/>
          <w:bCs/>
          <w:rtl w:val="0"/>
        </w:rPr>
        <w:t>CEO performance</w:t>
      </w:r>
      <w:r>
        <w:rPr>
          <w:rtl w:val="0"/>
        </w:rPr>
        <w:t>, you need to look at how they manage internal operations, capital allocation, corporate culture, and customer loyalty.</w:t>
      </w:r>
    </w:p>
    <w:p w14:paraId="00000075"/>
    <w:p w14:paraId="00000076">
      <w:pPr>
        <w:spacing w:after="40"/>
        <w:rPr>
          <w:b/>
          <w:bCs/>
        </w:rPr>
      </w:pPr>
      <w:r>
        <w:rPr>
          <w:b/>
          <w:bCs/>
          <w:rtl w:val="0"/>
        </w:rPr>
        <w:t>1. Operational Efficiency &amp; Financial Health</w:t>
      </w:r>
    </w:p>
    <w:p w14:paraId="00000077">
      <w:r>
        <w:rPr>
          <w:rtl w:val="0"/>
        </w:rPr>
        <w:t xml:space="preserve">Stock prices reflect market </w:t>
      </w:r>
      <w:r>
        <w:rPr>
          <w:i/>
          <w:iCs/>
          <w:rtl w:val="0"/>
        </w:rPr>
        <w:t>expectations</w:t>
      </w:r>
      <w:r>
        <w:rPr>
          <w:rtl w:val="0"/>
        </w:rPr>
        <w:t xml:space="preserve">, but these metrics reflect </w:t>
      </w:r>
      <w:r>
        <w:rPr>
          <w:i/>
          <w:iCs/>
          <w:rtl w:val="0"/>
        </w:rPr>
        <w:t>real execution</w:t>
      </w:r>
      <w:r>
        <w:rPr>
          <w:rtl w:val="0"/>
        </w:rPr>
        <w:t>. An incoming CEO’s primary job is often optimizing the engine.</w:t>
      </w:r>
    </w:p>
    <w:p w14:paraId="00000078">
      <w:pPr>
        <w:numPr>
          <w:ilvl w:val="0"/>
          <w:numId w:val="7"/>
        </w:numPr>
        <w:spacing w:before="240" w:after="0" w:afterAutospacing="0"/>
        <w:ind w:left="720" w:hanging="360"/>
      </w:pPr>
      <w:r>
        <w:rPr>
          <w:b/>
          <w:bCs/>
          <w:rtl w:val="0"/>
        </w:rPr>
        <w:t>Revenue per Employee:</w:t>
      </w:r>
      <w:r>
        <w:rPr>
          <w:rtl w:val="0"/>
        </w:rPr>
        <w:t xml:space="preserve"> Indicates organizational productivity. If a new CEO streamlines operations or introduces automation, this number should rise.</w:t>
      </w:r>
      <w:r>
        <w:rPr>
          <w:rtl w:val="0"/>
        </w:rPr>
        <w:br w:type="textWrapping"/>
      </w:r>
      <w:r>
        <w:rPr>
          <w:rtl w:val="0"/>
        </w:rPr>
        <w:t>{Revenue per Employee} = {Total Revenue}}{\text{Total FTE Employees}}</w:t>
      </w:r>
      <w:r>
        <w:rPr>
          <w:rtl w:val="0"/>
        </w:rPr>
        <w:br w:type="textWrapping"/>
      </w:r>
    </w:p>
    <w:p w14:paraId="00000079">
      <w:pPr>
        <w:numPr>
          <w:ilvl w:val="0"/>
          <w:numId w:val="7"/>
        </w:numPr>
        <w:spacing w:before="0" w:beforeAutospacing="0" w:after="0" w:afterAutospacing="0"/>
        <w:ind w:left="720" w:hanging="360"/>
      </w:pPr>
      <w:r>
        <w:rPr>
          <w:b/>
          <w:bCs/>
          <w:rtl w:val="0"/>
        </w:rPr>
        <w:t>Gross &amp; Net Profit Margin Expansion:</w:t>
      </w:r>
      <w:r>
        <w:rPr>
          <w:rtl w:val="0"/>
        </w:rPr>
        <w:t xml:space="preserve"> Shows if the CEO is successfully managing costs of goods sold (COGS) or commanding better pricing power. </w:t>
      </w:r>
    </w:p>
    <w:p w14:paraId="0000007A">
      <w:pPr>
        <w:numPr>
          <w:ilvl w:val="0"/>
          <w:numId w:val="7"/>
        </w:numPr>
        <w:spacing w:before="0" w:beforeAutospacing="0" w:after="240"/>
        <w:ind w:left="720" w:hanging="360"/>
      </w:pPr>
      <w:r>
        <w:rPr>
          <w:b/>
          <w:bCs/>
          <w:rtl w:val="0"/>
        </w:rPr>
        <w:t>Free Cash Flow (FCF) Growth:</w:t>
      </w:r>
      <w:r>
        <w:rPr>
          <w:rtl w:val="0"/>
        </w:rPr>
        <w:t xml:space="preserve"> Stock prices can be manipulated via share buybacks, but cash flow is harder to fake. It shows how much actual cash the CEO is generating to reinvest or pay down debt.</w:t>
      </w:r>
    </w:p>
    <w:p w14:paraId="0000007B">
      <w:pPr>
        <w:ind w:left="0" w:firstLine="720"/>
        <w:rPr>
          <w:b/>
          <w:bCs/>
        </w:rPr>
      </w:pPr>
      <w:r>
        <w:rPr>
          <w:b/>
          <w:bCs/>
          <w:rtl w:val="0"/>
        </w:rPr>
        <w:t>Data Sources for Each Company:</w:t>
      </w:r>
    </w:p>
    <w:p w14:paraId="0000007C">
      <w:pPr>
        <w:numPr>
          <w:ilvl w:val="0"/>
          <w:numId w:val="8"/>
        </w:numPr>
        <w:spacing w:before="240" w:after="0" w:afterAutospacing="0"/>
        <w:ind w:left="720" w:hanging="360"/>
      </w:pPr>
      <w:r>
        <w:rPr>
          <w:b/>
          <w:bCs/>
          <w:rtl w:val="0"/>
        </w:rPr>
        <w:t>SEC Edgar API (US Companies):</w:t>
      </w:r>
      <w:r>
        <w:rPr>
          <w:rtl w:val="0"/>
        </w:rPr>
        <w:t xml:space="preserve"> Pull the </w:t>
      </w:r>
      <w:r>
        <w:rPr>
          <w:b/>
          <w:bCs/>
          <w:rtl w:val="0"/>
        </w:rPr>
        <w:t>10-K (Annual)</w:t>
      </w:r>
      <w:r>
        <w:rPr>
          <w:rtl w:val="0"/>
        </w:rPr>
        <w:t xml:space="preserve"> and </w:t>
      </w:r>
      <w:r>
        <w:rPr>
          <w:b/>
          <w:bCs/>
          <w:rtl w:val="0"/>
        </w:rPr>
        <w:t>10-Q (Quarterly)</w:t>
      </w:r>
      <w:r>
        <w:rPr>
          <w:rtl w:val="0"/>
        </w:rPr>
        <w:t xml:space="preserve"> filings. Specifically, extract the </w:t>
      </w:r>
      <w:r>
        <w:rPr>
          <w:i/>
          <w:iCs/>
          <w:rtl w:val="0"/>
        </w:rPr>
        <w:t>Income Statement</w:t>
      </w:r>
      <w:r>
        <w:rPr>
          <w:rtl w:val="0"/>
        </w:rPr>
        <w:t xml:space="preserve"> (for Revenue and Net Income), </w:t>
      </w:r>
      <w:r>
        <w:rPr>
          <w:i/>
          <w:iCs/>
          <w:rtl w:val="0"/>
        </w:rPr>
        <w:t>Cash Flow Statement</w:t>
      </w:r>
      <w:r>
        <w:rPr>
          <w:rtl w:val="0"/>
        </w:rPr>
        <w:t xml:space="preserve"> (for Operating Cash Flow and CapEx to calculate FCF), and the </w:t>
      </w:r>
      <w:r>
        <w:rPr>
          <w:i/>
          <w:iCs/>
          <w:rtl w:val="0"/>
        </w:rPr>
        <w:t>Item 1</w:t>
      </w:r>
      <w:r>
        <w:rPr>
          <w:rtl w:val="0"/>
        </w:rPr>
        <w:t xml:space="preserve"> or </w:t>
      </w:r>
      <w:r>
        <w:rPr>
          <w:i/>
          <w:iCs/>
          <w:rtl w:val="0"/>
        </w:rPr>
        <w:t>Item 7</w:t>
      </w:r>
      <w:r>
        <w:rPr>
          <w:rtl w:val="0"/>
        </w:rPr>
        <w:t xml:space="preserve"> headers where total employee headcount is officially reported.</w:t>
      </w:r>
    </w:p>
    <w:p w14:paraId="0000007D">
      <w:pPr>
        <w:numPr>
          <w:ilvl w:val="0"/>
          <w:numId w:val="8"/>
        </w:numPr>
        <w:spacing w:before="0" w:beforeAutospacing="0" w:after="240"/>
        <w:ind w:left="720" w:hanging="360"/>
      </w:pPr>
      <w:r>
        <w:rPr>
          <w:b/>
          <w:bCs/>
          <w:rtl w:val="0"/>
        </w:rPr>
        <w:t>Financial Data APIs:</w:t>
      </w:r>
      <w:r>
        <w:rPr>
          <w:rtl w:val="0"/>
        </w:rPr>
        <w:t xml:space="preserve"> If you want structured JSON rather than parsing raw text filings, use services like </w:t>
      </w:r>
      <w:r>
        <w:rPr>
          <w:b/>
          <w:bCs/>
          <w:rtl w:val="0"/>
        </w:rPr>
        <w:t>Alpha Vantage</w:t>
      </w:r>
      <w:r>
        <w:rPr>
          <w:rtl w:val="0"/>
        </w:rPr>
        <w:t xml:space="preserve">, </w:t>
      </w:r>
      <w:r>
        <w:rPr>
          <w:b/>
          <w:bCs/>
          <w:rtl w:val="0"/>
        </w:rPr>
        <w:t>Financial Modeling Prep</w:t>
      </w:r>
      <w:r>
        <w:rPr>
          <w:rtl w:val="0"/>
        </w:rPr>
        <w:t xml:space="preserve">, or </w:t>
      </w:r>
      <w:r>
        <w:rPr>
          <w:b/>
          <w:bCs/>
          <w:rtl w:val="0"/>
        </w:rPr>
        <w:t>Yahoo Finance API</w:t>
      </w:r>
      <w:r>
        <w:rPr>
          <w:rtl w:val="0"/>
        </w:rPr>
        <w:t xml:space="preserve"> to query quarterly historical margins and employee counts around the CEO transition dates.</w:t>
      </w:r>
    </w:p>
    <w:p w14:paraId="0000007E">
      <w:pPr>
        <w:spacing w:after="40"/>
        <w:rPr>
          <w:b/>
          <w:bCs/>
        </w:rPr>
      </w:pPr>
      <w:r>
        <w:rPr>
          <w:b/>
          <w:bCs/>
          <w:rtl w:val="0"/>
        </w:rPr>
        <w:t>2. Strategic Capital Allocation</w:t>
      </w:r>
    </w:p>
    <w:p w14:paraId="0000007F">
      <w:r>
        <w:rPr>
          <w:rtl w:val="0"/>
        </w:rPr>
        <w:t>How does the CEO spend the company's money? This tells you if they are building for long-term growth or just chasing short-term metrics.</w:t>
      </w:r>
    </w:p>
    <w:p w14:paraId="00000080">
      <w:pPr>
        <w:numPr>
          <w:ilvl w:val="0"/>
          <w:numId w:val="9"/>
        </w:numPr>
        <w:spacing w:before="240" w:after="0" w:afterAutospacing="0"/>
        <w:ind w:left="720" w:hanging="360"/>
      </w:pPr>
      <w:r>
        <w:rPr>
          <w:b/>
          <w:bCs/>
          <w:rtl w:val="0"/>
        </w:rPr>
        <w:t>Return on Invested Capital (ROIC):</w:t>
      </w:r>
      <w:r>
        <w:rPr>
          <w:rtl w:val="0"/>
        </w:rPr>
        <w:t xml:space="preserve"> The ultimate measure of a CEO's capital allocation skill. It measures how efficiently the CEO turns invested dollars (equity + debt) into profit.</w:t>
      </w:r>
    </w:p>
    <w:p w14:paraId="00000081">
      <w:pPr>
        <w:numPr>
          <w:ilvl w:val="0"/>
          <w:numId w:val="9"/>
        </w:numPr>
        <w:spacing w:before="0" w:beforeAutospacing="0" w:after="0" w:afterAutospacing="0"/>
        <w:ind w:left="720" w:hanging="360"/>
      </w:pPr>
      <w:r>
        <w:rPr>
          <w:b/>
          <w:bCs/>
          <w:rtl w:val="0"/>
        </w:rPr>
        <w:t>R&amp;D Reinvestment Rate:</w:t>
      </w:r>
      <w:r>
        <w:rPr>
          <w:rtl w:val="0"/>
        </w:rPr>
        <w:t xml:space="preserve"> Is the new CEO cutting research to artificially boost this quarter’s earnings, or are they investing heavily in the future?</w:t>
      </w:r>
    </w:p>
    <w:p w14:paraId="00000082">
      <w:pPr>
        <w:numPr>
          <w:ilvl w:val="0"/>
          <w:numId w:val="9"/>
        </w:numPr>
        <w:spacing w:before="0" w:beforeAutospacing="0" w:after="240"/>
        <w:ind w:left="720" w:hanging="360"/>
      </w:pPr>
      <w:r>
        <w:rPr>
          <w:b/>
          <w:bCs/>
          <w:rtl w:val="0"/>
        </w:rPr>
        <w:t>M&amp;A Track Record:</w:t>
      </w:r>
      <w:r>
        <w:rPr>
          <w:rtl w:val="0"/>
        </w:rPr>
        <w:t xml:space="preserve"> Track the write-downs or goodwill impairments in the years following a major acquisition initiated by the CEO.</w:t>
      </w:r>
    </w:p>
    <w:p w14:paraId="00000083">
      <w:pPr>
        <w:spacing w:before="240" w:after="240"/>
        <w:ind w:left="720" w:firstLine="0"/>
        <w:rPr>
          <w:b/>
          <w:bCs/>
        </w:rPr>
      </w:pPr>
      <w:r>
        <w:rPr>
          <w:b/>
          <w:bCs/>
          <w:rtl w:val="0"/>
        </w:rPr>
        <w:t>Data Sources for Each Company:</w:t>
      </w:r>
    </w:p>
    <w:p w14:paraId="00000084">
      <w:pPr>
        <w:numPr>
          <w:ilvl w:val="0"/>
          <w:numId w:val="10"/>
        </w:numPr>
        <w:spacing w:before="240" w:after="240"/>
        <w:ind w:left="720" w:hanging="360"/>
      </w:pPr>
      <w:r>
        <w:rPr>
          <w:b/>
          <w:bCs/>
          <w:rtl w:val="0"/>
        </w:rPr>
        <w:t>Calculated from 10-K Filings:</w:t>
      </w:r>
      <w:r>
        <w:rPr>
          <w:rtl w:val="0"/>
        </w:rPr>
        <w:t xml:space="preserve"> You can compute ROIC using Operating Income (EBIT), Tax Rate, and Total Assets/Current Liabilities from the Balance Sheet.</w:t>
      </w:r>
    </w:p>
    <w:p w14:paraId="00000085">
      <w:pPr>
        <w:spacing w:after="40"/>
        <w:rPr>
          <w:b/>
          <w:bCs/>
        </w:rPr>
      </w:pPr>
    </w:p>
    <w:p w14:paraId="00000086">
      <w:pPr>
        <w:spacing w:after="40"/>
        <w:rPr>
          <w:b/>
          <w:bCs/>
        </w:rPr>
      </w:pPr>
    </w:p>
    <w:p w14:paraId="00000087">
      <w:pPr>
        <w:spacing w:after="40"/>
        <w:rPr>
          <w:b/>
          <w:bCs/>
        </w:rPr>
      </w:pPr>
      <w:r>
        <w:rPr>
          <w:b/>
          <w:bCs/>
          <w:rtl w:val="0"/>
        </w:rPr>
        <w:t>3. Organizational Health &amp; Corporate Culture</w:t>
      </w:r>
    </w:p>
    <w:p w14:paraId="00000088">
      <w:r>
        <w:rPr>
          <w:rtl w:val="0"/>
        </w:rPr>
        <w:t>A company cannot perform well long-term if the talent pool is draining. A change in CEO often triggers massive cultural shifts.</w:t>
      </w:r>
    </w:p>
    <w:p w14:paraId="00000089">
      <w:pPr>
        <w:numPr>
          <w:ilvl w:val="0"/>
          <w:numId w:val="11"/>
        </w:numPr>
        <w:spacing w:before="240" w:after="0" w:afterAutospacing="0"/>
        <w:ind w:left="720" w:hanging="360"/>
      </w:pPr>
      <w:r>
        <w:rPr>
          <w:b/>
          <w:bCs/>
          <w:rtl w:val="0"/>
        </w:rPr>
        <w:t>Glassdoor/Indeed Rating Trends:</w:t>
      </w:r>
      <w:r>
        <w:rPr>
          <w:rtl w:val="0"/>
        </w:rPr>
        <w:t xml:space="preserve"> Track changes in "CEO Approval Rating", "Recommend to a Friend", and "Culture &amp; Values" scores.</w:t>
      </w:r>
    </w:p>
    <w:p w14:paraId="0000008A">
      <w:pPr>
        <w:numPr>
          <w:ilvl w:val="0"/>
          <w:numId w:val="11"/>
        </w:numPr>
        <w:spacing w:before="0" w:beforeAutospacing="0" w:after="0" w:afterAutospacing="0"/>
        <w:ind w:left="720" w:hanging="360"/>
      </w:pPr>
      <w:r>
        <w:rPr>
          <w:b/>
          <w:bCs/>
          <w:rtl w:val="0"/>
        </w:rPr>
        <w:t>Employee Sentiment Drift:</w:t>
      </w:r>
      <w:r>
        <w:rPr>
          <w:rtl w:val="0"/>
        </w:rPr>
        <w:t xml:space="preserve"> Are employees complaining about "bureaucracy", "micro-management", or "lack of vision" post-transition?</w:t>
      </w:r>
    </w:p>
    <w:p w14:paraId="0000008B">
      <w:pPr>
        <w:numPr>
          <w:ilvl w:val="0"/>
          <w:numId w:val="11"/>
        </w:numPr>
        <w:spacing w:before="0" w:beforeAutospacing="0" w:after="240"/>
        <w:ind w:left="720" w:hanging="360"/>
      </w:pPr>
      <w:r>
        <w:rPr>
          <w:b/>
          <w:bCs/>
          <w:rtl w:val="0"/>
        </w:rPr>
        <w:t>Executive Turnover Rate:</w:t>
      </w:r>
      <w:r>
        <w:rPr>
          <w:rtl w:val="0"/>
        </w:rPr>
        <w:t xml:space="preserve"> How many VPs and C-suite executives leave within the first 12–18 months of the new CEO taking over? (A high churn rate can mean cultural friction or a necessary house-cleaning).</w:t>
      </w:r>
    </w:p>
    <w:p w14:paraId="0000008C">
      <w:pPr>
        <w:ind w:firstLine="720"/>
        <w:rPr>
          <w:b/>
          <w:bCs/>
        </w:rPr>
      </w:pPr>
      <w:r>
        <w:rPr>
          <w:b/>
          <w:bCs/>
          <w:rtl w:val="0"/>
        </w:rPr>
        <w:t>Data Sources for Each Company:</w:t>
      </w:r>
    </w:p>
    <w:p w14:paraId="0000008D">
      <w:pPr>
        <w:numPr>
          <w:ilvl w:val="0"/>
          <w:numId w:val="12"/>
        </w:numPr>
        <w:spacing w:before="240" w:after="0" w:afterAutospacing="0"/>
        <w:ind w:left="720" w:hanging="360"/>
      </w:pPr>
      <w:r>
        <w:rPr>
          <w:b/>
          <w:bCs/>
          <w:rtl w:val="0"/>
        </w:rPr>
        <w:t>Glassdoor &amp; Indeed:</w:t>
      </w:r>
      <w:r>
        <w:rPr>
          <w:rtl w:val="0"/>
        </w:rPr>
        <w:t xml:space="preserve"> Build a web scraper targeting the specific company's review pages. Group the reviews into "Before CEO Transition" and "After CEO Transition" buckets. Use time-series analysis to plot the 3-month moving average of the CEO approval percentage.</w:t>
      </w:r>
    </w:p>
    <w:p w14:paraId="0000008E">
      <w:pPr>
        <w:numPr>
          <w:ilvl w:val="0"/>
          <w:numId w:val="12"/>
        </w:numPr>
        <w:spacing w:before="0" w:beforeAutospacing="0" w:after="240"/>
        <w:ind w:left="720" w:hanging="360"/>
      </w:pPr>
      <w:r>
        <w:rPr>
          <w:b/>
          <w:bCs/>
          <w:rtl w:val="0"/>
        </w:rPr>
        <w:t>LinkedIn Company Premium Insights / LeadGen APIs (like ZoomInfo or Apollo):</w:t>
      </w:r>
      <w:r>
        <w:rPr>
          <w:rtl w:val="0"/>
        </w:rPr>
        <w:t xml:space="preserve"> Track executive department headcount and job tenure data over time to calculate    management churn rates.</w:t>
      </w:r>
    </w:p>
    <w:p w14:paraId="0000008F">
      <w:pPr>
        <w:spacing w:after="40"/>
        <w:rPr>
          <w:b/>
          <w:bCs/>
        </w:rPr>
      </w:pPr>
      <w:r>
        <w:rPr>
          <w:b/>
          <w:bCs/>
          <w:rtl w:val="0"/>
        </w:rPr>
        <w:t>4. Customer Loyalty &amp; Brand Equity</w:t>
      </w:r>
    </w:p>
    <w:p w14:paraId="00000090">
      <w:r>
        <w:rPr>
          <w:rtl w:val="0"/>
        </w:rPr>
        <w:t>If a CEO cuts product quality to save money, financial metrics might look great for 2-3 quarters, but customer metrics will crater. This is a leading indicator of future financial performance.</w:t>
      </w:r>
    </w:p>
    <w:p w14:paraId="00000091">
      <w:pPr>
        <w:numPr>
          <w:ilvl w:val="0"/>
          <w:numId w:val="13"/>
        </w:numPr>
        <w:spacing w:before="240" w:after="0" w:afterAutospacing="0"/>
        <w:ind w:left="720" w:hanging="360"/>
      </w:pPr>
      <w:r>
        <w:rPr>
          <w:b/>
          <w:bCs/>
          <w:rtl w:val="0"/>
        </w:rPr>
        <w:t>Net Promoter Score (NPS) &amp; CSAT:</w:t>
      </w:r>
      <w:r>
        <w:rPr>
          <w:rtl w:val="0"/>
        </w:rPr>
        <w:t xml:space="preserve"> Measures customer loyalty and product satisfaction. </w:t>
      </w:r>
    </w:p>
    <w:p w14:paraId="00000092">
      <w:pPr>
        <w:numPr>
          <w:ilvl w:val="0"/>
          <w:numId w:val="13"/>
        </w:numPr>
        <w:spacing w:before="0" w:beforeAutospacing="0" w:after="0" w:afterAutospacing="0"/>
        <w:ind w:left="720" w:hanging="360"/>
      </w:pPr>
      <w:r>
        <w:rPr>
          <w:b/>
          <w:bCs/>
          <w:rtl w:val="0"/>
        </w:rPr>
        <w:t>Customer Churn/Retention Rates:</w:t>
      </w:r>
      <w:r>
        <w:rPr>
          <w:rtl w:val="0"/>
        </w:rPr>
        <w:t xml:space="preserve"> Crucial for SaaS, telecom, and subscription-based companies. </w:t>
      </w:r>
    </w:p>
    <w:p w14:paraId="00000093">
      <w:pPr>
        <w:numPr>
          <w:ilvl w:val="0"/>
          <w:numId w:val="13"/>
        </w:numPr>
        <w:spacing w:before="0" w:beforeAutospacing="0" w:after="240"/>
        <w:ind w:left="720" w:hanging="360"/>
      </w:pPr>
      <w:r>
        <w:rPr>
          <w:b/>
          <w:bCs/>
          <w:rtl w:val="0"/>
        </w:rPr>
        <w:t>Web/App Traffic Momentum:</w:t>
      </w:r>
      <w:r>
        <w:rPr>
          <w:rtl w:val="0"/>
        </w:rPr>
        <w:t xml:space="preserve"> For digital-first companies, traffic drops or spikes can show product relevance shifts immediately after a leadership pivot.</w:t>
      </w:r>
    </w:p>
    <w:p w14:paraId="00000094">
      <w:pPr>
        <w:ind w:firstLine="720"/>
        <w:rPr>
          <w:b/>
          <w:bCs/>
        </w:rPr>
      </w:pPr>
      <w:r>
        <w:rPr>
          <w:b/>
          <w:bCs/>
          <w:rtl w:val="0"/>
        </w:rPr>
        <w:t>Data Sources for Each Company:</w:t>
      </w:r>
    </w:p>
    <w:p w14:paraId="00000095">
      <w:pPr>
        <w:numPr>
          <w:ilvl w:val="0"/>
          <w:numId w:val="14"/>
        </w:numPr>
        <w:spacing w:before="240" w:after="0" w:afterAutospacing="0"/>
        <w:ind w:left="720" w:hanging="360"/>
      </w:pPr>
      <w:r>
        <w:rPr>
          <w:b/>
          <w:bCs/>
          <w:rtl w:val="0"/>
        </w:rPr>
        <w:t>SimilarWeb / Semrush APIs:</w:t>
      </w:r>
      <w:r>
        <w:rPr>
          <w:rtl w:val="0"/>
        </w:rPr>
        <w:t xml:space="preserve"> Excellent for tracking digital footprint and traffic momentum trends during the transition periods.</w:t>
      </w:r>
    </w:p>
    <w:p w14:paraId="00000096">
      <w:pPr>
        <w:numPr>
          <w:ilvl w:val="0"/>
          <w:numId w:val="14"/>
        </w:numPr>
        <w:spacing w:before="0" w:beforeAutospacing="0" w:after="240"/>
        <w:ind w:left="720" w:hanging="360"/>
      </w:pPr>
      <w:r>
        <w:rPr>
          <w:b/>
          <w:bCs/>
          <w:rtl w:val="0"/>
        </w:rPr>
        <w:t>Customer Review Aggregators:</w:t>
      </w:r>
      <w:r>
        <w:rPr>
          <w:rtl w:val="0"/>
        </w:rPr>
        <w:t xml:space="preserve"> Scrape sites like </w:t>
      </w:r>
      <w:r>
        <w:rPr>
          <w:b/>
          <w:bCs/>
          <w:rtl w:val="0"/>
        </w:rPr>
        <w:t>G2 / Capterra</w:t>
      </w:r>
      <w:r>
        <w:rPr>
          <w:rtl w:val="0"/>
        </w:rPr>
        <w:t xml:space="preserve"> (for B2B software companies) or </w:t>
      </w:r>
      <w:r>
        <w:rPr>
          <w:b/>
          <w:bCs/>
          <w:rtl w:val="0"/>
        </w:rPr>
        <w:t>Trustpilot / ConsumerAffairs</w:t>
      </w:r>
      <w:r>
        <w:rPr>
          <w:rtl w:val="0"/>
        </w:rPr>
        <w:t xml:space="preserve"> (for B2C companies). Track the average star rating before and after the CEO transition.</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C0C404C1-3BF2-C4F7-31A9-0E6AE5A84F8C}"/>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72DA5"/>
    <w:multiLevelType w:val="multilevel"/>
    <w:tmpl w:val="BFA72D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7FE5099"/>
    <w:multiLevelType w:val="multilevel"/>
    <w:tmpl w:val="C7FE50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DFF7D54A"/>
    <w:multiLevelType w:val="multilevel"/>
    <w:tmpl w:val="DFF7D5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EDB2B0A7"/>
    <w:multiLevelType w:val="multilevel"/>
    <w:tmpl w:val="EDB2B0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EDDB7300"/>
    <w:multiLevelType w:val="multilevel"/>
    <w:tmpl w:val="EDDB73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3DEC3D3"/>
    <w:multiLevelType w:val="multilevel"/>
    <w:tmpl w:val="F3DEC3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F66ADB63"/>
    <w:multiLevelType w:val="multilevel"/>
    <w:tmpl w:val="F66ADB6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F75B9D67"/>
    <w:multiLevelType w:val="multilevel"/>
    <w:tmpl w:val="F75B9D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AFF65A1"/>
    <w:multiLevelType w:val="multilevel"/>
    <w:tmpl w:val="FAFF65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BDE9B45"/>
    <w:multiLevelType w:val="multilevel"/>
    <w:tmpl w:val="FBDE9B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FBFFDF3E"/>
    <w:multiLevelType w:val="multilevel"/>
    <w:tmpl w:val="FBFFDF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F5E662C"/>
    <w:multiLevelType w:val="multilevel"/>
    <w:tmpl w:val="FF5E66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FFD2AB2"/>
    <w:multiLevelType w:val="multilevel"/>
    <w:tmpl w:val="FFFD2A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3784B254"/>
    <w:multiLevelType w:val="multilevel"/>
    <w:tmpl w:val="3784B2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10"/>
  </w:num>
  <w:num w:numId="3">
    <w:abstractNumId w:val="6"/>
  </w:num>
  <w:num w:numId="4">
    <w:abstractNumId w:val="4"/>
  </w:num>
  <w:num w:numId="5">
    <w:abstractNumId w:val="13"/>
  </w:num>
  <w:num w:numId="6">
    <w:abstractNumId w:val="2"/>
  </w:num>
  <w:num w:numId="7">
    <w:abstractNumId w:val="11"/>
  </w:num>
  <w:num w:numId="8">
    <w:abstractNumId w:val="8"/>
  </w:num>
  <w:num w:numId="9">
    <w:abstractNumId w:val="5"/>
  </w:num>
  <w:num w:numId="10">
    <w:abstractNumId w:val="3"/>
  </w:num>
  <w:num w:numId="11">
    <w:abstractNumId w:val="0"/>
  </w:num>
  <w:num w:numId="12">
    <w:abstractNumId w:val="12"/>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DFBEC0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style>
  <w:style w:type="table" w:customStyle="1" w:styleId="14">
    <w:name w:val="_Style 11"/>
    <w:basedOn w:val="12"/>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1771</Words>
  <Characters>10064</Characters>
  <TotalTime>0</TotalTime>
  <ScaleCrop>false</ScaleCrop>
  <LinksUpToDate>false</LinksUpToDate>
  <CharactersWithSpaces>11730</CharactersWithSpaces>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2026-05-21T12:11:13Z</dcterms:created>
  <dc:creator>Data</dc:creator>
  <cp:lastModifiedBy>Jyothirmai Chandolu</cp:lastModifiedBy>
  <dcterms:modified xsi:type="dcterms:W3CDTF">2026-05-21T12:11:53Z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1802FC876099D4BA31A90E6A1D981ED6_42</vt:lpwstr>
  </property>
</Properties>
</file>