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889" w:rsidRPr="000A2889" w:rsidRDefault="000A2889" w:rsidP="000A2889">
      <w:pPr>
        <w:pStyle w:val="Caption"/>
        <w:keepNext/>
        <w:rPr>
          <w:sz w:val="24"/>
          <w:szCs w:val="24"/>
        </w:rPr>
      </w:pPr>
      <w:proofErr w:type="gramStart"/>
      <w:r w:rsidRPr="000A2889">
        <w:rPr>
          <w:sz w:val="24"/>
          <w:szCs w:val="24"/>
        </w:rPr>
        <w:t xml:space="preserve">Table </w:t>
      </w:r>
      <w:r>
        <w:rPr>
          <w:sz w:val="24"/>
          <w:szCs w:val="24"/>
        </w:rPr>
        <w:t>1.</w:t>
      </w:r>
      <w:proofErr w:type="gramEnd"/>
      <w:r>
        <w:rPr>
          <w:sz w:val="24"/>
          <w:szCs w:val="24"/>
        </w:rPr>
        <w:t xml:space="preserve"> Growth Rate of Male Breast Cancer Incidence from 1960 to 2012 (As per WHO CI </w:t>
      </w:r>
      <w:proofErr w:type="spellStart"/>
      <w:r>
        <w:rPr>
          <w:sz w:val="24"/>
          <w:szCs w:val="24"/>
        </w:rPr>
        <w:t>vol</w:t>
      </w:r>
      <w:proofErr w:type="spellEnd"/>
      <w:r>
        <w:rPr>
          <w:sz w:val="24"/>
          <w:szCs w:val="24"/>
        </w:rPr>
        <w:t xml:space="preserve"> I-XI data)</w:t>
      </w:r>
    </w:p>
    <w:p w:rsidR="000A2889" w:rsidRPr="000A2889" w:rsidRDefault="000A2889" w:rsidP="000A2889"/>
    <w:tbl>
      <w:tblPr>
        <w:tblW w:w="15339" w:type="dxa"/>
        <w:tblInd w:w="-1183" w:type="dxa"/>
        <w:tblLook w:val="04A0"/>
      </w:tblPr>
      <w:tblGrid>
        <w:gridCol w:w="1123"/>
        <w:gridCol w:w="1376"/>
        <w:gridCol w:w="1316"/>
        <w:gridCol w:w="1396"/>
        <w:gridCol w:w="1376"/>
        <w:gridCol w:w="1436"/>
        <w:gridCol w:w="1436"/>
        <w:gridCol w:w="1456"/>
        <w:gridCol w:w="1496"/>
        <w:gridCol w:w="976"/>
        <w:gridCol w:w="976"/>
        <w:gridCol w:w="976"/>
      </w:tblGrid>
      <w:tr w:rsidR="000A2889" w:rsidRPr="000A2889" w:rsidTr="000A2889">
        <w:trPr>
          <w:trHeight w:val="300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Continent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Vol</w:t>
            </w:r>
            <w:proofErr w:type="spellEnd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I - 1960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Vol</w:t>
            </w:r>
            <w:proofErr w:type="spellEnd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II- 1965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Vol</w:t>
            </w:r>
            <w:proofErr w:type="spellEnd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III- 1970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Vol</w:t>
            </w:r>
            <w:proofErr w:type="spellEnd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IV 1975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Vol</w:t>
            </w:r>
            <w:proofErr w:type="spellEnd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V- 1980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Vol</w:t>
            </w:r>
            <w:proofErr w:type="spellEnd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VI- 1985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Vol</w:t>
            </w:r>
            <w:proofErr w:type="spellEnd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VII - 1990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Vol</w:t>
            </w:r>
            <w:proofErr w:type="spellEnd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VIII - 1995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Vol</w:t>
            </w:r>
            <w:proofErr w:type="spellEnd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IX - 2000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Vol</w:t>
            </w:r>
            <w:proofErr w:type="spellEnd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X- 2005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Vol</w:t>
            </w:r>
            <w:proofErr w:type="spellEnd"/>
            <w:r w:rsidRPr="000A2889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XI - 2008-12</w:t>
            </w:r>
          </w:p>
        </w:tc>
      </w:tr>
      <w:tr w:rsidR="000A2889" w:rsidRPr="000A2889" w:rsidTr="000A2889">
        <w:trPr>
          <w:trHeight w:val="600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Africa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-25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-33.33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250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100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100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90.9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142.85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47.06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146.66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-5.94</w:t>
            </w:r>
          </w:p>
        </w:tc>
      </w:tr>
      <w:tr w:rsidR="000A2889" w:rsidRPr="000A2889" w:rsidTr="000A2889">
        <w:trPr>
          <w:trHeight w:val="300"/>
        </w:trPr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South America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70.21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528.57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-43.18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-13.33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38.46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11.11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211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155.95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-32.16</w:t>
            </w:r>
          </w:p>
        </w:tc>
      </w:tr>
      <w:tr w:rsidR="000A2889" w:rsidRPr="000A2889" w:rsidTr="000A2889">
        <w:trPr>
          <w:trHeight w:val="300"/>
        </w:trPr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</w:pPr>
            <w:r w:rsidRPr="000A2889"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  <w:t>North America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-15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349.57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122.43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16.05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9.20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-19.36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80.26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250.14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18.57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19.09</w:t>
            </w:r>
          </w:p>
        </w:tc>
      </w:tr>
      <w:tr w:rsidR="000A2889" w:rsidRPr="000A2889" w:rsidTr="000A2889">
        <w:trPr>
          <w:trHeight w:val="300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Asia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43.08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17.2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86.24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34.98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99.64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6.215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72.63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42.97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53.91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46.49</w:t>
            </w:r>
          </w:p>
        </w:tc>
      </w:tr>
      <w:tr w:rsidR="000A2889" w:rsidRPr="000A2889" w:rsidTr="000A2889">
        <w:trPr>
          <w:trHeight w:val="300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Europe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60.416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104.87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6.02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56.35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40.105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-15.148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47.889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52.88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36.297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40.54</w:t>
            </w:r>
          </w:p>
        </w:tc>
      </w:tr>
      <w:tr w:rsidR="000A2889" w:rsidRPr="000A2889" w:rsidTr="000A2889">
        <w:trPr>
          <w:trHeight w:val="300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Europe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-6.25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73.33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450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52.447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19.72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39.08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20.11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0.458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41.32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21</w:t>
            </w:r>
          </w:p>
        </w:tc>
      </w:tr>
      <w:tr w:rsidR="000A2889" w:rsidRPr="000A2889" w:rsidTr="000A2889">
        <w:trPr>
          <w:trHeight w:val="300"/>
        </w:trPr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 xml:space="preserve">No of </w:t>
            </w:r>
            <w:proofErr w:type="spellStart"/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Incedence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31.097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135.116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49.01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34.085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31.757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-10.61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56.788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108.525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32.238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A2889" w:rsidRPr="000A2889" w:rsidRDefault="000A2889" w:rsidP="000A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A2889">
              <w:rPr>
                <w:rFonts w:ascii="Calibri" w:eastAsia="Times New Roman" w:hAnsi="Calibri" w:cs="Calibri"/>
                <w:color w:val="000000"/>
                <w:lang w:bidi="hi-IN"/>
              </w:rPr>
              <w:t>27.869</w:t>
            </w:r>
          </w:p>
        </w:tc>
      </w:tr>
    </w:tbl>
    <w:p w:rsidR="00B305FF" w:rsidRDefault="00B305FF"/>
    <w:p w:rsidR="000A2889" w:rsidRDefault="00D1754D" w:rsidP="00D1754D">
      <w:pPr>
        <w:jc w:val="center"/>
      </w:pPr>
      <w:r w:rsidRPr="00D1754D">
        <w:drawing>
          <wp:inline distT="0" distB="0" distL="0" distR="0">
            <wp:extent cx="5399617" cy="2743200"/>
            <wp:effectExtent l="19050" t="0" r="10583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9496B" w:rsidRPr="0039496B" w:rsidRDefault="0039496B" w:rsidP="00D1754D">
      <w:pPr>
        <w:jc w:val="center"/>
        <w:rPr>
          <w:b/>
          <w:bCs/>
        </w:rPr>
      </w:pPr>
      <w:r w:rsidRPr="0039496B">
        <w:rPr>
          <w:b/>
          <w:bCs/>
        </w:rPr>
        <w:t xml:space="preserve">Figure 1: Growth Rate of MBC cases </w:t>
      </w:r>
      <w:r>
        <w:rPr>
          <w:b/>
          <w:bCs/>
        </w:rPr>
        <w:t xml:space="preserve">in AFRICA continent </w:t>
      </w:r>
      <w:r w:rsidRPr="0039496B">
        <w:rPr>
          <w:b/>
          <w:bCs/>
        </w:rPr>
        <w:t xml:space="preserve">as per WHO CI </w:t>
      </w:r>
      <w:proofErr w:type="spellStart"/>
      <w:r w:rsidRPr="0039496B">
        <w:rPr>
          <w:b/>
          <w:bCs/>
        </w:rPr>
        <w:t>vol</w:t>
      </w:r>
      <w:proofErr w:type="spellEnd"/>
      <w:r w:rsidRPr="0039496B">
        <w:rPr>
          <w:b/>
          <w:bCs/>
        </w:rPr>
        <w:t xml:space="preserve"> 1-XI data</w:t>
      </w:r>
    </w:p>
    <w:p w:rsidR="00D1754D" w:rsidRDefault="00D1754D" w:rsidP="00D1754D">
      <w:pPr>
        <w:jc w:val="center"/>
      </w:pPr>
    </w:p>
    <w:p w:rsidR="00D1754D" w:rsidRDefault="00D1754D" w:rsidP="00D1754D">
      <w:pPr>
        <w:jc w:val="center"/>
      </w:pPr>
      <w:r w:rsidRPr="00D1754D">
        <w:drawing>
          <wp:inline distT="0" distB="0" distL="0" distR="0">
            <wp:extent cx="5005635" cy="2743200"/>
            <wp:effectExtent l="19050" t="0" r="2356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9496B" w:rsidRPr="0039496B" w:rsidRDefault="0039496B" w:rsidP="0039496B">
      <w:pPr>
        <w:jc w:val="center"/>
        <w:rPr>
          <w:b/>
          <w:bCs/>
        </w:rPr>
      </w:pPr>
      <w:r w:rsidRPr="0039496B">
        <w:rPr>
          <w:b/>
          <w:bCs/>
        </w:rPr>
        <w:t xml:space="preserve">Figure </w:t>
      </w:r>
      <w:r>
        <w:rPr>
          <w:b/>
          <w:bCs/>
        </w:rPr>
        <w:t>2</w:t>
      </w:r>
      <w:r w:rsidRPr="0039496B">
        <w:rPr>
          <w:b/>
          <w:bCs/>
        </w:rPr>
        <w:t xml:space="preserve">: Growth Rate of MBC cases </w:t>
      </w:r>
      <w:r>
        <w:rPr>
          <w:b/>
          <w:bCs/>
        </w:rPr>
        <w:t xml:space="preserve">in South America continent </w:t>
      </w:r>
      <w:r w:rsidRPr="0039496B">
        <w:rPr>
          <w:b/>
          <w:bCs/>
        </w:rPr>
        <w:t xml:space="preserve">as per WHO CI </w:t>
      </w:r>
      <w:proofErr w:type="spellStart"/>
      <w:r w:rsidRPr="0039496B">
        <w:rPr>
          <w:b/>
          <w:bCs/>
        </w:rPr>
        <w:t>vol</w:t>
      </w:r>
      <w:proofErr w:type="spellEnd"/>
      <w:r w:rsidRPr="0039496B">
        <w:rPr>
          <w:b/>
          <w:bCs/>
        </w:rPr>
        <w:t xml:space="preserve"> 1-XI data</w:t>
      </w:r>
    </w:p>
    <w:p w:rsidR="0039496B" w:rsidRDefault="0039496B" w:rsidP="00D1754D">
      <w:pPr>
        <w:jc w:val="center"/>
      </w:pPr>
    </w:p>
    <w:p w:rsidR="00D1754D" w:rsidRDefault="00D1754D" w:rsidP="00D1754D">
      <w:pPr>
        <w:jc w:val="center"/>
      </w:pPr>
    </w:p>
    <w:p w:rsidR="00D1754D" w:rsidRDefault="00D1754D" w:rsidP="00D1754D">
      <w:pPr>
        <w:jc w:val="center"/>
      </w:pPr>
    </w:p>
    <w:p w:rsidR="00D1754D" w:rsidRDefault="00D1754D" w:rsidP="00D1754D">
      <w:pPr>
        <w:jc w:val="center"/>
      </w:pPr>
      <w:r w:rsidRPr="00D1754D">
        <w:lastRenderedPageBreak/>
        <w:drawing>
          <wp:inline distT="0" distB="0" distL="0" distR="0">
            <wp:extent cx="5019675" cy="2743200"/>
            <wp:effectExtent l="1905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9496B" w:rsidRPr="0039496B" w:rsidRDefault="0039496B" w:rsidP="0039496B">
      <w:pPr>
        <w:jc w:val="center"/>
        <w:rPr>
          <w:b/>
          <w:bCs/>
        </w:rPr>
      </w:pPr>
      <w:r>
        <w:rPr>
          <w:b/>
          <w:bCs/>
        </w:rPr>
        <w:t>Figure 3</w:t>
      </w:r>
      <w:r w:rsidRPr="0039496B">
        <w:rPr>
          <w:b/>
          <w:bCs/>
        </w:rPr>
        <w:t xml:space="preserve">: Growth Rate of MBC cases </w:t>
      </w:r>
      <w:r>
        <w:rPr>
          <w:b/>
          <w:bCs/>
        </w:rPr>
        <w:t xml:space="preserve">in NORTH AMERICA continent </w:t>
      </w:r>
      <w:r w:rsidRPr="0039496B">
        <w:rPr>
          <w:b/>
          <w:bCs/>
        </w:rPr>
        <w:t xml:space="preserve">as per WHO CI </w:t>
      </w:r>
      <w:proofErr w:type="spellStart"/>
      <w:r w:rsidRPr="0039496B">
        <w:rPr>
          <w:b/>
          <w:bCs/>
        </w:rPr>
        <w:t>vol</w:t>
      </w:r>
      <w:proofErr w:type="spellEnd"/>
      <w:r w:rsidRPr="0039496B">
        <w:rPr>
          <w:b/>
          <w:bCs/>
        </w:rPr>
        <w:t xml:space="preserve"> 1-XI data</w:t>
      </w:r>
    </w:p>
    <w:p w:rsidR="0039496B" w:rsidRDefault="0039496B" w:rsidP="00D1754D">
      <w:pPr>
        <w:jc w:val="center"/>
      </w:pPr>
    </w:p>
    <w:p w:rsidR="00D1754D" w:rsidRDefault="00D1754D" w:rsidP="00D1754D">
      <w:pPr>
        <w:jc w:val="center"/>
      </w:pPr>
    </w:p>
    <w:p w:rsidR="00D1754D" w:rsidRDefault="00D1754D" w:rsidP="00D1754D">
      <w:pPr>
        <w:jc w:val="center"/>
      </w:pPr>
      <w:r w:rsidRPr="00D1754D">
        <w:lastRenderedPageBreak/>
        <w:drawing>
          <wp:inline distT="0" distB="0" distL="0" distR="0">
            <wp:extent cx="5476875" cy="2743200"/>
            <wp:effectExtent l="1905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9496B" w:rsidRPr="0039496B" w:rsidRDefault="0039496B" w:rsidP="0039496B">
      <w:pPr>
        <w:jc w:val="center"/>
        <w:rPr>
          <w:b/>
          <w:bCs/>
        </w:rPr>
      </w:pPr>
      <w:r>
        <w:rPr>
          <w:b/>
          <w:bCs/>
        </w:rPr>
        <w:t>Figure 4</w:t>
      </w:r>
      <w:r w:rsidRPr="0039496B">
        <w:rPr>
          <w:b/>
          <w:bCs/>
        </w:rPr>
        <w:t xml:space="preserve">: Growth Rate of MBC cases </w:t>
      </w:r>
      <w:r>
        <w:rPr>
          <w:b/>
          <w:bCs/>
        </w:rPr>
        <w:t xml:space="preserve">in ASIA continent </w:t>
      </w:r>
      <w:r w:rsidRPr="0039496B">
        <w:rPr>
          <w:b/>
          <w:bCs/>
        </w:rPr>
        <w:t xml:space="preserve">as per WHO CI </w:t>
      </w:r>
      <w:proofErr w:type="spellStart"/>
      <w:r w:rsidRPr="0039496B">
        <w:rPr>
          <w:b/>
          <w:bCs/>
        </w:rPr>
        <w:t>vol</w:t>
      </w:r>
      <w:proofErr w:type="spellEnd"/>
      <w:r w:rsidRPr="0039496B">
        <w:rPr>
          <w:b/>
          <w:bCs/>
        </w:rPr>
        <w:t xml:space="preserve"> 1-XI data</w:t>
      </w:r>
    </w:p>
    <w:p w:rsidR="0039496B" w:rsidRDefault="0039496B" w:rsidP="00D1754D">
      <w:pPr>
        <w:jc w:val="center"/>
      </w:pPr>
    </w:p>
    <w:p w:rsidR="00D1754D" w:rsidRDefault="00D1754D" w:rsidP="00D1754D">
      <w:pPr>
        <w:jc w:val="center"/>
      </w:pPr>
    </w:p>
    <w:p w:rsidR="00D1754D" w:rsidRDefault="00D1754D" w:rsidP="00D1754D">
      <w:pPr>
        <w:jc w:val="center"/>
      </w:pPr>
      <w:r w:rsidRPr="00D1754D">
        <w:lastRenderedPageBreak/>
        <w:drawing>
          <wp:inline distT="0" distB="0" distL="0" distR="0">
            <wp:extent cx="5119158" cy="2788356"/>
            <wp:effectExtent l="19050" t="0" r="24342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9496B" w:rsidRPr="0039496B" w:rsidRDefault="0039496B" w:rsidP="0039496B">
      <w:pPr>
        <w:jc w:val="center"/>
        <w:rPr>
          <w:b/>
          <w:bCs/>
        </w:rPr>
      </w:pPr>
      <w:r>
        <w:rPr>
          <w:b/>
          <w:bCs/>
        </w:rPr>
        <w:t>Figure 5</w:t>
      </w:r>
      <w:r w:rsidRPr="0039496B">
        <w:rPr>
          <w:b/>
          <w:bCs/>
        </w:rPr>
        <w:t xml:space="preserve">: Growth Rate of MBC cases </w:t>
      </w:r>
      <w:r>
        <w:rPr>
          <w:b/>
          <w:bCs/>
        </w:rPr>
        <w:t xml:space="preserve">in EUROPE continent </w:t>
      </w:r>
      <w:r w:rsidRPr="0039496B">
        <w:rPr>
          <w:b/>
          <w:bCs/>
        </w:rPr>
        <w:t xml:space="preserve">as per WHO CI </w:t>
      </w:r>
      <w:proofErr w:type="spellStart"/>
      <w:r w:rsidRPr="0039496B">
        <w:rPr>
          <w:b/>
          <w:bCs/>
        </w:rPr>
        <w:t>vol</w:t>
      </w:r>
      <w:proofErr w:type="spellEnd"/>
      <w:r w:rsidRPr="0039496B">
        <w:rPr>
          <w:b/>
          <w:bCs/>
        </w:rPr>
        <w:t xml:space="preserve"> 1-XI data</w:t>
      </w:r>
    </w:p>
    <w:p w:rsidR="0039496B" w:rsidRDefault="0039496B" w:rsidP="00D1754D">
      <w:pPr>
        <w:jc w:val="center"/>
      </w:pPr>
    </w:p>
    <w:p w:rsidR="00D1754D" w:rsidRDefault="00D1754D" w:rsidP="00D1754D">
      <w:pPr>
        <w:jc w:val="center"/>
      </w:pPr>
    </w:p>
    <w:p w:rsidR="00D1754D" w:rsidRDefault="00D1754D" w:rsidP="00D1754D">
      <w:pPr>
        <w:jc w:val="center"/>
      </w:pPr>
    </w:p>
    <w:sectPr w:rsidR="00D1754D" w:rsidSect="000A288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2889"/>
    <w:rsid w:val="000A2889"/>
    <w:rsid w:val="0039496B"/>
    <w:rsid w:val="009449B5"/>
    <w:rsid w:val="00A26FB1"/>
    <w:rsid w:val="00B305FF"/>
    <w:rsid w:val="00D1754D"/>
    <w:rsid w:val="00E856B6"/>
    <w:rsid w:val="00FC1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A28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4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yoti%20Research%20Papers\2019-2020%20Research%20Articles\CA%20Male%20Breast%20Cancer%20Review%202020\Continent%20wis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yoti%20Research%20Papers\2019-2020%20Research%20Articles\CA%20Male%20Breast%20Cancer%20Review%202020\Continent%20wis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yoti%20Research%20Papers\2019-2020%20Research%20Articles\CA%20Male%20Breast%20Cancer%20Review%202020\Continent%20wis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yoti%20Research%20Papers\2019-2020%20Research%20Articles\CA%20Male%20Breast%20Cancer%20Review%202020\Continent%20wis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yoti%20Research%20Papers\2019-2020%20Research%20Articles\CA%20Male%20Breast%20Cancer%20Review%202020\Continent%20wis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autoTitleDeleted val="1"/>
    <c:plotArea>
      <c:layout>
        <c:manualLayout>
          <c:layoutTarget val="inner"/>
          <c:xMode val="edge"/>
          <c:yMode val="edge"/>
          <c:x val="0.1342752643381929"/>
          <c:y val="4.5047025371828517E-2"/>
          <c:w val="0.86387423404289621"/>
          <c:h val="0.69641914552347628"/>
        </c:manualLayout>
      </c:layout>
      <c:lineChart>
        <c:grouping val="standard"/>
        <c:ser>
          <c:idx val="0"/>
          <c:order val="0"/>
          <c:tx>
            <c:strRef>
              <c:f>'MBC-All Growth Rate'!$T$2</c:f>
              <c:strCache>
                <c:ptCount val="1"/>
                <c:pt idx="0">
                  <c:v>Africa</c:v>
                </c:pt>
              </c:strCache>
            </c:strRef>
          </c:tx>
          <c:marker>
            <c:spPr>
              <a:solidFill>
                <a:srgbClr val="FFFF00"/>
              </a:solidFill>
            </c:spPr>
          </c:marker>
          <c:cat>
            <c:strRef>
              <c:f>'MBC-All Growth Rate'!$U$1:$AE$1</c:f>
              <c:strCache>
                <c:ptCount val="11"/>
                <c:pt idx="0">
                  <c:v>Vol I - 1960</c:v>
                </c:pt>
                <c:pt idx="1">
                  <c:v>Vol II- 1965</c:v>
                </c:pt>
                <c:pt idx="2">
                  <c:v>Vol III- 1970</c:v>
                </c:pt>
                <c:pt idx="3">
                  <c:v>Vol IV 1975</c:v>
                </c:pt>
                <c:pt idx="4">
                  <c:v>Vol V- 1980</c:v>
                </c:pt>
                <c:pt idx="5">
                  <c:v>Vol VI- 1985</c:v>
                </c:pt>
                <c:pt idx="6">
                  <c:v>Vol VII - 1990</c:v>
                </c:pt>
                <c:pt idx="7">
                  <c:v>Vol VIII - 1995</c:v>
                </c:pt>
                <c:pt idx="8">
                  <c:v>Vol IX - 2000</c:v>
                </c:pt>
                <c:pt idx="9">
                  <c:v>Vol X- 2005</c:v>
                </c:pt>
                <c:pt idx="10">
                  <c:v>Vol XI - 2008-12</c:v>
                </c:pt>
              </c:strCache>
            </c:strRef>
          </c:cat>
          <c:val>
            <c:numRef>
              <c:f>'MBC-All Growth Rate'!$U$2:$AE$2</c:f>
              <c:numCache>
                <c:formatCode>General</c:formatCode>
                <c:ptCount val="11"/>
                <c:pt idx="1">
                  <c:v>-25</c:v>
                </c:pt>
                <c:pt idx="2">
                  <c:v>-33.33</c:v>
                </c:pt>
                <c:pt idx="3">
                  <c:v>250</c:v>
                </c:pt>
                <c:pt idx="4">
                  <c:v>100</c:v>
                </c:pt>
                <c:pt idx="5">
                  <c:v>100</c:v>
                </c:pt>
                <c:pt idx="6">
                  <c:v>90.9</c:v>
                </c:pt>
                <c:pt idx="7">
                  <c:v>142.85000000000002</c:v>
                </c:pt>
                <c:pt idx="8">
                  <c:v>47.06</c:v>
                </c:pt>
                <c:pt idx="9">
                  <c:v>146.66</c:v>
                </c:pt>
                <c:pt idx="10">
                  <c:v>-5.94</c:v>
                </c:pt>
              </c:numCache>
            </c:numRef>
          </c:val>
        </c:ser>
        <c:marker val="1"/>
        <c:axId val="121873920"/>
        <c:axId val="121883648"/>
      </c:lineChart>
      <c:catAx>
        <c:axId val="1218739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Volumes</a:t>
                </a:r>
              </a:p>
            </c:rich>
          </c:tx>
        </c:title>
        <c:tickLblPos val="nextTo"/>
        <c:crossAx val="121883648"/>
        <c:crosses val="autoZero"/>
        <c:auto val="1"/>
        <c:lblAlgn val="ctr"/>
        <c:lblOffset val="100"/>
      </c:catAx>
      <c:valAx>
        <c:axId val="121883648"/>
        <c:scaling>
          <c:orientation val="minMax"/>
          <c:max val="600"/>
        </c:scaling>
        <c:axPos val="l"/>
        <c:title>
          <c:tx>
            <c:rich>
              <a:bodyPr rot="-5400000" vert="horz"/>
              <a:lstStyle/>
              <a:p>
                <a:pPr>
                  <a:defRPr sz="1100" b="1"/>
                </a:pPr>
                <a:r>
                  <a:rPr lang="en-US" sz="1100" b="1"/>
                  <a:t>Growth Rate</a:t>
                </a:r>
              </a:p>
            </c:rich>
          </c:tx>
          <c:layout>
            <c:manualLayout>
              <c:xMode val="edge"/>
              <c:yMode val="edge"/>
              <c:x val="3.2928261393354377E-2"/>
              <c:y val="0.27428477690288727"/>
            </c:manualLayout>
          </c:layout>
        </c:title>
        <c:numFmt formatCode="General" sourceLinked="1"/>
        <c:tickLblPos val="nextTo"/>
        <c:crossAx val="12187392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0.11555616819844035"/>
          <c:y val="4.8317293671624392E-2"/>
          <c:w val="0.88238946528714779"/>
          <c:h val="0.66749453193350849"/>
        </c:manualLayout>
      </c:layout>
      <c:lineChart>
        <c:grouping val="standard"/>
        <c:ser>
          <c:idx val="1"/>
          <c:order val="0"/>
          <c:tx>
            <c:strRef>
              <c:f>'MBC-All Growth Rate'!$T$3</c:f>
              <c:strCache>
                <c:ptCount val="1"/>
                <c:pt idx="0">
                  <c:v>South America</c:v>
                </c:pt>
              </c:strCache>
            </c:strRef>
          </c:tx>
          <c:marker>
            <c:spPr>
              <a:solidFill>
                <a:srgbClr val="FFFF00"/>
              </a:solidFill>
            </c:spPr>
          </c:marker>
          <c:cat>
            <c:strRef>
              <c:f>'MBC-All Growth Rate'!$U$1:$AE$1</c:f>
              <c:strCache>
                <c:ptCount val="11"/>
                <c:pt idx="0">
                  <c:v>Vol I - 1960</c:v>
                </c:pt>
                <c:pt idx="1">
                  <c:v>Vol II- 1965</c:v>
                </c:pt>
                <c:pt idx="2">
                  <c:v>Vol III- 1970</c:v>
                </c:pt>
                <c:pt idx="3">
                  <c:v>Vol IV 1975</c:v>
                </c:pt>
                <c:pt idx="4">
                  <c:v>Vol V- 1980</c:v>
                </c:pt>
                <c:pt idx="5">
                  <c:v>Vol VI- 1985</c:v>
                </c:pt>
                <c:pt idx="6">
                  <c:v>Vol VII - 1990</c:v>
                </c:pt>
                <c:pt idx="7">
                  <c:v>Vol VIII - 1995</c:v>
                </c:pt>
                <c:pt idx="8">
                  <c:v>Vol IX - 2000</c:v>
                </c:pt>
                <c:pt idx="9">
                  <c:v>Vol X- 2005</c:v>
                </c:pt>
                <c:pt idx="10">
                  <c:v>Vol XI - 2008-12</c:v>
                </c:pt>
              </c:strCache>
            </c:strRef>
          </c:cat>
          <c:val>
            <c:numRef>
              <c:f>'MBC-All Growth Rate'!$U$3:$AE$3</c:f>
              <c:numCache>
                <c:formatCode>General</c:formatCode>
                <c:ptCount val="11"/>
                <c:pt idx="1">
                  <c:v>70.209999999999994</c:v>
                </c:pt>
                <c:pt idx="2">
                  <c:v>528.57000000000005</c:v>
                </c:pt>
                <c:pt idx="3">
                  <c:v>50</c:v>
                </c:pt>
                <c:pt idx="4">
                  <c:v>-43.18</c:v>
                </c:pt>
                <c:pt idx="5">
                  <c:v>-13.33</c:v>
                </c:pt>
                <c:pt idx="6">
                  <c:v>38.46</c:v>
                </c:pt>
                <c:pt idx="7">
                  <c:v>11.11</c:v>
                </c:pt>
                <c:pt idx="8">
                  <c:v>211</c:v>
                </c:pt>
                <c:pt idx="9">
                  <c:v>155.94999999999999</c:v>
                </c:pt>
                <c:pt idx="10">
                  <c:v>-32.160000000000004</c:v>
                </c:pt>
              </c:numCache>
            </c:numRef>
          </c:val>
        </c:ser>
        <c:marker val="1"/>
        <c:axId val="155809664"/>
        <c:axId val="155817856"/>
      </c:lineChart>
      <c:catAx>
        <c:axId val="1558096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Volumes</a:t>
                </a:r>
              </a:p>
            </c:rich>
          </c:tx>
        </c:title>
        <c:tickLblPos val="nextTo"/>
        <c:crossAx val="155817856"/>
        <c:crosses val="autoZero"/>
        <c:auto val="1"/>
        <c:lblAlgn val="ctr"/>
        <c:lblOffset val="100"/>
      </c:catAx>
      <c:valAx>
        <c:axId val="155817856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 sz="1100"/>
                </a:pPr>
                <a:r>
                  <a:rPr lang="en-US" sz="1100"/>
                  <a:t>Growth Rate</a:t>
                </a:r>
              </a:p>
            </c:rich>
          </c:tx>
        </c:title>
        <c:numFmt formatCode="General" sourceLinked="1"/>
        <c:tickLblPos val="nextTo"/>
        <c:crossAx val="155809664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0.14053340106680218"/>
          <c:y val="3.0697360746573355E-2"/>
          <c:w val="0.85817275135703419"/>
          <c:h val="0.71363808690580355"/>
        </c:manualLayout>
      </c:layout>
      <c:lineChart>
        <c:grouping val="standard"/>
        <c:ser>
          <c:idx val="2"/>
          <c:order val="0"/>
          <c:tx>
            <c:strRef>
              <c:f>'MBC-All Growth Rate'!$T$4</c:f>
              <c:strCache>
                <c:ptCount val="1"/>
                <c:pt idx="0">
                  <c:v>North America</c:v>
                </c:pt>
              </c:strCache>
            </c:strRef>
          </c:tx>
          <c:marker>
            <c:spPr>
              <a:solidFill>
                <a:srgbClr val="FF0000"/>
              </a:solidFill>
            </c:spPr>
          </c:marker>
          <c:cat>
            <c:strRef>
              <c:f>'MBC-All Growth Rate'!$U$1:$AE$1</c:f>
              <c:strCache>
                <c:ptCount val="11"/>
                <c:pt idx="0">
                  <c:v>Vol I - 1960</c:v>
                </c:pt>
                <c:pt idx="1">
                  <c:v>Vol II- 1965</c:v>
                </c:pt>
                <c:pt idx="2">
                  <c:v>Vol III- 1970</c:v>
                </c:pt>
                <c:pt idx="3">
                  <c:v>Vol IV 1975</c:v>
                </c:pt>
                <c:pt idx="4">
                  <c:v>Vol V- 1980</c:v>
                </c:pt>
                <c:pt idx="5">
                  <c:v>Vol VI- 1985</c:v>
                </c:pt>
                <c:pt idx="6">
                  <c:v>Vol VII - 1990</c:v>
                </c:pt>
                <c:pt idx="7">
                  <c:v>Vol VIII - 1995</c:v>
                </c:pt>
                <c:pt idx="8">
                  <c:v>Vol IX - 2000</c:v>
                </c:pt>
                <c:pt idx="9">
                  <c:v>Vol X- 2005</c:v>
                </c:pt>
                <c:pt idx="10">
                  <c:v>Vol XI - 2008-12</c:v>
                </c:pt>
              </c:strCache>
            </c:strRef>
          </c:cat>
          <c:val>
            <c:numRef>
              <c:f>'MBC-All Growth Rate'!$U$4:$AE$4</c:f>
              <c:numCache>
                <c:formatCode>General</c:formatCode>
                <c:ptCount val="11"/>
                <c:pt idx="1">
                  <c:v>-15</c:v>
                </c:pt>
                <c:pt idx="2">
                  <c:v>349.57</c:v>
                </c:pt>
                <c:pt idx="3" formatCode="0.00">
                  <c:v>122.429</c:v>
                </c:pt>
                <c:pt idx="4">
                  <c:v>16.05</c:v>
                </c:pt>
                <c:pt idx="5" formatCode="0.00">
                  <c:v>9.1960000000000015</c:v>
                </c:pt>
                <c:pt idx="6">
                  <c:v>-19.36</c:v>
                </c:pt>
                <c:pt idx="7" formatCode="0.00">
                  <c:v>80.260000000000005</c:v>
                </c:pt>
                <c:pt idx="8" formatCode="0.00">
                  <c:v>250.136</c:v>
                </c:pt>
                <c:pt idx="9" formatCode="0.00">
                  <c:v>18.565999999999995</c:v>
                </c:pt>
                <c:pt idx="10" formatCode="0.00">
                  <c:v>19.087</c:v>
                </c:pt>
              </c:numCache>
            </c:numRef>
          </c:val>
        </c:ser>
        <c:marker val="1"/>
        <c:axId val="156025216"/>
        <c:axId val="156027904"/>
      </c:lineChart>
      <c:catAx>
        <c:axId val="156025216"/>
        <c:scaling>
          <c:orientation val="minMax"/>
        </c:scaling>
        <c:axPos val="b"/>
        <c:title/>
        <c:tickLblPos val="nextTo"/>
        <c:crossAx val="156027904"/>
        <c:crosses val="autoZero"/>
        <c:auto val="1"/>
        <c:lblAlgn val="ctr"/>
        <c:lblOffset val="100"/>
      </c:catAx>
      <c:valAx>
        <c:axId val="156027904"/>
        <c:scaling>
          <c:orientation val="minMax"/>
          <c:max val="600"/>
        </c:scaling>
        <c:axPos val="l"/>
        <c:title>
          <c:txPr>
            <a:bodyPr rot="-5400000" vert="horz"/>
            <a:lstStyle/>
            <a:p>
              <a:pPr>
                <a:defRPr/>
              </a:pPr>
              <a:endParaRPr lang="en-US"/>
            </a:p>
          </c:txPr>
        </c:title>
        <c:numFmt formatCode="General" sourceLinked="1"/>
        <c:tickLblPos val="nextTo"/>
        <c:crossAx val="156025216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0.12039293398437646"/>
          <c:y val="0.19480351414406533"/>
          <c:w val="0.85321182285486263"/>
          <c:h val="0.46095873432487666"/>
        </c:manualLayout>
      </c:layout>
      <c:lineChart>
        <c:grouping val="standard"/>
        <c:ser>
          <c:idx val="3"/>
          <c:order val="0"/>
          <c:tx>
            <c:strRef>
              <c:f>'MBC-All Growth Rate'!$T$5</c:f>
              <c:strCache>
                <c:ptCount val="1"/>
                <c:pt idx="0">
                  <c:v>Asia</c:v>
                </c:pt>
              </c:strCache>
            </c:strRef>
          </c:tx>
          <c:marker>
            <c:spPr>
              <a:solidFill>
                <a:srgbClr val="002060"/>
              </a:solidFill>
            </c:spPr>
          </c:marker>
          <c:cat>
            <c:strRef>
              <c:f>'MBC-All Growth Rate'!$U$1:$AE$1</c:f>
              <c:strCache>
                <c:ptCount val="11"/>
                <c:pt idx="0">
                  <c:v>Vol I - 1960</c:v>
                </c:pt>
                <c:pt idx="1">
                  <c:v>Vol II- 1965</c:v>
                </c:pt>
                <c:pt idx="2">
                  <c:v>Vol III- 1970</c:v>
                </c:pt>
                <c:pt idx="3">
                  <c:v>Vol IV 1975</c:v>
                </c:pt>
                <c:pt idx="4">
                  <c:v>Vol V- 1980</c:v>
                </c:pt>
                <c:pt idx="5">
                  <c:v>Vol VI- 1985</c:v>
                </c:pt>
                <c:pt idx="6">
                  <c:v>Vol VII - 1990</c:v>
                </c:pt>
                <c:pt idx="7">
                  <c:v>Vol VIII - 1995</c:v>
                </c:pt>
                <c:pt idx="8">
                  <c:v>Vol IX - 2000</c:v>
                </c:pt>
                <c:pt idx="9">
                  <c:v>Vol X- 2005</c:v>
                </c:pt>
                <c:pt idx="10">
                  <c:v>Vol XI - 2008-12</c:v>
                </c:pt>
              </c:strCache>
            </c:strRef>
          </c:cat>
          <c:val>
            <c:numRef>
              <c:f>'MBC-All Growth Rate'!$U$5:$AE$5</c:f>
              <c:numCache>
                <c:formatCode>0.00</c:formatCode>
                <c:ptCount val="11"/>
                <c:pt idx="1">
                  <c:v>43.076000000000001</c:v>
                </c:pt>
                <c:pt idx="2" formatCode="General">
                  <c:v>17.2</c:v>
                </c:pt>
                <c:pt idx="3">
                  <c:v>86.238</c:v>
                </c:pt>
                <c:pt idx="4">
                  <c:v>34.975000000000001</c:v>
                </c:pt>
                <c:pt idx="5">
                  <c:v>99.634999999999991</c:v>
                </c:pt>
                <c:pt idx="6" formatCode="General">
                  <c:v>6.214999999999999</c:v>
                </c:pt>
                <c:pt idx="7">
                  <c:v>72.63</c:v>
                </c:pt>
                <c:pt idx="8">
                  <c:v>42.97</c:v>
                </c:pt>
                <c:pt idx="9">
                  <c:v>53.905000000000001</c:v>
                </c:pt>
                <c:pt idx="10">
                  <c:v>46.488</c:v>
                </c:pt>
              </c:numCache>
            </c:numRef>
          </c:val>
        </c:ser>
        <c:marker val="1"/>
        <c:axId val="158804608"/>
        <c:axId val="158806784"/>
      </c:lineChart>
      <c:catAx>
        <c:axId val="158804608"/>
        <c:scaling>
          <c:orientation val="minMax"/>
        </c:scaling>
        <c:axPos val="b"/>
        <c:tickLblPos val="nextTo"/>
        <c:crossAx val="158806784"/>
        <c:crosses val="autoZero"/>
        <c:auto val="1"/>
        <c:lblAlgn val="ctr"/>
        <c:lblOffset val="100"/>
      </c:catAx>
      <c:valAx>
        <c:axId val="158806784"/>
        <c:scaling>
          <c:orientation val="minMax"/>
          <c:max val="600"/>
        </c:scaling>
        <c:axPos val="l"/>
        <c:numFmt formatCode="General" sourceLinked="1"/>
        <c:tickLblPos val="nextTo"/>
        <c:crossAx val="158804608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9.7757077339520326E-2"/>
          <c:y val="5.9394137620877696E-2"/>
          <c:w val="0.90224299973432975"/>
          <c:h val="0.715486114398592"/>
        </c:manualLayout>
      </c:layout>
      <c:lineChart>
        <c:grouping val="standard"/>
        <c:ser>
          <c:idx val="4"/>
          <c:order val="0"/>
          <c:tx>
            <c:strRef>
              <c:f>'MBC-All Growth Rate'!$T$6</c:f>
              <c:strCache>
                <c:ptCount val="1"/>
                <c:pt idx="0">
                  <c:v>Europe</c:v>
                </c:pt>
              </c:strCache>
            </c:strRef>
          </c:tx>
          <c:marker>
            <c:spPr>
              <a:solidFill>
                <a:srgbClr val="7030A0"/>
              </a:solidFill>
            </c:spPr>
          </c:marker>
          <c:cat>
            <c:strRef>
              <c:f>'MBC-All Growth Rate'!$U$1:$AE$1</c:f>
              <c:strCache>
                <c:ptCount val="11"/>
                <c:pt idx="0">
                  <c:v>Vol I - 1960</c:v>
                </c:pt>
                <c:pt idx="1">
                  <c:v>Vol II- 1965</c:v>
                </c:pt>
                <c:pt idx="2">
                  <c:v>Vol III- 1970</c:v>
                </c:pt>
                <c:pt idx="3">
                  <c:v>Vol IV 1975</c:v>
                </c:pt>
                <c:pt idx="4">
                  <c:v>Vol V- 1980</c:v>
                </c:pt>
                <c:pt idx="5">
                  <c:v>Vol VI- 1985</c:v>
                </c:pt>
                <c:pt idx="6">
                  <c:v>Vol VII - 1990</c:v>
                </c:pt>
                <c:pt idx="7">
                  <c:v>Vol VIII - 1995</c:v>
                </c:pt>
                <c:pt idx="8">
                  <c:v>Vol IX - 2000</c:v>
                </c:pt>
                <c:pt idx="9">
                  <c:v>Vol X- 2005</c:v>
                </c:pt>
                <c:pt idx="10">
                  <c:v>Vol XI - 2008-12</c:v>
                </c:pt>
              </c:strCache>
            </c:strRef>
          </c:cat>
          <c:val>
            <c:numRef>
              <c:f>'MBC-All Growth Rate'!$U$6:$AE$6</c:f>
              <c:numCache>
                <c:formatCode>General</c:formatCode>
                <c:ptCount val="11"/>
                <c:pt idx="1">
                  <c:v>60.416000000000004</c:v>
                </c:pt>
                <c:pt idx="2">
                  <c:v>104.86999999999999</c:v>
                </c:pt>
                <c:pt idx="3">
                  <c:v>6.02</c:v>
                </c:pt>
                <c:pt idx="4">
                  <c:v>56.349999999999994</c:v>
                </c:pt>
                <c:pt idx="5">
                  <c:v>40.105000000000004</c:v>
                </c:pt>
                <c:pt idx="6">
                  <c:v>-15.147999999999998</c:v>
                </c:pt>
                <c:pt idx="7">
                  <c:v>47.888999999999996</c:v>
                </c:pt>
                <c:pt idx="8">
                  <c:v>52.879999999999995</c:v>
                </c:pt>
                <c:pt idx="9">
                  <c:v>36.297000000000011</c:v>
                </c:pt>
                <c:pt idx="10">
                  <c:v>40.54</c:v>
                </c:pt>
              </c:numCache>
            </c:numRef>
          </c:val>
        </c:ser>
        <c:marker val="1"/>
        <c:axId val="162280960"/>
        <c:axId val="162282880"/>
      </c:lineChart>
      <c:catAx>
        <c:axId val="162280960"/>
        <c:scaling>
          <c:orientation val="minMax"/>
        </c:scaling>
        <c:axPos val="b"/>
        <c:tickLblPos val="nextTo"/>
        <c:crossAx val="162282880"/>
        <c:crosses val="autoZero"/>
        <c:auto val="1"/>
        <c:lblAlgn val="ctr"/>
        <c:lblOffset val="100"/>
      </c:catAx>
      <c:valAx>
        <c:axId val="162282880"/>
        <c:scaling>
          <c:orientation val="minMax"/>
          <c:max val="600"/>
        </c:scaling>
        <c:axPos val="l"/>
        <c:numFmt formatCode="General" sourceLinked="1"/>
        <c:tickLblPos val="nextTo"/>
        <c:crossAx val="16228096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Lakhani</dc:creator>
  <cp:lastModifiedBy>Jyoti Lakhani</cp:lastModifiedBy>
  <cp:revision>4</cp:revision>
  <dcterms:created xsi:type="dcterms:W3CDTF">2021-01-19T05:22:00Z</dcterms:created>
  <dcterms:modified xsi:type="dcterms:W3CDTF">2021-01-19T05:52:00Z</dcterms:modified>
</cp:coreProperties>
</file>