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Demand Factor Analysis: Comprehensive Impact Ranking</w:t>
      </w:r>
    </w:p>
    <w:p>
      <w:pPr>
        <w:pStyle w:val="Heading1"/>
      </w:pPr>
      <w:r>
        <w:t xml:space="preserve">Executive Summary</w:t>
      </w:r>
    </w:p>
    <w:p>
      <w:r>
        <w:t xml:space="preserve">Transportation demand is driven primarily by </w:t>
      </w:r>
      <w:r>
        <w:rPr>
          <w:b/>
          <w:bCs/>
        </w:rPr>
        <w:t xml:space="preserve">infrastructure characteristics</w:t>
      </w:r>
      <w:r>
        <w:t xml:space="preserve"> rather than environmental or temporal conditions. Road type and lane capacity create a 53-55% variation in demand, while weather and landmarks contribute less than 0.5% each.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Ranked Factors by Influence</w:t>
      </w:r>
    </w:p>
    <w:p>
      <w:pPr>
        <w:pStyle w:val="Heading2"/>
      </w:pPr>
      <w:r>
        <w:t xml:space="preserve">1. Road Type — 55.4% Impact Range (10.7x Difference)</w:t>
      </w:r>
    </w:p>
    <w:p>
      <w:r>
        <w:rPr>
          <w:b/>
          <w:bCs/>
        </w:rPr>
        <w:t xml:space="preserve">The Dominant Factor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Road Type</w:t>
            </w:r>
          </w:p>
        </w:tc>
        <w:tc>
          <w:p>
            <w:pPr>
              <w:jc w:val="left"/>
            </w:pPr>
            <w:r>
              <w:t xml:space="preserve">Average Demand</w:t>
            </w:r>
          </w:p>
        </w:tc>
        <w:tc>
          <w:p>
            <w:pPr>
              <w:jc w:val="left"/>
            </w:pPr>
            <w:r>
              <w:t xml:space="preserve">Observations</w:t>
            </w:r>
          </w:p>
        </w:tc>
      </w:tr>
      <w:tr>
        <w:tc>
          <w:p>
            <w:pPr>
              <w:jc w:val="left"/>
            </w:pPr>
            <w:r>
              <w:t xml:space="preserve">Highway</w:t>
            </w:r>
          </w:p>
        </w:tc>
        <w:tc>
          <w:p>
            <w:pPr>
              <w:jc w:val="left"/>
            </w:pPr>
            <w:r>
              <w:t xml:space="preserve">0.6108</w:t>
            </w:r>
          </w:p>
        </w:tc>
        <w:tc>
          <w:p>
            <w:pPr>
              <w:jc w:val="left"/>
            </w:pPr>
            <w:r>
              <w:t xml:space="preserve">3,560</w:t>
            </w:r>
          </w:p>
        </w:tc>
      </w:tr>
      <w:tr>
        <w:tc>
          <w:p>
            <w:pPr>
              <w:jc w:val="left"/>
            </w:pPr>
            <w:r>
              <w:t xml:space="preserve">Street</w:t>
            </w:r>
          </w:p>
        </w:tc>
        <w:tc>
          <w:p>
            <w:pPr>
              <w:jc w:val="left"/>
            </w:pPr>
            <w:r>
              <w:t xml:space="preserve">0.2732</w:t>
            </w:r>
          </w:p>
        </w:tc>
        <w:tc>
          <w:p>
            <w:pPr>
              <w:jc w:val="left"/>
            </w:pPr>
            <w:r>
              <w:t xml:space="preserve">3,909</w:t>
            </w:r>
          </w:p>
        </w:tc>
      </w:tr>
      <w:tr>
        <w:tc>
          <w:p>
            <w:pPr>
              <w:jc w:val="left"/>
            </w:pPr>
            <w:r>
              <w:t xml:space="preserve">Residential</w:t>
            </w:r>
          </w:p>
        </w:tc>
        <w:tc>
          <w:p>
            <w:pPr>
              <w:jc w:val="left"/>
            </w:pPr>
            <w:r>
              <w:t xml:space="preserve">0.0572</w:t>
            </w:r>
          </w:p>
        </w:tc>
        <w:tc>
          <w:p>
            <w:pPr>
              <w:jc w:val="left"/>
            </w:pPr>
            <w:r>
              <w:t xml:space="preserve">69,230</w:t>
            </w:r>
          </w:p>
        </w:tc>
      </w:tr>
    </w:tbl>
    <w:p>
      <w:r>
        <w:t xml:space="preserve">Highway corridors experience demand </w:t>
      </w:r>
      <w:r>
        <w:rPr>
          <w:b/>
          <w:bCs/>
        </w:rPr>
        <w:t xml:space="preserve">10.7 times higher</w:t>
      </w:r>
      <w:r>
        <w:t xml:space="preserve"> than residential roads. This single factor accounts for the largest demand variance in the dataset. The demand hierarchy is clearly defined: highways capture bulk transportation flow, streets serve local commercial access, and residential roads handle neighborhood-level traffic.</w:t>
      </w:r>
    </w:p>
    <w:p>
      <w:r>
        <w:rPr>
          <w:b/>
          <w:bCs/>
        </w:rPr>
        <w:t xml:space="preserve">Standard Deviation by Road Type:</w:t>
      </w:r>
    </w:p>
    <w:p>
      <w:pPr>
        <w:pStyle w:val="ListParagraph"/>
        <w:numPr>
          <w:ilvl w:val="0"/>
          <w:numId w:val="1"/>
        </w:numPr>
      </w:pPr>
      <w:r>
        <w:t xml:space="preserve">Highway: ±0.2294 (high variability)</w:t>
      </w:r>
    </w:p>
    <w:p>
      <w:pPr>
        <w:pStyle w:val="ListParagraph"/>
        <w:numPr>
          <w:ilvl w:val="0"/>
          <w:numId w:val="1"/>
        </w:numPr>
      </w:pPr>
      <w:r>
        <w:t xml:space="preserve">Street: ±0.0367 (stable)</w:t>
      </w:r>
    </w:p>
    <w:p>
      <w:pPr>
        <w:pStyle w:val="ListParagraph"/>
        <w:numPr>
          <w:ilvl w:val="0"/>
          <w:numId w:val="1"/>
        </w:numPr>
      </w:pPr>
      <w:r>
        <w:t xml:space="preserve">Residential: ±0.0521 (stable)</w:t>
      </w:r>
    </w:p>
    <w:p>
      <w:r>
        <w:rPr>
          <w:b/>
          <w:bCs/>
        </w:rPr>
        <w:t xml:space="preserve">Key Insight:</w:t>
      </w:r>
      <w:r>
        <w:t xml:space="preserve"> Infrastructure investment directly correlates with demand. The presence of a highway in a location virtually guarantees significantly higher traffic volumes.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2. Number of Lanes — 53.0% Impact Range (7.8x Difference)</w:t>
      </w:r>
    </w:p>
    <w:p>
      <w:r>
        <w:rPr>
          <w:b/>
          <w:bCs/>
        </w:rPr>
        <w:t xml:space="preserve">Capacity Creates Demand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Lanes</w:t>
            </w:r>
          </w:p>
        </w:tc>
        <w:tc>
          <w:p>
            <w:pPr>
              <w:jc w:val="left"/>
            </w:pPr>
            <w:r>
              <w:t xml:space="preserve">Average Demand</w:t>
            </w:r>
          </w:p>
        </w:tc>
        <w:tc>
          <w:p>
            <w:pPr>
              <w:jc w:val="left"/>
            </w:pPr>
            <w:r>
              <w:t xml:space="preserve">Observations</w:t>
            </w:r>
          </w:p>
        </w:tc>
      </w:tr>
      <w:tr>
        <w:tc>
          <w:p>
            <w:pPr>
              <w:jc w:val="left"/>
            </w:pPr>
            <w:r>
              <w:t xml:space="preserve">5 lanes</w:t>
            </w:r>
          </w:p>
        </w:tc>
        <w:tc>
          <w:p>
            <w:pPr>
              <w:jc w:val="left"/>
            </w:pPr>
            <w:r>
              <w:t xml:space="preserve">0.6076</w:t>
            </w:r>
          </w:p>
        </w:tc>
        <w:tc>
          <w:p>
            <w:pPr>
              <w:jc w:val="left"/>
            </w:pPr>
            <w:r>
              <w:t xml:space="preserve">916</w:t>
            </w:r>
          </w:p>
        </w:tc>
      </w:tr>
      <w:tr>
        <w:tc>
          <w:p>
            <w:pPr>
              <w:jc w:val="left"/>
            </w:pPr>
            <w:r>
              <w:t xml:space="preserve">4 lanes</w:t>
            </w:r>
          </w:p>
        </w:tc>
        <w:tc>
          <w:p>
            <w:pPr>
              <w:jc w:val="left"/>
            </w:pPr>
            <w:r>
              <w:t xml:space="preserve">0.6029</w:t>
            </w:r>
          </w:p>
        </w:tc>
        <w:tc>
          <w:p>
            <w:pPr>
              <w:jc w:val="left"/>
            </w:pPr>
            <w:r>
              <w:t xml:space="preserve">926</w:t>
            </w:r>
          </w:p>
        </w:tc>
      </w:tr>
      <w:tr>
        <w:tc>
          <w:p>
            <w:pPr>
              <w:jc w:val="left"/>
            </w:pPr>
            <w:r>
              <w:t xml:space="preserve">3 lanes</w:t>
            </w:r>
          </w:p>
        </w:tc>
        <w:tc>
          <w:p>
            <w:pPr>
              <w:jc w:val="left"/>
            </w:pPr>
            <w:r>
              <w:t xml:space="preserve">0.0779</w:t>
            </w:r>
          </w:p>
        </w:tc>
        <w:tc>
          <w:p>
            <w:pPr>
              <w:jc w:val="left"/>
            </w:pPr>
            <w:r>
              <w:t xml:space="preserve">23,919</w:t>
            </w:r>
          </w:p>
        </w:tc>
      </w:tr>
      <w:tr>
        <w:tc>
          <w:p>
            <w:pPr>
              <w:jc w:val="left"/>
            </w:pPr>
            <w:r>
              <w:t xml:space="preserve">2 lanes</w:t>
            </w:r>
          </w:p>
        </w:tc>
        <w:tc>
          <w:p>
            <w:pPr>
              <w:jc w:val="left"/>
            </w:pPr>
            <w:r>
              <w:t xml:space="preserve">0.0775</w:t>
            </w:r>
          </w:p>
        </w:tc>
        <w:tc>
          <w:p>
            <w:pPr>
              <w:jc w:val="left"/>
            </w:pPr>
            <w:r>
              <w:t xml:space="preserve">24,127</w:t>
            </w:r>
          </w:p>
        </w:tc>
      </w:tr>
      <w:tr>
        <w:tc>
          <w:p>
            <w:pPr>
              <w:jc w:val="left"/>
            </w:pPr>
            <w:r>
              <w:t xml:space="preserve">1 lane</w:t>
            </w:r>
          </w:p>
        </w:tc>
        <w:tc>
          <w:p>
            <w:pPr>
              <w:jc w:val="left"/>
            </w:pPr>
            <w:r>
              <w:t xml:space="preserve">0.0881</w:t>
            </w:r>
          </w:p>
        </w:tc>
        <w:tc>
          <w:p>
            <w:pPr>
              <w:jc w:val="left"/>
            </w:pPr>
            <w:r>
              <w:t xml:space="preserve">27,411</w:t>
            </w:r>
          </w:p>
        </w:tc>
      </w:tr>
    </w:tbl>
    <w:p>
      <w:r>
        <w:t xml:space="preserve">A critical threshold emerges at 4 lanes: roads with 4+ lanes show </w:t>
      </w:r>
      <w:r>
        <w:rPr>
          <w:b/>
          <w:bCs/>
        </w:rPr>
        <w:t xml:space="preserve">7.8 times higher demand</w:t>
      </w:r>
      <w:r>
        <w:t xml:space="preserve"> than 2-3 lane roads. This suggests capacity availability directly enables and encourages traffic flow. Multi-lane roads (4-5 lanes) are predominantly highways, explaining the correlation with the previous factor.</w:t>
      </w:r>
    </w:p>
    <w:p>
      <w:r>
        <w:rPr>
          <w:b/>
          <w:bCs/>
        </w:rPr>
        <w:t xml:space="preserve">Standard Deviation Analysis:</w:t>
      </w:r>
    </w:p>
    <w:p>
      <w:pPr>
        <w:pStyle w:val="ListParagraph"/>
        <w:numPr>
          <w:ilvl w:val="0"/>
          <w:numId w:val="1"/>
        </w:numPr>
      </w:pPr>
      <w:r>
        <w:t xml:space="preserve">4-5 lanes: ±0.22-0.23 (high variability, reflects diverse highway conditions)</w:t>
      </w:r>
    </w:p>
    <w:p>
      <w:pPr>
        <w:pStyle w:val="ListParagraph"/>
        <w:numPr>
          <w:ilvl w:val="0"/>
          <w:numId w:val="1"/>
        </w:numPr>
      </w:pPr>
      <w:r>
        <w:t xml:space="preserve">1-3 lanes: ±0.09-0.13 (low variability, more consistent local traffic)</w:t>
      </w:r>
    </w:p>
    <w:p>
      <w:r>
        <w:rPr>
          <w:b/>
          <w:bCs/>
        </w:rPr>
        <w:t xml:space="preserve">Key Insight:</w:t>
      </w:r>
      <w:r>
        <w:t xml:space="preserve"> Road capacity is a strong predictor of demand. Four-lane roads appear to be the infrastructure threshold that enables sustained high-volume traffic.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3. Large Vehicles Allowed — 5.8% Impact Range (1.78x Difference)</w:t>
      </w:r>
    </w:p>
    <w:p>
      <w:r>
        <w:rPr>
          <w:b/>
          <w:bCs/>
        </w:rPr>
        <w:t xml:space="preserve">Moderate Infrastructure Factor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Large Vehicles</w:t>
            </w:r>
          </w:p>
        </w:tc>
        <w:tc>
          <w:p>
            <w:pPr>
              <w:jc w:val="left"/>
            </w:pPr>
            <w:r>
              <w:t xml:space="preserve">Average Demand</w:t>
            </w:r>
          </w:p>
        </w:tc>
        <w:tc>
          <w:p>
            <w:pPr>
              <w:jc w:val="left"/>
            </w:pPr>
            <w:r>
              <w:t xml:space="preserve">Observations</w:t>
            </w:r>
          </w:p>
        </w:tc>
      </w:tr>
      <w:tr>
        <w:tc>
          <w:p>
            <w:pPr>
              <w:jc w:val="left"/>
            </w:pPr>
            <w:r>
              <w:t xml:space="preserve">Allowed</w:t>
            </w:r>
          </w:p>
        </w:tc>
        <w:tc>
          <w:p>
            <w:pPr>
              <w:jc w:val="left"/>
            </w:pPr>
            <w:r>
              <w:t xml:space="preserve">0.1319</w:t>
            </w:r>
          </w:p>
        </w:tc>
        <w:tc>
          <w:p>
            <w:pPr>
              <w:jc w:val="left"/>
            </w:pPr>
            <w:r>
              <w:t xml:space="preserve">26,626</w:t>
            </w:r>
          </w:p>
        </w:tc>
      </w:tr>
      <w:tr>
        <w:tc>
          <w:p>
            <w:pPr>
              <w:jc w:val="left"/>
            </w:pPr>
            <w:r>
              <w:t xml:space="preserve">Not Allowed</w:t>
            </w:r>
          </w:p>
        </w:tc>
        <w:tc>
          <w:p>
            <w:pPr>
              <w:jc w:val="left"/>
            </w:pPr>
            <w:r>
              <w:t xml:space="preserve">0.0740</w:t>
            </w:r>
          </w:p>
        </w:tc>
        <w:tc>
          <w:p>
            <w:pPr>
              <w:jc w:val="left"/>
            </w:pPr>
            <w:r>
              <w:t xml:space="preserve">50,673</w:t>
            </w:r>
          </w:p>
        </w:tc>
      </w:tr>
    </w:tbl>
    <w:p>
      <w:r>
        <w:t xml:space="preserve">Roads permitting large vehicles (commercial trucks) show </w:t>
      </w:r>
      <w:r>
        <w:rPr>
          <w:b/>
          <w:bCs/>
        </w:rPr>
        <w:t xml:space="preserve">78% higher demand</w:t>
      </w:r>
      <w:r>
        <w:t xml:space="preserve"> than restricted roads. This factor accounts for 5.8% of total demand variance—a significant secondary effect after road type and lanes.</w:t>
      </w:r>
    </w:p>
    <w:p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1"/>
        </w:numPr>
      </w:pPr>
      <w:r>
        <w:t xml:space="preserve">Roads allowing large vehicles are typically major commercial corridors and highways</w:t>
      </w:r>
    </w:p>
    <w:p>
      <w:pPr>
        <w:pStyle w:val="ListParagraph"/>
        <w:numPr>
          <w:ilvl w:val="0"/>
          <w:numId w:val="1"/>
        </w:numPr>
      </w:pPr>
      <w:r>
        <w:t xml:space="preserve">This factor likely reflects the presence of commercial/industrial infrastructure</w:t>
      </w:r>
    </w:p>
    <w:p>
      <w:pPr>
        <w:pStyle w:val="ListParagraph"/>
        <w:numPr>
          <w:ilvl w:val="0"/>
          <w:numId w:val="1"/>
        </w:numPr>
      </w:pPr>
      <w:r>
        <w:t xml:space="preserve">The demand difference suggests both logistics traffic and associated commercial activity</w:t>
      </w:r>
    </w:p>
    <w:p>
      <w:r>
        <w:rPr>
          <w:b/>
          <w:bCs/>
        </w:rPr>
        <w:t xml:space="preserve">Key Insight:</w:t>
      </w:r>
      <w:r>
        <w:t xml:space="preserve"> Commercial accessibility is a meaningful demand driver. Locations with large vehicle access capture freight logistics and related commercial traffic.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4. Time of Day — 4.3% Impact Range (1.64x Difference)</w:t>
      </w:r>
    </w:p>
    <w:p>
      <w:r>
        <w:rPr>
          <w:b/>
          <w:bCs/>
        </w:rPr>
        <w:t xml:space="preserve">Predictable Daily Patterns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Time Period</w:t>
            </w:r>
          </w:p>
        </w:tc>
        <w:tc>
          <w:p>
            <w:pPr>
              <w:jc w:val="left"/>
            </w:pPr>
            <w:r>
              <w:t xml:space="preserve">Average Demand</w:t>
            </w:r>
          </w:p>
        </w:tc>
        <w:tc>
          <w:p>
            <w:pPr>
              <w:jc w:val="left"/>
            </w:pPr>
            <w:r>
              <w:t xml:space="preserve">Observations</w:t>
            </w:r>
          </w:p>
        </w:tc>
      </w:tr>
      <w:tr>
        <w:tc>
          <w:p>
            <w:pPr>
              <w:jc w:val="left"/>
            </w:pPr>
            <w:r>
              <w:t xml:space="preserve">Morning (6-11 AM)</w:t>
            </w:r>
          </w:p>
        </w:tc>
        <w:tc>
          <w:p>
            <w:pPr>
              <w:jc w:val="left"/>
            </w:pPr>
            <w:r>
              <w:t xml:space="preserve">0.1091</w:t>
            </w:r>
          </w:p>
        </w:tc>
        <w:tc>
          <w:p>
            <w:pPr>
              <w:jc w:val="left"/>
            </w:pPr>
            <w:r>
              <w:t xml:space="preserve">21,479</w:t>
            </w:r>
          </w:p>
        </w:tc>
      </w:tr>
      <w:tr>
        <w:tc>
          <w:p>
            <w:pPr>
              <w:jc w:val="left"/>
            </w:pPr>
            <w:r>
              <w:t xml:space="preserve">Afternoon (12-5 PM)</w:t>
            </w:r>
          </w:p>
        </w:tc>
        <w:tc>
          <w:p>
            <w:pPr>
              <w:jc w:val="left"/>
            </w:pPr>
            <w:r>
              <w:t xml:space="preserve">0.0970</w:t>
            </w:r>
          </w:p>
        </w:tc>
        <w:tc>
          <w:p>
            <w:pPr>
              <w:jc w:val="left"/>
            </w:pPr>
            <w:r>
              <w:t xml:space="preserve">16,168</w:t>
            </w:r>
          </w:p>
        </w:tc>
      </w:tr>
      <w:tr>
        <w:tc>
          <w:p>
            <w:pPr>
              <w:jc w:val="left"/>
            </w:pPr>
            <w:r>
              <w:t xml:space="preserve">Night (0-5 AM)</w:t>
            </w:r>
          </w:p>
        </w:tc>
        <w:tc>
          <w:p>
            <w:pPr>
              <w:jc w:val="left"/>
            </w:pPr>
            <w:r>
              <w:t xml:space="preserve">0.0916</w:t>
            </w:r>
          </w:p>
        </w:tc>
        <w:tc>
          <w:p>
            <w:pPr>
              <w:jc w:val="left"/>
            </w:pPr>
            <w:r>
              <w:t xml:space="preserve">28,563</w:t>
            </w:r>
          </w:p>
        </w:tc>
      </w:tr>
      <w:tr>
        <w:tc>
          <w:p>
            <w:pPr>
              <w:jc w:val="left"/>
            </w:pPr>
            <w:r>
              <w:t xml:space="preserve">Evening (6-11 PM)</w:t>
            </w:r>
          </w:p>
        </w:tc>
        <w:tc>
          <w:p>
            <w:pPr>
              <w:jc w:val="left"/>
            </w:pPr>
            <w:r>
              <w:t xml:space="preserve">0.0664</w:t>
            </w:r>
          </w:p>
        </w:tc>
        <w:tc>
          <w:p>
            <w:pPr>
              <w:jc w:val="left"/>
            </w:pPr>
            <w:r>
              <w:t xml:space="preserve">11,089</w:t>
            </w:r>
          </w:p>
        </w:tc>
      </w:tr>
    </w:tbl>
    <w:p>
      <w:r>
        <w:t xml:space="preserve">Demand peaks during morning commute hours (0.1091) and declines significantly by evening (0.0664)—a </w:t>
      </w:r>
      <w:r>
        <w:rPr>
          <w:b/>
          <w:bCs/>
        </w:rPr>
        <w:t xml:space="preserve">1.64x difference</w:t>
      </w:r>
      <w:r>
        <w:t xml:space="preserve">. This represents predictable daily rhythm in transportation patterns.</w:t>
      </w:r>
    </w:p>
    <w:p>
      <w:r>
        <w:rPr>
          <w:b/>
          <w:bCs/>
        </w:rPr>
        <w:t xml:space="preserve">Hourly Granularity: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Highest</w:t>
      </w:r>
      <w:r>
        <w:t xml:space="preserve">: 11:15 AM - 1:30 PM (0.1166-0.1192)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Lowest</w:t>
      </w:r>
      <w:r>
        <w:t xml:space="preserve">: 7:30 PM - 8:00 PM (0.0402-0.0440)</w:t>
      </w:r>
    </w:p>
    <w:p>
      <w:r>
        <w:rPr>
          <w:b/>
          <w:bCs/>
        </w:rPr>
        <w:t xml:space="preserve">Standard Deviation:</w:t>
      </w:r>
    </w:p>
    <w:p>
      <w:pPr>
        <w:pStyle w:val="ListParagraph"/>
        <w:numPr>
          <w:ilvl w:val="0"/>
          <w:numId w:val="1"/>
        </w:numPr>
      </w:pPr>
      <w:r>
        <w:t xml:space="preserve">Morning: ±0.159 (high variability, reflects diverse morning activities)</w:t>
      </w:r>
    </w:p>
    <w:p>
      <w:pPr>
        <w:pStyle w:val="ListParagraph"/>
        <w:numPr>
          <w:ilvl w:val="0"/>
          <w:numId w:val="1"/>
        </w:numPr>
      </w:pPr>
      <w:r>
        <w:t xml:space="preserve">Evening: ±0.105 (lower variability, consistent reduced traffic)</w:t>
      </w:r>
    </w:p>
    <w:p>
      <w:r>
        <w:rPr>
          <w:b/>
          <w:bCs/>
        </w:rPr>
        <w:t xml:space="preserve">Key Insight:</w:t>
      </w:r>
      <w:r>
        <w:t xml:space="preserve"> Time of day creates a consistent but moderate demand pattern. Morning peaks capture work commutes and business activity, while evenings show dramatic decline suggesting reduced commercial operations.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5. Temperature — 0.8% Impact Range (1.09x Difference)</w:t>
      </w:r>
    </w:p>
    <w:p>
      <w:r>
        <w:rPr>
          <w:b/>
          <w:bCs/>
        </w:rPr>
        <w:t xml:space="preserve">Negligible Environmental Effect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Temperature Range</w:t>
            </w:r>
          </w:p>
        </w:tc>
        <w:tc>
          <w:p>
            <w:pPr>
              <w:jc w:val="left"/>
            </w:pPr>
            <w:r>
              <w:t xml:space="preserve">Average Demand</w:t>
            </w:r>
          </w:p>
        </w:tc>
        <w:tc>
          <w:p>
            <w:pPr>
              <w:jc w:val="left"/>
            </w:pPr>
            <w:r>
              <w:t xml:space="preserve">Observations</w:t>
            </w:r>
          </w:p>
        </w:tc>
      </w:tr>
      <w:tr>
        <w:tc>
          <w:p>
            <w:pPr>
              <w:jc w:val="left"/>
            </w:pPr>
            <w:r>
              <w:t xml:space="preserve">30°C+</w:t>
            </w:r>
          </w:p>
        </w:tc>
        <w:tc>
          <w:p>
            <w:pPr>
              <w:jc w:val="left"/>
            </w:pPr>
            <w:r>
              <w:t xml:space="preserve">0.0969</w:t>
            </w:r>
          </w:p>
        </w:tc>
        <w:tc>
          <w:p>
            <w:pPr>
              <w:jc w:val="left"/>
            </w:pPr>
            <w:r>
              <w:t xml:space="preserve">2,478</w:t>
            </w:r>
          </w:p>
        </w:tc>
      </w:tr>
      <w:tr>
        <w:tc>
          <w:p>
            <w:pPr>
              <w:jc w:val="left"/>
            </w:pPr>
            <w:r>
              <w:t xml:space="preserve">20-30°C</w:t>
            </w:r>
          </w:p>
        </w:tc>
        <w:tc>
          <w:p>
            <w:pPr>
              <w:jc w:val="left"/>
            </w:pPr>
            <w:r>
              <w:t xml:space="preserve">0.0944</w:t>
            </w:r>
          </w:p>
        </w:tc>
        <w:tc>
          <w:p>
            <w:pPr>
              <w:jc w:val="left"/>
            </w:pPr>
            <w:r>
              <w:t xml:space="preserve">20,868</w:t>
            </w:r>
          </w:p>
        </w:tc>
      </w:tr>
      <w:tr>
        <w:tc>
          <w:p>
            <w:pPr>
              <w:jc w:val="left"/>
            </w:pPr>
            <w:r>
              <w:t xml:space="preserve">10-20°C</w:t>
            </w:r>
          </w:p>
        </w:tc>
        <w:tc>
          <w:p>
            <w:pPr>
              <w:jc w:val="left"/>
            </w:pPr>
            <w:r>
              <w:t xml:space="preserve">0.0937</w:t>
            </w:r>
          </w:p>
        </w:tc>
        <w:tc>
          <w:p>
            <w:pPr>
              <w:jc w:val="left"/>
            </w:pPr>
            <w:r>
              <w:t xml:space="preserve">37,068</w:t>
            </w:r>
          </w:p>
        </w:tc>
      </w:tr>
      <w:tr>
        <w:tc>
          <w:p>
            <w:pPr>
              <w:jc w:val="left"/>
            </w:pPr>
            <w:r>
              <w:t xml:space="preserve">0-10°C</w:t>
            </w:r>
          </w:p>
        </w:tc>
        <w:tc>
          <w:p>
            <w:pPr>
              <w:jc w:val="left"/>
            </w:pPr>
            <w:r>
              <w:t xml:space="preserve">0.0937</w:t>
            </w:r>
          </w:p>
        </w:tc>
        <w:tc>
          <w:p>
            <w:pPr>
              <w:jc w:val="left"/>
            </w:pPr>
            <w:r>
              <w:t xml:space="preserve">13,456</w:t>
            </w:r>
          </w:p>
        </w:tc>
      </w:tr>
      <w:tr>
        <w:tc>
          <w:p>
            <w:pPr>
              <w:jc w:val="left"/>
            </w:pPr>
            <w:r>
              <w:t xml:space="preserve">Below 0°C</w:t>
            </w:r>
          </w:p>
        </w:tc>
        <w:tc>
          <w:p>
            <w:pPr>
              <w:jc w:val="left"/>
            </w:pPr>
            <w:r>
              <w:t xml:space="preserve">0.0892</w:t>
            </w:r>
          </w:p>
        </w:tc>
        <w:tc>
          <w:p>
            <w:pPr>
              <w:jc w:val="left"/>
            </w:pPr>
            <w:r>
              <w:t xml:space="preserve">934</w:t>
            </w:r>
          </w:p>
        </w:tc>
      </w:tr>
    </w:tbl>
    <w:p>
      <w:r>
        <w:t xml:space="preserve">Temperature variation explains less than 1% of demand differences. Even extreme temperature ranges (below 0°C to 30°C+) show only a 1.09x difference in average demand.</w:t>
      </w:r>
    </w:p>
    <w:p>
      <w:r>
        <w:rPr>
          <w:b/>
          <w:bCs/>
        </w:rPr>
        <w:t xml:space="preserve">Key Insight:</w:t>
      </w:r>
      <w:r>
        <w:t xml:space="preserve"> Temperature has minimal impact on transportation demand. Users maintain relatively consistent travel patterns regardless of weather extremes, suggesting demand is driven by necessity rather than comfort.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6. Landmarks — 0.4% Impact Range (1.04x Difference)</w:t>
      </w:r>
    </w:p>
    <w:p>
      <w:r>
        <w:rPr>
          <w:b/>
          <w:bCs/>
        </w:rPr>
        <w:t xml:space="preserve">Virtually No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Landmarks</w:t>
            </w:r>
          </w:p>
        </w:tc>
        <w:tc>
          <w:p>
            <w:pPr>
              <w:jc w:val="left"/>
            </w:pPr>
            <w:r>
              <w:t xml:space="preserve">Average Demand</w:t>
            </w:r>
          </w:p>
        </w:tc>
        <w:tc>
          <w:p>
            <w:pPr>
              <w:jc w:val="left"/>
            </w:pPr>
            <w:r>
              <w:t xml:space="preserve">Observations</w:t>
            </w:r>
          </w:p>
        </w:tc>
      </w:tr>
      <w:tr>
        <w:tc>
          <w:p>
            <w:pPr>
              <w:jc w:val="left"/>
            </w:pPr>
            <w:r>
              <w:t xml:space="preserve">Without</w:t>
            </w:r>
          </w:p>
        </w:tc>
        <w:tc>
          <w:p>
            <w:pPr>
              <w:jc w:val="left"/>
            </w:pPr>
            <w:r>
              <w:t xml:space="preserve">0.0963</w:t>
            </w:r>
          </w:p>
        </w:tc>
        <w:tc>
          <w:p>
            <w:pPr>
              <w:jc w:val="left"/>
            </w:pPr>
            <w:r>
              <w:t xml:space="preserve">25,257</w:t>
            </w:r>
          </w:p>
        </w:tc>
      </w:tr>
      <w:tr>
        <w:tc>
          <w:p>
            <w:pPr>
              <w:jc w:val="left"/>
            </w:pPr>
            <w:r>
              <w:t xml:space="preserve">With</w:t>
            </w:r>
          </w:p>
        </w:tc>
        <w:tc>
          <w:p>
            <w:pPr>
              <w:jc w:val="left"/>
            </w:pPr>
            <w:r>
              <w:t xml:space="preserve">0.0928</w:t>
            </w:r>
          </w:p>
        </w:tc>
        <w:tc>
          <w:p>
            <w:pPr>
              <w:jc w:val="left"/>
            </w:pPr>
            <w:r>
              <w:t xml:space="preserve">52,042</w:t>
            </w:r>
          </w:p>
        </w:tc>
      </w:tr>
    </w:tbl>
    <w:p>
      <w:r>
        <w:t xml:space="preserve">The presence of landmarks shows only a </w:t>
      </w:r>
      <w:r>
        <w:rPr>
          <w:b/>
          <w:bCs/>
        </w:rPr>
        <w:t xml:space="preserve">3.5% reduction</w:t>
      </w:r>
      <w:r>
        <w:t xml:space="preserve"> in demand—effectively no meaningful difference. Demand is virtually identical whether landmarks are present or absent (0.0963 vs 0.0928).</w:t>
      </w:r>
    </w:p>
    <w:p>
      <w:r>
        <w:rPr>
          <w:b/>
          <w:bCs/>
        </w:rPr>
        <w:t xml:space="preserve">Key Insight:</w:t>
      </w:r>
      <w:r>
        <w:t xml:space="preserve"> Landmarks (tourist attractions, significant buildings) do not meaningfully drive transportation demand in this dataset. Traffic patterns are dominated by infrastructure and logistics rather than destination appeal.</w:t>
      </w: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7. Weather — 0.2% Impact Range (1.02x Difference)</w:t>
      </w:r>
    </w:p>
    <w:p>
      <w:r>
        <w:rPr>
          <w:b/>
          <w:bCs/>
        </w:rPr>
        <w:t xml:space="preserve">Minimal Effect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Weather</w:t>
            </w:r>
          </w:p>
        </w:tc>
        <w:tc>
          <w:p>
            <w:pPr>
              <w:jc w:val="left"/>
            </w:pPr>
            <w:r>
              <w:t xml:space="preserve">Average Demand</w:t>
            </w:r>
          </w:p>
        </w:tc>
        <w:tc>
          <w:p>
            <w:pPr>
              <w:jc w:val="left"/>
            </w:pPr>
            <w:r>
              <w:t xml:space="preserve">Observations</w:t>
            </w:r>
          </w:p>
        </w:tc>
      </w:tr>
      <w:tr>
        <w:tc>
          <w:p>
            <w:pPr>
              <w:jc w:val="left"/>
            </w:pPr>
            <w:r>
              <w:t xml:space="preserve">Rainy</w:t>
            </w:r>
          </w:p>
        </w:tc>
        <w:tc>
          <w:p>
            <w:pPr>
              <w:jc w:val="left"/>
            </w:pPr>
            <w:r>
              <w:t xml:space="preserve">0.0945</w:t>
            </w:r>
          </w:p>
        </w:tc>
        <w:tc>
          <w:p>
            <w:pPr>
              <w:jc w:val="left"/>
            </w:pPr>
            <w:r>
              <w:t xml:space="preserve">20,824</w:t>
            </w:r>
          </w:p>
        </w:tc>
      </w:tr>
      <w:tr>
        <w:tc>
          <w:p>
            <w:pPr>
              <w:jc w:val="left"/>
            </w:pPr>
            <w:r>
              <w:t xml:space="preserve">Sunny</w:t>
            </w:r>
          </w:p>
        </w:tc>
        <w:tc>
          <w:p>
            <w:pPr>
              <w:jc w:val="left"/>
            </w:pPr>
            <w:r>
              <w:t xml:space="preserve">0.0942</w:t>
            </w:r>
          </w:p>
        </w:tc>
        <w:tc>
          <w:p>
            <w:pPr>
              <w:jc w:val="left"/>
            </w:pPr>
            <w:r>
              <w:t xml:space="preserve">27,717</w:t>
            </w:r>
          </w:p>
        </w:tc>
      </w:tr>
      <w:tr>
        <w:tc>
          <w:p>
            <w:pPr>
              <w:jc w:val="left"/>
            </w:pPr>
            <w:r>
              <w:t xml:space="preserve">Foggy</w:t>
            </w:r>
          </w:p>
        </w:tc>
        <w:tc>
          <w:p>
            <w:pPr>
              <w:jc w:val="left"/>
            </w:pPr>
            <w:r>
              <w:t xml:space="preserve">0.0934</w:t>
            </w:r>
          </w:p>
        </w:tc>
        <w:tc>
          <w:p>
            <w:pPr>
              <w:jc w:val="left"/>
            </w:pPr>
            <w:r>
              <w:t xml:space="preserve">20,243</w:t>
            </w:r>
          </w:p>
        </w:tc>
      </w:tr>
      <w:tr>
        <w:tc>
          <w:p>
            <w:pPr>
              <w:jc w:val="left"/>
            </w:pPr>
            <w:r>
              <w:t xml:space="preserve">Snowy</w:t>
            </w:r>
          </w:p>
        </w:tc>
        <w:tc>
          <w:p>
            <w:pPr>
              <w:jc w:val="left"/>
            </w:pPr>
            <w:r>
              <w:t xml:space="preserve">0.0926</w:t>
            </w:r>
          </w:p>
        </w:tc>
        <w:tc>
          <w:p>
            <w:pPr>
              <w:jc w:val="left"/>
            </w:pPr>
            <w:r>
              <w:t xml:space="preserve">7,718</w:t>
            </w:r>
          </w:p>
        </w:tc>
      </w:tr>
    </w:tbl>
    <w:p>
      <w:r>
        <w:t xml:space="preserve">Weather conditions create only a </w:t>
      </w:r>
      <w:r>
        <w:rPr>
          <w:b/>
          <w:bCs/>
        </w:rPr>
        <w:t xml:space="preserve">0.2% demand range</w:t>
      </w:r>
      <w:r>
        <w:t xml:space="preserve">. Even snow—typically considered a major traffic disruptor—shows only marginally lower demand (0.0926) compared to sunny conditions (0.0942).</w:t>
      </w:r>
    </w:p>
    <w:p>
      <w:r>
        <w:rPr>
          <w:b/>
          <w:bCs/>
        </w:rPr>
        <w:t xml:space="preserve">Key Insight:</w:t>
      </w:r>
      <w:r>
        <w:t xml:space="preserve"> Weather has virtually no measurable impact on transportation demand. This suggests either robust road maintenance across conditions or that travel necessity overrides weather concerns.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Comparative Impact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Factor</w:t>
            </w:r>
          </w:p>
        </w:tc>
        <w:tc>
          <w:p>
            <w:pPr>
              <w:jc w:val="left"/>
            </w:pPr>
            <w:r>
              <w:t xml:space="preserve">Demand Range</w:t>
            </w:r>
          </w:p>
        </w:tc>
        <w:tc>
          <w:p>
            <w:pPr>
              <w:jc w:val="left"/>
            </w:pPr>
            <w:r>
              <w:t xml:space="preserve">Multiplier</w:t>
            </w:r>
          </w:p>
        </w:tc>
        <w:tc>
          <w:p>
            <w:pPr>
              <w:jc w:val="left"/>
            </w:pPr>
            <w:r>
              <w:t xml:space="preserve">% of Variance</w:t>
            </w:r>
          </w:p>
        </w:tc>
      </w:tr>
      <w:tr>
        <w:tc>
          <w:p>
            <w:pPr>
              <w:jc w:val="left"/>
            </w:pPr>
            <w:r>
              <w:t xml:space="preserve">Road Type</w:t>
            </w:r>
          </w:p>
        </w:tc>
        <w:tc>
          <w:p>
            <w:pPr>
              <w:jc w:val="left"/>
            </w:pPr>
            <w:r>
              <w:t xml:space="preserve">0.5535</w:t>
            </w:r>
          </w:p>
        </w:tc>
        <w:tc>
          <w:p>
            <w:pPr>
              <w:jc w:val="left"/>
            </w:pPr>
            <w:r>
              <w:t xml:space="preserve">10.68x</w:t>
            </w:r>
          </w:p>
        </w:tc>
        <w:tc>
          <w:p>
            <w:pPr>
              <w:jc w:val="left"/>
            </w:pPr>
            <w:r>
              <w:t xml:space="preserve">55.4%</w:t>
            </w:r>
          </w:p>
        </w:tc>
      </w:tr>
      <w:tr>
        <w:tc>
          <w:p>
            <w:pPr>
              <w:jc w:val="left"/>
            </w:pPr>
            <w:r>
              <w:t xml:space="preserve">Number of Lanes</w:t>
            </w:r>
          </w:p>
        </w:tc>
        <w:tc>
          <w:p>
            <w:pPr>
              <w:jc w:val="left"/>
            </w:pPr>
            <w:r>
              <w:t xml:space="preserve">0.5301</w:t>
            </w:r>
          </w:p>
        </w:tc>
        <w:tc>
          <w:p>
            <w:pPr>
              <w:jc w:val="left"/>
            </w:pPr>
            <w:r>
              <w:t xml:space="preserve">7.84x</w:t>
            </w:r>
          </w:p>
        </w:tc>
        <w:tc>
          <w:p>
            <w:pPr>
              <w:jc w:val="left"/>
            </w:pPr>
            <w:r>
              <w:t xml:space="preserve">53.0%</w:t>
            </w:r>
          </w:p>
        </w:tc>
      </w:tr>
      <w:tr>
        <w:tc>
          <w:p>
            <w:pPr>
              <w:jc w:val="left"/>
            </w:pPr>
            <w:r>
              <w:t xml:space="preserve">Large Vehicles</w:t>
            </w:r>
          </w:p>
        </w:tc>
        <w:tc>
          <w:p>
            <w:pPr>
              <w:jc w:val="left"/>
            </w:pPr>
            <w:r>
              <w:t xml:space="preserve">0.0579</w:t>
            </w:r>
          </w:p>
        </w:tc>
        <w:tc>
          <w:p>
            <w:pPr>
              <w:jc w:val="left"/>
            </w:pPr>
            <w:r>
              <w:t xml:space="preserve">1.78x</w:t>
            </w:r>
          </w:p>
        </w:tc>
        <w:tc>
          <w:p>
            <w:pPr>
              <w:jc w:val="left"/>
            </w:pPr>
            <w:r>
              <w:t xml:space="preserve">5.8%</w:t>
            </w:r>
          </w:p>
        </w:tc>
      </w:tr>
      <w:tr>
        <w:tc>
          <w:p>
            <w:pPr>
              <w:jc w:val="left"/>
            </w:pPr>
            <w:r>
              <w:t xml:space="preserve">Time of Day</w:t>
            </w:r>
          </w:p>
        </w:tc>
        <w:tc>
          <w:p>
            <w:pPr>
              <w:jc w:val="left"/>
            </w:pPr>
            <w:r>
              <w:t xml:space="preserve">0.0427</w:t>
            </w:r>
          </w:p>
        </w:tc>
        <w:tc>
          <w:p>
            <w:pPr>
              <w:jc w:val="left"/>
            </w:pPr>
            <w:r>
              <w:t xml:space="preserve">1.64x</w:t>
            </w:r>
          </w:p>
        </w:tc>
        <w:tc>
          <w:p>
            <w:pPr>
              <w:jc w:val="left"/>
            </w:pPr>
            <w:r>
              <w:t xml:space="preserve">4.3%</w:t>
            </w:r>
          </w:p>
        </w:tc>
      </w:tr>
      <w:tr>
        <w:tc>
          <w:p>
            <w:pPr>
              <w:jc w:val="left"/>
            </w:pPr>
            <w:r>
              <w:t xml:space="preserve">Temperature</w:t>
            </w:r>
          </w:p>
        </w:tc>
        <w:tc>
          <w:p>
            <w:pPr>
              <w:jc w:val="left"/>
            </w:pPr>
            <w:r>
              <w:t xml:space="preserve">0.0078</w:t>
            </w:r>
          </w:p>
        </w:tc>
        <w:tc>
          <w:p>
            <w:pPr>
              <w:jc w:val="left"/>
            </w:pPr>
            <w:r>
              <w:t xml:space="preserve">1.09x</w:t>
            </w:r>
          </w:p>
        </w:tc>
        <w:tc>
          <w:p>
            <w:pPr>
              <w:jc w:val="left"/>
            </w:pPr>
            <w:r>
              <w:t xml:space="preserve">0.8%</w:t>
            </w:r>
          </w:p>
        </w:tc>
      </w:tr>
      <w:tr>
        <w:tc>
          <w:p>
            <w:pPr>
              <w:jc w:val="left"/>
            </w:pPr>
            <w:r>
              <w:t xml:space="preserve">Landmarks</w:t>
            </w:r>
          </w:p>
        </w:tc>
        <w:tc>
          <w:p>
            <w:pPr>
              <w:jc w:val="left"/>
            </w:pPr>
            <w:r>
              <w:t xml:space="preserve">0.0035</w:t>
            </w:r>
          </w:p>
        </w:tc>
        <w:tc>
          <w:p>
            <w:pPr>
              <w:jc w:val="left"/>
            </w:pPr>
            <w:r>
              <w:t xml:space="preserve">1.04x</w:t>
            </w:r>
          </w:p>
        </w:tc>
        <w:tc>
          <w:p>
            <w:pPr>
              <w:jc w:val="left"/>
            </w:pPr>
            <w:r>
              <w:t xml:space="preserve">0.4%</w:t>
            </w:r>
          </w:p>
        </w:tc>
      </w:tr>
      <w:tr>
        <w:tc>
          <w:p>
            <w:pPr>
              <w:jc w:val="left"/>
            </w:pPr>
            <w:r>
              <w:t xml:space="preserve">Weather</w:t>
            </w:r>
          </w:p>
        </w:tc>
        <w:tc>
          <w:p>
            <w:pPr>
              <w:jc w:val="left"/>
            </w:pPr>
            <w:r>
              <w:t xml:space="preserve">0.0019</w:t>
            </w:r>
          </w:p>
        </w:tc>
        <w:tc>
          <w:p>
            <w:pPr>
              <w:jc w:val="left"/>
            </w:pPr>
            <w:r>
              <w:t xml:space="preserve">1.02x</w:t>
            </w:r>
          </w:p>
        </w:tc>
        <w:tc>
          <w:p>
            <w:pPr>
              <w:jc w:val="left"/>
            </w:pPr>
            <w:r>
              <w:t xml:space="preserve">0.2%</w:t>
            </w:r>
          </w:p>
        </w:tc>
      </w:tr>
    </w:tbl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Strategic Recommendations</w:t>
      </w:r>
    </w:p>
    <w:p>
      <w:pPr>
        <w:pStyle w:val="Heading2"/>
      </w:pPr>
      <w:r>
        <w:t xml:space="preserve">High-Priority Factors (Focus Investment)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Development</w:t>
      </w:r>
      <w:r>
        <w:t xml:space="preserve">: Road classification and capacity upgrades create the most dramatic demand changes. Transportation planning should prioritize multi-lane corridor development.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Commercial Access</w:t>
      </w:r>
      <w:r>
        <w:t xml:space="preserve">: Designating routes for large vehicle access attracts logistics and commercial traffic worth 78% premium demand.</w:t>
      </w:r>
    </w:p>
    <w:p>
      <w:pPr>
        <w:pStyle w:val="Heading2"/>
      </w:pPr>
      <w:r>
        <w:t xml:space="preserve">Moderate-Priority Factors (Monitor Performance)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Time-Based Management</w:t>
      </w:r>
      <w:r>
        <w:t xml:space="preserve">: Peak-hour demand management (morning 6-11 AM) can optimize flow during highest-volume periods.</w:t>
      </w:r>
    </w:p>
    <w:p>
      <w:pPr>
        <w:pStyle w:val="Heading2"/>
      </w:pPr>
      <w:r>
        <w:t xml:space="preserve">Low-Priority Factors (Not Worth Resources)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Weather Resilience</w:t>
      </w:r>
      <w:r>
        <w:t xml:space="preserve">: Weather mitigation shows minimal demand impact. Standard maintenance appears sufficient.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Landmark Development</w:t>
      </w:r>
      <w:r>
        <w:t xml:space="preserve">: Tourist or landmark development does not demonstrably drive transportation demand in this network.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Temperature Control</w:t>
      </w:r>
      <w:r>
        <w:t xml:space="preserve">: Environmental temperature has no meaningful effect on travel patterns.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Conclusion</w:t>
      </w:r>
    </w:p>
    <w:p>
      <w:r>
        <w:rPr>
          <w:b/>
          <w:bCs/>
        </w:rPr>
        <w:t xml:space="preserve">Infrastructure is destiny in transportation demand.</w:t>
      </w:r>
      <w:r>
        <w:t xml:space="preserve"> Road type and lane capacity together explain over 100% of the dominant demand variation patterns. These two factors should be the primary focus of transportation planning and investment decisions. Environmental and temporal factors, while present, explain less than 5% of demand variance and should be considered secondary considerations in planning efforts.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  <w:pPr>
        <w:ind w:start="720"/>
      </w:pPr>
    </w:lvl>
    <w:lvl w:ilvl="2" w15:tentative="1">
      <w:start w:val="1"/>
      <w:numFmt w:val="decimal"/>
      <w:lvlText w:val="%3."/>
      <w:lvlJc w:val="start"/>
      <w:pPr>
        <w:ind w:start="1440"/>
      </w:pPr>
    </w:lvl>
    <w:lvl w:ilvl="3" w15:tentative="1">
      <w:start w:val="1"/>
      <w:numFmt w:val="decimal"/>
      <w:lvlText w:val="%4."/>
      <w:lvlJc w:val="start"/>
      <w:pPr>
        <w:ind w:start="2160"/>
      </w:pPr>
    </w:lvl>
    <w:lvl w:ilvl="4" w15:tentative="1">
      <w:start w:val="1"/>
      <w:numFmt w:val="decimal"/>
      <w:lvlText w:val="%5."/>
      <w:lvlJc w:val="start"/>
      <w:pPr>
        <w:ind w:start="2880"/>
      </w:pPr>
    </w:lvl>
    <w:lvl w:ilvl="5" w15:tentative="1">
      <w:start w:val="1"/>
      <w:numFmt w:val="decimal"/>
      <w:lvlText w:val="%6."/>
      <w:lvlJc w:val="start"/>
      <w:pPr>
        <w:ind w:start="36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11pt"/>
        <w:szCs w:val="11pt"/>
        <w:rFonts w:ascii="Arial" w:cs="Arial" w:eastAsia="Arial" w:hAnsi="Arial"/>
      </w:rPr>
    </w:rPrDefault>
    <w:pPrDefault>
      <w:pPr>
        <w:spacing contextualSpacing="true" w:before="120" w:after="120" w:line="252" w:lineRule="auto"/>
      </w:pPr>
    </w:pPrDefault>
  </w:docDefaults>
  <w:style w:type="paragraph" w:styleId="Title">
    <w:name w:val="Title"/>
    <w:basedOn w:val="Normal"/>
    <w:next w:val="Normal"/>
    <w:qFormat/>
    <w:rPr>
      <w:sz w:val="24pt"/>
      <w:szCs w:val="24pt"/>
      <w:rFonts w:ascii="Calibri Light" w:cs="Calibri Light" w:eastAsia="Calibri Light" w:hAnsi="Calibri Light"/>
    </w:rPr>
  </w:style>
  <w:style w:type="paragraph" w:styleId="Heading1">
    <w:name w:val="Heading 1"/>
    <w:basedOn w:val="Normal"/>
    <w:next w:val="Normal"/>
    <w:qFormat/>
    <w:pPr>
      <w:keepNext/>
    </w:pPr>
    <w:rPr>
      <w:sz w:val="18pt"/>
      <w:szCs w:val="18pt"/>
    </w:rPr>
  </w:style>
  <w:style w:type="paragraph" w:styleId="Heading2">
    <w:name w:val="Heading 2"/>
    <w:basedOn w:val="Normal"/>
    <w:next w:val="Normal"/>
    <w:qFormat/>
    <w:pPr>
      <w:keepNext/>
    </w:pPr>
    <w:rPr>
      <w:sz w:val="16pt"/>
      <w:szCs w:val="16pt"/>
    </w:rPr>
  </w:style>
  <w:style w:type="paragraph" w:styleId="Heading3">
    <w:name w:val="Heading 3"/>
    <w:basedOn w:val="Normal"/>
    <w:next w:val="Normal"/>
    <w:qFormat/>
    <w:rPr>
      <w:sz w:val="14pt"/>
      <w:szCs w:val="14pt"/>
    </w:rPr>
  </w:style>
  <w:style w:type="paragraph" w:styleId="Heading4">
    <w:name w:val="Heading 4"/>
    <w:basedOn w:val="Normal"/>
    <w:next w:val="Normal"/>
    <w:qFormat/>
    <w:rPr>
      <w:sz w:val="12pt"/>
      <w:szCs w:val="12pt"/>
    </w:rPr>
  </w:style>
  <w:style w:type="paragraph" w:styleId="Heading5">
    <w:name w:val="Heading 5"/>
    <w:basedOn w:val="Normal"/>
    <w:next w:val="Normal"/>
    <w:qFormat/>
    <w:rPr>
      <w:sz w:val="9pt"/>
      <w:szCs w:val="9pt"/>
      <w:rFonts w:ascii="Consolas" w:cs="Consolas" w:eastAsia="Consolas" w:hAnsi="Consolas"/>
    </w:rPr>
  </w:style>
  <w:style w:type="paragraph" w:styleId="Heading6">
    <w:name w:val="Heading 6"/>
    <w:basedOn w:val="Normal"/>
    <w:next w:val="Normal"/>
    <w:qFormat/>
    <w:rPr>
      <w:i/>
      <w:iCs/>
      <w:sz w:val="11pt"/>
      <w:szCs w:val="11pt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before="60" contextualSpacing="true"/>
      <w:ind w:left="360" w:hanging="360"/>
    </w:pPr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2026-05-30T19:52:57.217Z</dcterms:created>
  <dcterms:modified xsi:type="dcterms:W3CDTF">2026-05-30T19:52:57.217Z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