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8E5" w:rsidRPr="001838E5" w:rsidRDefault="001838E5" w:rsidP="001838E5">
      <w:pPr>
        <w:rPr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color w:val="000000"/>
        </w:rPr>
        <w:t>MRI Principle and Physics</w:t>
      </w:r>
      <w:r w:rsidRPr="001838E5">
        <w:rPr>
          <w:rFonts w:ascii="Bookman Old Style" w:eastAsia="Times New Roman" w:hAnsi="Bookman Old Style" w:cs="Times New Roman"/>
          <w:b/>
          <w:color w:val="000000"/>
          <w:sz w:val="18"/>
          <w:szCs w:val="18"/>
        </w:rPr>
        <w:t xml:space="preserve"> BVORAD-402</w:t>
      </w:r>
    </w:p>
    <w:p w:rsidR="001838E5" w:rsidRPr="001838E5" w:rsidRDefault="001838E5" w:rsidP="001838E5">
      <w:pPr>
        <w:rPr>
          <w:b/>
          <w:sz w:val="24"/>
          <w:szCs w:val="24"/>
        </w:rPr>
      </w:pPr>
      <w:r w:rsidRPr="001838E5">
        <w:rPr>
          <w:b/>
          <w:sz w:val="24"/>
          <w:szCs w:val="24"/>
        </w:rPr>
        <w:t xml:space="preserve">UNIT-1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Basic Principles of </w:t>
      </w:r>
      <w:proofErr w:type="spellStart"/>
      <w:r w:rsidRPr="001838E5">
        <w:rPr>
          <w:sz w:val="24"/>
          <w:szCs w:val="24"/>
        </w:rPr>
        <w:t>MRI,Atomic</w:t>
      </w:r>
      <w:proofErr w:type="spellEnd"/>
      <w:r w:rsidRPr="001838E5">
        <w:rPr>
          <w:sz w:val="24"/>
          <w:szCs w:val="24"/>
        </w:rPr>
        <w:t xml:space="preserve"> Structure, Motion in the </w:t>
      </w:r>
      <w:proofErr w:type="spellStart"/>
      <w:r w:rsidRPr="001838E5">
        <w:rPr>
          <w:sz w:val="24"/>
          <w:szCs w:val="24"/>
        </w:rPr>
        <w:t>atom,MR</w:t>
      </w:r>
      <w:proofErr w:type="spellEnd"/>
      <w:r w:rsidRPr="001838E5">
        <w:rPr>
          <w:sz w:val="24"/>
          <w:szCs w:val="24"/>
        </w:rPr>
        <w:t xml:space="preserve"> Active </w:t>
      </w:r>
      <w:proofErr w:type="spellStart"/>
      <w:r w:rsidRPr="001838E5">
        <w:rPr>
          <w:sz w:val="24"/>
          <w:szCs w:val="24"/>
        </w:rPr>
        <w:t>Nuclei,Alignment,Precession,Larmor</w:t>
      </w:r>
      <w:proofErr w:type="spellEnd"/>
      <w:r w:rsidRPr="001838E5">
        <w:rPr>
          <w:sz w:val="24"/>
          <w:szCs w:val="24"/>
        </w:rPr>
        <w:t xml:space="preserve"> Equation, Resonance and Result of </w:t>
      </w:r>
      <w:proofErr w:type="spellStart"/>
      <w:r w:rsidRPr="001838E5">
        <w:rPr>
          <w:sz w:val="24"/>
          <w:szCs w:val="24"/>
        </w:rPr>
        <w:t>Resonance,MRsignal,Free</w:t>
      </w:r>
      <w:proofErr w:type="spellEnd"/>
      <w:r w:rsidRPr="001838E5">
        <w:rPr>
          <w:sz w:val="24"/>
          <w:szCs w:val="24"/>
        </w:rPr>
        <w:t xml:space="preserve"> Induction Decay Signal (FID), Relaxation, T 1 Recovery and T 2 Decay, Pulse Timing </w:t>
      </w:r>
      <w:proofErr w:type="spellStart"/>
      <w:r w:rsidRPr="001838E5">
        <w:rPr>
          <w:sz w:val="24"/>
          <w:szCs w:val="24"/>
        </w:rPr>
        <w:t>Parameters,Instrumentation</w:t>
      </w:r>
      <w:proofErr w:type="spellEnd"/>
      <w:r w:rsidRPr="001838E5">
        <w:rPr>
          <w:sz w:val="24"/>
          <w:szCs w:val="24"/>
        </w:rPr>
        <w:t xml:space="preserve"> and Equipment of MRI Introduction,Magnetism,PermanentMagnets,Electromagnets,SuperconductingElectromagnets ,</w:t>
      </w:r>
      <w:proofErr w:type="spellStart"/>
      <w:r w:rsidRPr="001838E5">
        <w:rPr>
          <w:sz w:val="24"/>
          <w:szCs w:val="24"/>
        </w:rPr>
        <w:t>FringeFields,ShimCoils,GradientCoils,Radio</w:t>
      </w:r>
      <w:proofErr w:type="spellEnd"/>
      <w:r w:rsidRPr="001838E5">
        <w:rPr>
          <w:sz w:val="24"/>
          <w:szCs w:val="24"/>
        </w:rPr>
        <w:t xml:space="preserve"> Frequency (RF  Patient Transportation System, MR Computer Systems and the User Interface, MRI safety and Site Planning </w:t>
      </w:r>
    </w:p>
    <w:p w:rsidR="001838E5" w:rsidRPr="001838E5" w:rsidRDefault="001838E5" w:rsidP="001838E5">
      <w:pPr>
        <w:rPr>
          <w:b/>
          <w:sz w:val="24"/>
          <w:szCs w:val="24"/>
        </w:rPr>
      </w:pPr>
      <w:r w:rsidRPr="001838E5">
        <w:rPr>
          <w:b/>
          <w:sz w:val="24"/>
          <w:szCs w:val="24"/>
        </w:rPr>
        <w:t xml:space="preserve">UNIT-2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Government Guidelines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Safety Terminology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Hardware and Magnetic Field Considerations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Radio Frequency Fields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Gradient Magnetic Fields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The Main Magnetic Field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Projectiles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</w:t>
      </w:r>
      <w:proofErr w:type="spellStart"/>
      <w:r w:rsidRPr="001838E5">
        <w:rPr>
          <w:sz w:val="24"/>
          <w:szCs w:val="24"/>
        </w:rPr>
        <w:t>Siting</w:t>
      </w:r>
      <w:proofErr w:type="spellEnd"/>
      <w:r w:rsidRPr="001838E5">
        <w:rPr>
          <w:sz w:val="24"/>
          <w:szCs w:val="24"/>
        </w:rPr>
        <w:t xml:space="preserve"> Considerations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MRI Facility Zones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Safety Education </w:t>
      </w:r>
    </w:p>
    <w:p w:rsidR="001838E5" w:rsidRPr="001838E5" w:rsidRDefault="001838E5" w:rsidP="001838E5">
      <w:pPr>
        <w:rPr>
          <w:b/>
          <w:sz w:val="24"/>
          <w:szCs w:val="24"/>
        </w:rPr>
      </w:pPr>
      <w:r w:rsidRPr="001838E5">
        <w:rPr>
          <w:b/>
          <w:sz w:val="24"/>
          <w:szCs w:val="24"/>
        </w:rPr>
        <w:t xml:space="preserve"> UNIT 3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Protection of General Public from the Fringe Field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Implants and Prostheses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Pacemakers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Patient Conditions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Safety Policy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lastRenderedPageBreak/>
        <w:t xml:space="preserve"> Image weighting and Contrast in MRI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Introduction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Image Contrast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Contrast Mechanisms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Relaxation in Different Tissues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T1 Contrast &amp; T2 Contrast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Proton Density Contrast Weighting </w:t>
      </w:r>
    </w:p>
    <w:p w:rsidR="001838E5" w:rsidRPr="001838E5" w:rsidRDefault="001838E5" w:rsidP="001838E5">
      <w:pPr>
        <w:rPr>
          <w:b/>
          <w:sz w:val="24"/>
          <w:szCs w:val="24"/>
        </w:rPr>
      </w:pPr>
      <w:r w:rsidRPr="001838E5">
        <w:rPr>
          <w:b/>
          <w:sz w:val="24"/>
          <w:szCs w:val="24"/>
        </w:rPr>
        <w:t xml:space="preserve">UNIT 4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Introduction to Pulse Sequences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The spin echo pulse sequence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Timing parameters in spin echo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The gradient echo pulse sequence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Gradients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The advantages of gradient echo pulse sequences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The disadvantages of gradient echo pulse </w:t>
      </w:r>
    </w:p>
    <w:p w:rsidR="001838E5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Timing parameters in gradient echo </w:t>
      </w:r>
    </w:p>
    <w:p w:rsidR="003A4E21" w:rsidRPr="001838E5" w:rsidRDefault="001838E5" w:rsidP="001838E5">
      <w:pPr>
        <w:rPr>
          <w:sz w:val="24"/>
          <w:szCs w:val="24"/>
        </w:rPr>
      </w:pPr>
      <w:r w:rsidRPr="001838E5">
        <w:rPr>
          <w:sz w:val="24"/>
          <w:szCs w:val="24"/>
        </w:rPr>
        <w:t xml:space="preserve"> Weighting and contrast in gradient echo</w:t>
      </w:r>
    </w:p>
    <w:sectPr w:rsidR="003A4E21" w:rsidRPr="001838E5" w:rsidSect="003A4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1838E5"/>
    <w:rsid w:val="001838E5"/>
    <w:rsid w:val="003A4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2023-01-17T07:10:00Z</dcterms:created>
  <dcterms:modified xsi:type="dcterms:W3CDTF">2023-01-17T07:12:00Z</dcterms:modified>
</cp:coreProperties>
</file>