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Quarterly Business Report</w:t>
      </w:r>
    </w:p>
    <w:p>
      <w:pPr>
        <w:jc w:val="left"/>
      </w:pPr>
      <w:r>
        <w:rPr>
          <w:i/>
          <w:sz w:val="22"/>
        </w:rPr>
        <w:t>Auto-generated by multi-agent GenAI pipeline</w:t>
      </w:r>
    </w:p>
    <w:p>
      <w:pPr>
        <w:pStyle w:val="Heading1"/>
      </w:pPr>
      <w:r>
        <w:rPr>
          <w:color w:val="1B2A4A"/>
        </w:rP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$12,410,000</w:t>
            </w:r>
          </w:p>
        </w:tc>
      </w:tr>
      <w:tr>
        <w:tc>
          <w:tcPr>
            <w:tcW w:type="dxa" w:w="4320"/>
          </w:tcPr>
          <w:p>
            <w:r>
              <w:t>Total Units Sold</w:t>
            </w:r>
          </w:p>
        </w:tc>
        <w:tc>
          <w:tcPr>
            <w:tcW w:type="dxa" w:w="4320"/>
          </w:tcPr>
          <w:p>
            <w:r>
              <w:t>32,110</w:t>
            </w:r>
          </w:p>
        </w:tc>
      </w:tr>
      <w:tr>
        <w:tc>
          <w:tcPr>
            <w:tcW w:type="dxa" w:w="4320"/>
          </w:tcPr>
          <w:p>
            <w:r>
              <w:t>Q1→Q4 Revenue Growth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t>Top Region by Revenue</w:t>
            </w:r>
          </w:p>
        </w:tc>
        <w:tc>
          <w:tcPr>
            <w:tcW w:type="dxa" w:w="4320"/>
          </w:tcPr>
          <w:p>
            <w:r>
              <w:t>North America</w:t>
            </w:r>
          </w:p>
        </w:tc>
      </w:tr>
      <w:tr>
        <w:tc>
          <w:tcPr>
            <w:tcW w:type="dxa" w:w="4320"/>
          </w:tcPr>
          <w:p>
            <w:r>
              <w:t>Top Region by Net Customer Growth</w:t>
            </w:r>
          </w:p>
        </w:tc>
        <w:tc>
          <w:tcPr>
            <w:tcW w:type="dxa" w:w="4320"/>
          </w:tcPr>
          <w:p>
            <w:r>
              <w:t>North America</w:t>
            </w:r>
          </w:p>
        </w:tc>
      </w:tr>
    </w:tbl>
    <w:p>
      <w:pPr>
        <w:pStyle w:val="Heading1"/>
      </w:pPr>
      <w:r>
        <w:rPr>
          <w:color w:val="1B2A4A"/>
        </w:rPr>
        <w:t>Data Findings</w:t>
      </w:r>
    </w:p>
    <w:p>
      <w:pPr>
        <w:pStyle w:val="ListBullet"/>
      </w:pPr>
      <w:r>
        <w:t>Total revenue across all regions grew from roughly $2.79M in Q1 to $3.51M in Q4.</w:t>
      </w:r>
    </w:p>
    <w:p>
      <w:pPr>
        <w:pStyle w:val="ListBullet"/>
      </w:pPr>
      <w:r>
        <w:t>APAC had the smallest revenue base but the fastest growth rate.</w:t>
      </w:r>
    </w:p>
    <w:p>
      <w:pPr>
        <w:pStyle w:val="ListBullet"/>
      </w:pPr>
      <w:r>
        <w:t>Churned customers declined in APAC and EMEA across the year but rose in North America in Q3 before recovering in Q4.</w:t>
      </w:r>
    </w:p>
    <w:p>
      <w:pPr>
        <w:pStyle w:val="Heading1"/>
      </w:pPr>
      <w:r>
        <w:rPr>
          <w:color w:val="1B2A4A"/>
        </w:rPr>
        <w:t>Inferences &amp; Recommendations</w:t>
      </w:r>
    </w:p>
    <w:p>
      <w:pPr>
        <w:pStyle w:val="ListBullet"/>
      </w:pPr>
      <w:r>
        <w:t>Revenue grew across all three regions quarter over quarter, with APAC showing the steepest acceleration (+39% Q1-&gt;Q4).</w:t>
      </w:r>
    </w:p>
    <w:p>
      <w:pPr>
        <w:pStyle w:val="ListBullet"/>
      </w:pPr>
      <w:r>
        <w:t>North America remains the largest revenue base but has the highest customer churn of the three regions, worth flagging to account teams.</w:t>
      </w:r>
    </w:p>
    <w:p>
      <w:pPr>
        <w:pStyle w:val="ListBullet"/>
      </w:pPr>
      <w:r>
        <w:t>EMEA shows the most stable net customer growth (new minus churned), suggesting retention practices there could be a template for other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