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F3D9" w14:textId="77777777" w:rsidR="00F80E4C" w:rsidRPr="00F80E4C" w:rsidRDefault="00F80E4C" w:rsidP="00F80E4C">
      <w:pPr>
        <w:shd w:val="clear" w:color="auto" w:fill="FFFFFF"/>
        <w:spacing w:before="300" w:after="150" w:line="240" w:lineRule="auto"/>
        <w:outlineLvl w:val="2"/>
        <w:rPr>
          <w:rFonts w:ascii="Helvetica" w:eastAsia="Times New Roman" w:hAnsi="Helvetica" w:cs="Times New Roman"/>
          <w:color w:val="333333"/>
          <w:sz w:val="36"/>
          <w:szCs w:val="36"/>
          <w:lang w:eastAsia="en-IN"/>
        </w:rPr>
      </w:pPr>
      <w:r w:rsidRPr="00F80E4C">
        <w:rPr>
          <w:rFonts w:ascii="Helvetica" w:eastAsia="Times New Roman" w:hAnsi="Helvetica" w:cs="Times New Roman"/>
          <w:color w:val="333333"/>
          <w:sz w:val="36"/>
          <w:szCs w:val="36"/>
          <w:lang w:eastAsia="en-IN"/>
        </w:rPr>
        <w:t>Extract services from the monolith</w:t>
      </w:r>
    </w:p>
    <w:p w14:paraId="4B18B508"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While implementing new functionality as services is extremely useful, the only way of eliminating the monolith is to incrementally extract modules out of the monolith and convert them into services. For example, let’s imagine that the FTGO team wants to improve the efficiency of the business and customer satisfaction by rapidly iterating on the courier scheduling algorithm. It will be a lot easier for them to work on the delivery management logic if it’s a separate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 To do that, the FTGO team must separate delivery management from order management and convert it into service.</w:t>
      </w:r>
    </w:p>
    <w:p w14:paraId="0DE5CEA6" w14:textId="0206F85B"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drawing>
          <wp:inline distT="0" distB="0" distL="0" distR="0" wp14:anchorId="5A5538F8" wp14:editId="25B3E939">
            <wp:extent cx="5731510" cy="3416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44356882"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Extracting the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 consists of the following the steps:</w:t>
      </w:r>
    </w:p>
    <w:p w14:paraId="4FF71187" w14:textId="77777777" w:rsidR="00F80E4C" w:rsidRPr="00F80E4C" w:rsidRDefault="00F80E4C" w:rsidP="00F80E4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Split the code and convert delivery management into a separate, loosely coupled module within the monolith</w:t>
      </w:r>
    </w:p>
    <w:p w14:paraId="54683AC3" w14:textId="77777777" w:rsidR="00F80E4C" w:rsidRPr="00F80E4C" w:rsidRDefault="00F80E4C" w:rsidP="00F80E4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Split the database and define a separate schema for delivery management.</w:t>
      </w:r>
    </w:p>
    <w:p w14:paraId="3DA3390F" w14:textId="77777777" w:rsidR="00F80E4C" w:rsidRPr="00F80E4C" w:rsidRDefault="00F80E4C" w:rsidP="00F80E4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Define a standalone </w:t>
      </w:r>
      <w:r w:rsidRPr="00F80E4C">
        <w:rPr>
          <w:rFonts w:ascii="Consolas" w:eastAsia="Times New Roman" w:hAnsi="Consolas" w:cs="Courier New"/>
          <w:color w:val="C7254E"/>
          <w:sz w:val="19"/>
          <w:szCs w:val="19"/>
          <w:shd w:val="clear" w:color="auto" w:fill="F9F2F4"/>
          <w:lang w:eastAsia="en-IN"/>
        </w:rPr>
        <w:t>Delivery Service</w:t>
      </w:r>
    </w:p>
    <w:p w14:paraId="39D0D5B5" w14:textId="77777777" w:rsidR="00F80E4C" w:rsidRPr="00F80E4C" w:rsidRDefault="00F80E4C" w:rsidP="00F80E4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Use the standalone </w:t>
      </w:r>
      <w:r w:rsidRPr="00F80E4C">
        <w:rPr>
          <w:rFonts w:ascii="Consolas" w:eastAsia="Times New Roman" w:hAnsi="Consolas" w:cs="Courier New"/>
          <w:color w:val="C7254E"/>
          <w:sz w:val="19"/>
          <w:szCs w:val="19"/>
          <w:shd w:val="clear" w:color="auto" w:fill="F9F2F4"/>
          <w:lang w:eastAsia="en-IN"/>
        </w:rPr>
        <w:t>Delivery Service</w:t>
      </w:r>
    </w:p>
    <w:p w14:paraId="1BA351C1" w14:textId="77777777" w:rsidR="00F80E4C" w:rsidRPr="00F80E4C" w:rsidRDefault="00F80E4C" w:rsidP="00F80E4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Remove the old and now unused delivery management functionality from the FTGO monolith</w:t>
      </w:r>
    </w:p>
    <w:p w14:paraId="63841A26"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Before looking at each of these steps, let’s first review the AS-IS code.</w:t>
      </w:r>
    </w:p>
    <w:p w14:paraId="5DEC171E"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pict w14:anchorId="1277703E">
          <v:rect id="_x0000_i1026" style="width:0;height:0" o:hralign="center" o:hrstd="t" o:hrnoshade="t" o:hr="t" fillcolor="#333" stroked="f"/>
        </w:pict>
      </w:r>
    </w:p>
    <w:p w14:paraId="453FC8A4"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0: Review AS-IS code</w:t>
      </w:r>
    </w:p>
    <w:p w14:paraId="3B012740" w14:textId="6B0ACF61"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lastRenderedPageBreak/>
        <w:drawing>
          <wp:inline distT="0" distB="0" distL="0" distR="0" wp14:anchorId="0B19AE74" wp14:editId="430D29D6">
            <wp:extent cx="5731510" cy="7722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22870"/>
                    </a:xfrm>
                    <a:prstGeom prst="rect">
                      <a:avLst/>
                    </a:prstGeom>
                    <a:noFill/>
                    <a:ln>
                      <a:noFill/>
                    </a:ln>
                  </pic:spPr>
                </pic:pic>
              </a:graphicData>
            </a:graphic>
          </wp:inline>
        </w:drawing>
      </w:r>
    </w:p>
    <w:p w14:paraId="364B9CC4"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In the </w:t>
      </w:r>
      <w:hyperlink r:id="rId9" w:history="1">
        <w:r w:rsidRPr="00F80E4C">
          <w:rPr>
            <w:rFonts w:ascii="Helvetica" w:eastAsia="Times New Roman" w:hAnsi="Helvetica" w:cs="Times New Roman"/>
            <w:color w:val="428BCA"/>
            <w:sz w:val="21"/>
            <w:szCs w:val="21"/>
            <w:u w:val="single"/>
            <w:lang w:eastAsia="en-IN"/>
          </w:rPr>
          <w:t>FTGO monolithic application</w:t>
        </w:r>
      </w:hyperlink>
      <w:r w:rsidRPr="00F80E4C">
        <w:rPr>
          <w:rFonts w:ascii="Helvetica" w:eastAsia="Times New Roman" w:hAnsi="Helvetica" w:cs="Times New Roman"/>
          <w:color w:val="333333"/>
          <w:sz w:val="21"/>
          <w:szCs w:val="21"/>
          <w:lang w:eastAsia="en-IN"/>
        </w:rPr>
        <w:t>, </w:t>
      </w:r>
      <w:r w:rsidRPr="00F80E4C">
        <w:rPr>
          <w:rFonts w:ascii="Consolas" w:eastAsia="Times New Roman" w:hAnsi="Consolas" w:cs="Courier New"/>
          <w:color w:val="C7254E"/>
          <w:sz w:val="19"/>
          <w:szCs w:val="19"/>
          <w:shd w:val="clear" w:color="auto" w:fill="F9F2F4"/>
          <w:lang w:eastAsia="en-IN"/>
        </w:rPr>
        <w:t>Order management</w:t>
      </w:r>
      <w:r w:rsidRPr="00F80E4C">
        <w:rPr>
          <w:rFonts w:ascii="Helvetica" w:eastAsia="Times New Roman" w:hAnsi="Helvetica" w:cs="Times New Roman"/>
          <w:color w:val="333333"/>
          <w:sz w:val="21"/>
          <w:szCs w:val="21"/>
          <w:lang w:eastAsia="en-IN"/>
        </w:rPr>
        <w:t> and </w:t>
      </w:r>
      <w:r w:rsidRPr="00F80E4C">
        <w:rPr>
          <w:rFonts w:ascii="Consolas" w:eastAsia="Times New Roman" w:hAnsi="Consolas" w:cs="Courier New"/>
          <w:color w:val="C7254E"/>
          <w:sz w:val="19"/>
          <w:szCs w:val="19"/>
          <w:shd w:val="clear" w:color="auto" w:fill="F9F2F4"/>
          <w:lang w:eastAsia="en-IN"/>
        </w:rPr>
        <w:t>Delivery management</w:t>
      </w:r>
      <w:r w:rsidRPr="00F80E4C">
        <w:rPr>
          <w:rFonts w:ascii="Helvetica" w:eastAsia="Times New Roman" w:hAnsi="Helvetica" w:cs="Times New Roman"/>
          <w:color w:val="333333"/>
          <w:sz w:val="21"/>
          <w:szCs w:val="21"/>
          <w:lang w:eastAsia="en-IN"/>
        </w:rPr>
        <w:t> are intertwined as shown in this diagram.</w:t>
      </w:r>
    </w:p>
    <w:p w14:paraId="0DC9CEDE"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10"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the AS-IS architecture.</w:t>
      </w:r>
    </w:p>
    <w:p w14:paraId="1211CEF4"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lastRenderedPageBreak/>
        <w:pict w14:anchorId="734646E5">
          <v:rect id="_x0000_i1028" style="width:0;height:0" o:hralign="center" o:hrstd="t" o:hrnoshade="t" o:hr="t" fillcolor="#333" stroked="f"/>
        </w:pict>
      </w:r>
    </w:p>
    <w:p w14:paraId="503D11E0"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1: Split the code</w:t>
      </w:r>
    </w:p>
    <w:p w14:paraId="51E390CC" w14:textId="055DF334"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drawing>
          <wp:inline distT="0" distB="0" distL="0" distR="0" wp14:anchorId="6A1AA637" wp14:editId="3A7DC0E5">
            <wp:extent cx="5731510" cy="3973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73195"/>
                    </a:xfrm>
                    <a:prstGeom prst="rect">
                      <a:avLst/>
                    </a:prstGeom>
                    <a:noFill/>
                    <a:ln>
                      <a:noFill/>
                    </a:ln>
                  </pic:spPr>
                </pic:pic>
              </a:graphicData>
            </a:graphic>
          </wp:inline>
        </w:drawing>
      </w:r>
    </w:p>
    <w:p w14:paraId="2236B475"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The first step is to split the code and convert delivery management into a separate, loosely coupled module within the monolith.</w:t>
      </w:r>
    </w:p>
    <w:p w14:paraId="27B5B7E2"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12"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how the code is split.</w:t>
      </w:r>
    </w:p>
    <w:p w14:paraId="015C289B"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pict w14:anchorId="1B6782E5">
          <v:rect id="_x0000_i1030" style="width:0;height:0" o:hralign="center" o:hrstd="t" o:hrnoshade="t" o:hr="t" fillcolor="#333" stroked="f"/>
        </w:pict>
      </w:r>
    </w:p>
    <w:p w14:paraId="478E6B12"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2: Split the database</w:t>
      </w:r>
    </w:p>
    <w:p w14:paraId="3DAE6430" w14:textId="7CE7B352"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lastRenderedPageBreak/>
        <w:drawing>
          <wp:inline distT="0" distB="0" distL="0" distR="0" wp14:anchorId="6D1548C8" wp14:editId="1140C58F">
            <wp:extent cx="5731510" cy="3493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93135"/>
                    </a:xfrm>
                    <a:prstGeom prst="rect">
                      <a:avLst/>
                    </a:prstGeom>
                    <a:noFill/>
                    <a:ln>
                      <a:noFill/>
                    </a:ln>
                  </pic:spPr>
                </pic:pic>
              </a:graphicData>
            </a:graphic>
          </wp:inline>
        </w:drawing>
      </w:r>
    </w:p>
    <w:p w14:paraId="664651CA"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The second step is split the database and define a separate database schema for the </w:t>
      </w:r>
      <w:proofErr w:type="spellStart"/>
      <w:r w:rsidRPr="00F80E4C">
        <w:rPr>
          <w:rFonts w:ascii="Consolas" w:eastAsia="Times New Roman" w:hAnsi="Consolas" w:cs="Courier New"/>
          <w:color w:val="C7254E"/>
          <w:sz w:val="19"/>
          <w:szCs w:val="19"/>
          <w:shd w:val="clear" w:color="auto" w:fill="F9F2F4"/>
          <w:lang w:eastAsia="en-IN"/>
        </w:rPr>
        <w:t>ftgo</w:t>
      </w:r>
      <w:proofErr w:type="spellEnd"/>
      <w:r w:rsidRPr="00F80E4C">
        <w:rPr>
          <w:rFonts w:ascii="Consolas" w:eastAsia="Times New Roman" w:hAnsi="Consolas" w:cs="Courier New"/>
          <w:color w:val="C7254E"/>
          <w:sz w:val="19"/>
          <w:szCs w:val="19"/>
          <w:shd w:val="clear" w:color="auto" w:fill="F9F2F4"/>
          <w:lang w:eastAsia="en-IN"/>
        </w:rPr>
        <w:t>-delivery-service</w:t>
      </w:r>
      <w:r w:rsidRPr="00F80E4C">
        <w:rPr>
          <w:rFonts w:ascii="Helvetica" w:eastAsia="Times New Roman" w:hAnsi="Helvetica" w:cs="Times New Roman"/>
          <w:color w:val="333333"/>
          <w:sz w:val="21"/>
          <w:szCs w:val="21"/>
          <w:lang w:eastAsia="en-IN"/>
        </w:rPr>
        <w:t> module.</w:t>
      </w:r>
    </w:p>
    <w:p w14:paraId="32BC8FBF"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14"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splitting the database.</w:t>
      </w:r>
    </w:p>
    <w:p w14:paraId="06E3524E"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pict w14:anchorId="64960655">
          <v:rect id="_x0000_i1032" style="width:0;height:0" o:hralign="center" o:hrstd="t" o:hrnoshade="t" o:hr="t" fillcolor="#333" stroked="f"/>
        </w:pict>
      </w:r>
    </w:p>
    <w:p w14:paraId="59D92B7D"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3: Define a standalone </w:t>
      </w:r>
      <w:r w:rsidRPr="00F80E4C">
        <w:rPr>
          <w:rFonts w:ascii="Consolas" w:eastAsia="Times New Roman" w:hAnsi="Consolas" w:cs="Courier New"/>
          <w:color w:val="C7254E"/>
          <w:sz w:val="24"/>
          <w:szCs w:val="24"/>
          <w:shd w:val="clear" w:color="auto" w:fill="F9F2F4"/>
          <w:lang w:eastAsia="en-IN"/>
        </w:rPr>
        <w:t>Delivery Service</w:t>
      </w:r>
    </w:p>
    <w:p w14:paraId="7B663A3D" w14:textId="40D25000"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drawing>
          <wp:inline distT="0" distB="0" distL="0" distR="0" wp14:anchorId="6A7DD773" wp14:editId="39B3C67C">
            <wp:extent cx="5731510" cy="2458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p>
    <w:p w14:paraId="1BD54294"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The third step of the refactoring process is to define a standalone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 and deploy it. The service does not, however, handle production traffic. Instead, it can, for example, be tested in production.</w:t>
      </w:r>
    </w:p>
    <w:p w14:paraId="5F67EA86"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16"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defining standalone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w:t>
      </w:r>
    </w:p>
    <w:p w14:paraId="309D10D0"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lastRenderedPageBreak/>
        <w:pict w14:anchorId="78BF382E">
          <v:rect id="_x0000_i1034" style="width:0;height:0" o:hralign="center" o:hrstd="t" o:hrnoshade="t" o:hr="t" fillcolor="#333" stroked="f"/>
        </w:pict>
      </w:r>
    </w:p>
    <w:p w14:paraId="149AD840"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4: Use the standalone </w:t>
      </w:r>
      <w:r w:rsidRPr="00F80E4C">
        <w:rPr>
          <w:rFonts w:ascii="Consolas" w:eastAsia="Times New Roman" w:hAnsi="Consolas" w:cs="Courier New"/>
          <w:color w:val="C7254E"/>
          <w:sz w:val="24"/>
          <w:szCs w:val="24"/>
          <w:shd w:val="clear" w:color="auto" w:fill="F9F2F4"/>
          <w:lang w:eastAsia="en-IN"/>
        </w:rPr>
        <w:t>Delivery Service</w:t>
      </w:r>
    </w:p>
    <w:p w14:paraId="1366DD2E" w14:textId="6A0D18B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drawing>
          <wp:inline distT="0" distB="0" distL="0" distR="0" wp14:anchorId="5ADB4202" wp14:editId="13C0E490">
            <wp:extent cx="5731510" cy="2038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C3FDD96"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The fourth step of the refactoring process is to use the standalone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w:t>
      </w:r>
    </w:p>
    <w:p w14:paraId="6924C651"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18"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how to route production traffic to the </w:t>
      </w:r>
      <w:r w:rsidRPr="00F80E4C">
        <w:rPr>
          <w:rFonts w:ascii="Consolas" w:eastAsia="Times New Roman" w:hAnsi="Consolas" w:cs="Courier New"/>
          <w:color w:val="C7254E"/>
          <w:sz w:val="19"/>
          <w:szCs w:val="19"/>
          <w:shd w:val="clear" w:color="auto" w:fill="F9F2F4"/>
          <w:lang w:eastAsia="en-IN"/>
        </w:rPr>
        <w:t>Delivery Service</w:t>
      </w:r>
      <w:r w:rsidRPr="00F80E4C">
        <w:rPr>
          <w:rFonts w:ascii="Helvetica" w:eastAsia="Times New Roman" w:hAnsi="Helvetica" w:cs="Times New Roman"/>
          <w:color w:val="333333"/>
          <w:sz w:val="21"/>
          <w:szCs w:val="21"/>
          <w:lang w:eastAsia="en-IN"/>
        </w:rPr>
        <w:t>.</w:t>
      </w:r>
    </w:p>
    <w:p w14:paraId="42D8F0F6" w14:textId="77777777" w:rsidR="00F80E4C" w:rsidRPr="00F80E4C" w:rsidRDefault="00F80E4C" w:rsidP="00F80E4C">
      <w:pPr>
        <w:spacing w:before="300" w:after="300" w:line="240" w:lineRule="auto"/>
        <w:rPr>
          <w:rFonts w:ascii="Times New Roman" w:eastAsia="Times New Roman" w:hAnsi="Times New Roman" w:cs="Times New Roman"/>
          <w:sz w:val="24"/>
          <w:szCs w:val="24"/>
          <w:lang w:eastAsia="en-IN"/>
        </w:rPr>
      </w:pPr>
      <w:r w:rsidRPr="00F80E4C">
        <w:rPr>
          <w:rFonts w:ascii="Times New Roman" w:eastAsia="Times New Roman" w:hAnsi="Times New Roman" w:cs="Times New Roman"/>
          <w:sz w:val="24"/>
          <w:szCs w:val="24"/>
          <w:lang w:eastAsia="en-IN"/>
        </w:rPr>
        <w:pict w14:anchorId="288025F6">
          <v:rect id="_x0000_i1036" style="width:0;height:0" o:hralign="center" o:hrstd="t" o:hrnoshade="t" o:hr="t" fillcolor="#333" stroked="f"/>
        </w:pict>
      </w:r>
    </w:p>
    <w:p w14:paraId="17A0D78D" w14:textId="77777777" w:rsidR="00F80E4C" w:rsidRPr="00F80E4C" w:rsidRDefault="00F80E4C" w:rsidP="00F80E4C">
      <w:pPr>
        <w:shd w:val="clear" w:color="auto" w:fill="FFFFFF"/>
        <w:spacing w:before="150" w:after="150" w:line="240" w:lineRule="auto"/>
        <w:outlineLvl w:val="3"/>
        <w:rPr>
          <w:rFonts w:ascii="Helvetica" w:eastAsia="Times New Roman" w:hAnsi="Helvetica" w:cs="Times New Roman"/>
          <w:color w:val="333333"/>
          <w:sz w:val="27"/>
          <w:szCs w:val="27"/>
          <w:lang w:eastAsia="en-IN"/>
        </w:rPr>
      </w:pPr>
      <w:r w:rsidRPr="00F80E4C">
        <w:rPr>
          <w:rFonts w:ascii="Helvetica" w:eastAsia="Times New Roman" w:hAnsi="Helvetica" w:cs="Times New Roman"/>
          <w:color w:val="333333"/>
          <w:sz w:val="27"/>
          <w:szCs w:val="27"/>
          <w:lang w:eastAsia="en-IN"/>
        </w:rPr>
        <w:t>Step 5: Remove the delivery management functionality from the FTGO monolith</w:t>
      </w:r>
    </w:p>
    <w:p w14:paraId="1079E8F5" w14:textId="75E64902"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noProof/>
          <w:color w:val="333333"/>
          <w:sz w:val="21"/>
          <w:szCs w:val="21"/>
          <w:lang w:eastAsia="en-IN"/>
        </w:rPr>
        <w:drawing>
          <wp:inline distT="0" distB="0" distL="0" distR="0" wp14:anchorId="573D2309" wp14:editId="413052D3">
            <wp:extent cx="5731510" cy="2104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2FEAC357"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t>The fifth step of the refactoring process is to remove the now obsolete delivery management logic from the monolith.</w:t>
      </w:r>
    </w:p>
    <w:p w14:paraId="5C54AD41" w14:textId="77777777" w:rsidR="00F80E4C" w:rsidRPr="00F80E4C" w:rsidRDefault="00F80E4C" w:rsidP="00F80E4C">
      <w:pPr>
        <w:shd w:val="clear" w:color="auto" w:fill="FFFFFF"/>
        <w:spacing w:after="150" w:line="240" w:lineRule="auto"/>
        <w:rPr>
          <w:rFonts w:ascii="Helvetica" w:eastAsia="Times New Roman" w:hAnsi="Helvetica" w:cs="Times New Roman"/>
          <w:color w:val="333333"/>
          <w:sz w:val="21"/>
          <w:szCs w:val="21"/>
          <w:lang w:eastAsia="en-IN"/>
        </w:rPr>
      </w:pPr>
      <w:r w:rsidRPr="00F80E4C">
        <w:rPr>
          <w:rFonts w:ascii="Helvetica" w:eastAsia="Times New Roman" w:hAnsi="Helvetica" w:cs="Times New Roman"/>
          <w:color w:val="333333"/>
          <w:sz w:val="21"/>
          <w:szCs w:val="21"/>
          <w:lang w:eastAsia="en-IN"/>
        </w:rPr>
        <w:br/>
      </w:r>
      <w:hyperlink r:id="rId20" w:history="1">
        <w:r w:rsidRPr="00F80E4C">
          <w:rPr>
            <w:rFonts w:ascii="Helvetica" w:eastAsia="Times New Roman" w:hAnsi="Helvetica" w:cs="Times New Roman"/>
            <w:color w:val="428BCA"/>
            <w:sz w:val="21"/>
            <w:szCs w:val="21"/>
            <w:u w:val="single"/>
            <w:lang w:eastAsia="en-IN"/>
          </w:rPr>
          <w:t>Read more</w:t>
        </w:r>
      </w:hyperlink>
      <w:r w:rsidRPr="00F80E4C">
        <w:rPr>
          <w:rFonts w:ascii="Helvetica" w:eastAsia="Times New Roman" w:hAnsi="Helvetica" w:cs="Times New Roman"/>
          <w:color w:val="333333"/>
          <w:sz w:val="21"/>
          <w:szCs w:val="21"/>
          <w:lang w:eastAsia="en-IN"/>
        </w:rPr>
        <w:t> about removing the obsolete code.</w:t>
      </w:r>
    </w:p>
    <w:p w14:paraId="7CF85AE6" w14:textId="77777777" w:rsidR="00B008C0" w:rsidRDefault="00B008C0"/>
    <w:sectPr w:rsidR="00B00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3BAE" w14:textId="77777777" w:rsidR="00F80E4C" w:rsidRDefault="00F80E4C" w:rsidP="00F80E4C">
      <w:pPr>
        <w:spacing w:after="0" w:line="240" w:lineRule="auto"/>
      </w:pPr>
      <w:r>
        <w:separator/>
      </w:r>
    </w:p>
  </w:endnote>
  <w:endnote w:type="continuationSeparator" w:id="0">
    <w:p w14:paraId="798CFB43" w14:textId="77777777" w:rsidR="00F80E4C" w:rsidRDefault="00F80E4C" w:rsidP="00F8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4B9A" w14:textId="77777777" w:rsidR="00F80E4C" w:rsidRDefault="00F80E4C" w:rsidP="00F80E4C">
      <w:pPr>
        <w:spacing w:after="0" w:line="240" w:lineRule="auto"/>
      </w:pPr>
      <w:r>
        <w:separator/>
      </w:r>
    </w:p>
  </w:footnote>
  <w:footnote w:type="continuationSeparator" w:id="0">
    <w:p w14:paraId="043BC7A0" w14:textId="77777777" w:rsidR="00F80E4C" w:rsidRDefault="00F80E4C" w:rsidP="00F8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E48EF"/>
    <w:multiLevelType w:val="multilevel"/>
    <w:tmpl w:val="621E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4C"/>
    <w:rsid w:val="00B008C0"/>
    <w:rsid w:val="00F80E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1A4E2"/>
  <w15:chartTrackingRefBased/>
  <w15:docId w15:val="{2FBD5E4F-C880-4CD8-BE40-9ED76F27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F80E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0E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0E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0E4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80E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0E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icroservices.io/refactoring/extract-service-delivery-service-step-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icroservices.io/refactoring/extract-service-delivery-service-step-1.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microservices.io/refactoring/extract-service-delivery-service-step-3.html" TargetMode="External"/><Relationship Id="rId20" Type="http://schemas.openxmlformats.org/officeDocument/2006/relationships/hyperlink" Target="https://microservices.io/refactoring/extract-service-delivery-service-step-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icroservices.io/refactoring/extract-service-delivery-service-step-0.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services-patterns/ftgo-monolith" TargetMode="External"/><Relationship Id="rId14" Type="http://schemas.openxmlformats.org/officeDocument/2006/relationships/hyperlink" Target="https://microservices.io/refactoring/extract-service-delivery-service-step-2.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Pandit</dc:creator>
  <cp:keywords/>
  <dc:description/>
  <cp:lastModifiedBy>Jyotsna Pandit</cp:lastModifiedBy>
  <cp:revision>1</cp:revision>
  <dcterms:created xsi:type="dcterms:W3CDTF">2022-07-06T11:49:00Z</dcterms:created>
  <dcterms:modified xsi:type="dcterms:W3CDTF">2022-07-06T11:50:00Z</dcterms:modified>
</cp:coreProperties>
</file>