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t xml:space="preserve">加拿大安大略省饮品市场进入可行性研究报告</w:t>
      </w:r>
    </w:p>
    <w:p>
      <w:pPr>
        <w:spacing w:after="480"/>
        <w:jc w:val="center"/>
      </w:pPr>
      <w:r>
        <w:t xml:space="preserve">——聚焦现调茶饮、咖啡及健康类饮品</w:t>
      </w:r>
    </w:p>
    <w:p>
      <w:pPr>
        <w:spacing w:after="240"/>
        <w:jc w:val="center"/>
      </w:pPr>
      <w:r>
        <w:t xml:space="preserve">2026年4月</w:t>
      </w:r>
    </w:p>
    <w:p>
      <w:pPr>
        <w:spacing w:after="600"/>
        <w:jc w:val="center"/>
      </w:pPr>
      <w:r>
        <w:t xml:space="preserve">综合研究草案（三稿合并版）</w:t>
      </w:r>
    </w:p>
    <w:r>
      <w:br w:type="page"/>
    </w:r>
    <w:p>
      <w:pPr>
        <w:pStyle w:val="1"/>
        <w:spacing w:after="120" w:before="240" w:line="360" w:lineRule="auto"/>
        <w:outlineLvl w:val="0"/>
      </w:pPr>
      <w:r>
        <w:t xml:space="preserve">目录</w:t>
      </w:r>
    </w:p>
    <w:p>
      <w:pPr>
        <w:spacing w:after="120"/>
      </w:pPr>
      <w:r>
        <w:t xml:space="preserve">执行摘要</w:t>
      </w:r>
    </w:p>
    <w:p>
      <w:pPr>
        <w:spacing w:after="120"/>
      </w:pPr>
      <w:r>
        <w:t xml:space="preserve">一、项目背景与研究框架</w:t>
      </w:r>
    </w:p>
    <w:p>
      <w:pPr>
        <w:spacing w:after="120"/>
      </w:pPr>
      <w:r>
        <w:t xml:space="preserve">二、市场规模与结构分析</w:t>
      </w:r>
    </w:p>
    <w:p>
      <w:pPr>
        <w:spacing w:after="120"/>
      </w:pPr>
      <w:r>
        <w:t xml:space="preserve">三、消费者行为分析</w:t>
      </w:r>
    </w:p>
    <w:p>
      <w:pPr>
        <w:spacing w:after="120"/>
      </w:pPr>
      <w:r>
        <w:t xml:space="preserve">四、竞争格局</w:t>
      </w:r>
    </w:p>
    <w:p>
      <w:pPr>
        <w:spacing w:after="120"/>
      </w:pPr>
      <w:r>
        <w:t xml:space="preserve">五、开店成本与预算模型</w:t>
      </w:r>
    </w:p>
    <w:p>
      <w:pPr>
        <w:spacing w:after="120"/>
      </w:pPr>
      <w:r>
        <w:t xml:space="preserve">六、品牌与产品策略</w:t>
      </w:r>
    </w:p>
    <w:p>
      <w:pPr>
        <w:spacing w:after="120"/>
      </w:pPr>
      <w:r>
        <w:t xml:space="preserve">七、合规与开店流程</w:t>
      </w:r>
    </w:p>
    <w:p>
      <w:pPr>
        <w:spacing w:after="120"/>
      </w:pPr>
      <w:r>
        <w:t xml:space="preserve">八、运营模型与财务测算</w:t>
      </w:r>
    </w:p>
    <w:p>
      <w:pPr>
        <w:spacing w:after="120"/>
      </w:pPr>
      <w:r>
        <w:t xml:space="preserve">九、风险管控</w:t>
      </w:r>
    </w:p>
    <w:p>
      <w:pPr>
        <w:spacing w:after="120"/>
      </w:pPr>
      <w:r>
        <w:t xml:space="preserve">十、关键KPI</w:t>
      </w:r>
    </w:p>
    <w:p>
      <w:pPr>
        <w:spacing w:after="120"/>
      </w:pPr>
      <w:r>
        <w:t xml:space="preserve">十一、扩张建议</w:t>
      </w:r>
    </w:p>
    <w:p>
      <w:pPr>
        <w:spacing w:after="120"/>
      </w:pPr>
      <w:r>
        <w:t xml:space="preserve">十二、结论与执行建议</w:t>
      </w:r>
    </w:p>
    <w:p>
      <w:pPr>
        <w:spacing w:after="120"/>
      </w:pPr>
      <w:r>
        <w:t xml:space="preserve">附录A：数据冲突对照表</w:t>
      </w:r>
    </w:p>
    <w:p>
      <w:pPr>
        <w:spacing w:after="600"/>
      </w:pPr>
      <w:r>
        <w:t xml:space="preserve">参考文献</w:t>
      </w:r>
    </w:p>
    <w:r>
      <w:br w:type="page"/>
    </w:r>
    <w:p>
      <w:pPr>
        <w:pStyle w:val="1"/>
        <w:spacing w:after="120" w:before="240" w:line="360" w:lineRule="auto"/>
        <w:outlineLvl w:val="0"/>
      </w:pPr>
      <w:r>
        <w:t xml:space="preserve">执行摘要</w:t>
      </w:r>
    </w:p>
    <w:p>
      <w:pPr>
        <w:spacing w:after="120" w:line="360" w:lineRule="auto"/>
        <w:jc w:val="left"/>
      </w:pPr>
      <w:r>
        <w:t xml:space="preserve">本报告综合三份独立研究草稿，系统评估中国饮品品牌进入加拿大安大略省（Ontario）市场的可行性。研究结论：建议进入安大略省现调饮品市场，但应采取"先直营试点、再复制扩张、后期可引入加盟"的审慎节奏。</w:t>
      </w:r>
    </w:p>
    <w:p>
      <w:pPr>
        <w:spacing w:after="120" w:line="360" w:lineRule="auto"/>
        <w:jc w:val="left"/>
      </w:pPr>
      <w:r>
        <w:t xml:space="preserve">核心判断依据如下：其一，加拿大茶饮市场正处于快速增长期——珍珠奶茶细分市场2025年估值约1亿至1.4亿加元（CAD），预计2033年达到2.2亿至4.8亿加元，复合年增长率（CAGR）约6.8%-22.3%（Research and Markets, 2026; Mobility Foresights, 2026; Grand View Research, 2026）。其二，安大略省占加拿大人口约40%（约1,540万人），大多伦多地区（GTA）拥有约68万华裔加拿大居民及730万总人口，形成天然消费基础盘（Statistics Canada, 2021）。其三，在"健康化、低糖化、现制化"的消费升级趋势下，市场存在显著的差异化空白——以健康为导向的功能性茶饮及原叶鲜萃（现调）品类竞争者极少。</w:t>
      </w:r>
    </w:p>
    <w:p>
      <w:pPr>
        <w:spacing w:after="120" w:line="360" w:lineRule="auto"/>
        <w:jc w:val="left"/>
      </w:pPr>
      <w:r>
        <w:t xml:space="preserve">推荐进入模式为三阶段递进：第一阶段（0-12个月），在GTA开设2-3家直营店（含一家高曝光旗舰店和一至两家低租金验证店），同步建立供应链标准；第二阶段（12-24个月），扩展至5-8家直营店，覆盖渥太华（Ottawa）、滑铁卢（Kitchener-Cambridge-Waterloo）等城市；第三阶段（24个月以后），引入"直营+加盟"混合模式进行省内及跨省扩张。标准门店（600-1,000平方英尺）的初始投资预算为24.5万至43.5万加元，盈亏平衡点约为每日107-150杯，静态投资回收期约为17-31个月（CBRE, 2025; Restaurants Canada, 2024; Statistics Canada, 2026）。</w:t>
      </w:r>
    </w:p>
    <w:p>
      <w:pPr>
        <w:spacing w:after="120" w:line="360" w:lineRule="auto"/>
        <w:jc w:val="left"/>
      </w:pPr>
      <w:r>
        <w:t xml:space="preserve">注：三份草稿在部分数据口径和策略建议上存在差异，本报告均予保留并在附录"数据冲突对照表"中列明，供决策层参照取舍。</w:t>
      </w:r>
    </w:p>
    <w:r>
      <w:br w:type="page"/>
    </w:r>
    <w:p>
      <w:pPr>
        <w:pStyle w:val="1"/>
        <w:spacing w:after="120" w:before="240" w:line="360" w:lineRule="auto"/>
        <w:outlineLvl w:val="0"/>
      </w:pPr>
      <w:r>
        <w:t xml:space="preserve">一、项目背景与研究框架</w:t>
      </w:r>
    </w:p>
    <w:p>
      <w:pPr>
        <w:pStyle w:val="2"/>
        <w:spacing w:after="120" w:before="240" w:line="360" w:lineRule="auto"/>
        <w:outlineLvl w:val="1"/>
      </w:pPr>
      <w:r>
        <w:t xml:space="preserve">1.1 项目背景</w:t>
      </w:r>
    </w:p>
    <w:p>
      <w:pPr>
        <w:spacing w:after="120" w:line="360" w:lineRule="auto"/>
        <w:jc w:val="left"/>
      </w:pPr>
      <w:r>
        <w:t xml:space="preserve">在全球宏观经济格局重塑与中国国内新茶饮、咖啡市场竞争趋于白热化（存量博弈与价格内卷）的双重催化下，中国及亚洲成熟饮品品牌正加速向海外市场进行战略转移。北美市场凭借其极高的单店客单价、高度成熟的饮品消费习惯以及庞大的亚裔移民与留学生基数，已成为品牌出海的战略高地。</w:t>
      </w:r>
    </w:p>
    <w:p>
      <w:pPr>
        <w:spacing w:after="120" w:line="360" w:lineRule="auto"/>
        <w:jc w:val="left"/>
      </w:pPr>
      <w:r>
        <w:t xml:space="preserve">本报告聚焦于加拿大安大略省（Ontario），特别是以多伦多及大多伦多地区（GTA，含万锦市Markham、列治文山Richmond Hill等）为核心的商业地带，对饮品市场进入进行详尽的可行性评估。</w:t>
      </w:r>
    </w:p>
    <w:p>
      <w:pPr>
        <w:spacing w:after="120" w:line="360" w:lineRule="auto"/>
        <w:jc w:val="left"/>
      </w:pPr>
      <w:r>
        <w:t xml:space="preserve">在区域选择上，加拿大地广人稀的地理特征决定了区域市场的异质性。之所以将安大略省作为核心评估对象，而非同样具有庞大华裔人口的大温哥华地区（Metro Vancouver），是基于结构性差异的考量：市场调研数据显示，大温地区茶饮市场已处于高度饱和的红海状态，仅在温哥华、本拿比、列治文和素里等核心城市就密集分布了超过200家珍珠奶茶门店（Research and Markets, 2026）。相比之下，安大略省凭借加拿大最为庞大的人口基数、持续且大规模净流入的国际学生与新移民，以及快速向北扩张的华人聚居区商业带，仍处于品类升级与规模扩张的红利期。行业巨头的发展轨迹也印证了这一点：Chatime（日出茶太）在加拿大的98家门店中有80家（占比82%）布局于安大略省（ScrapeHero, 2025）。</w:t>
      </w:r>
    </w:p>
    <w:p>
      <w:pPr>
        <w:pStyle w:val="2"/>
        <w:spacing w:after="120" w:before="240" w:line="360" w:lineRule="auto"/>
        <w:outlineLvl w:val="1"/>
      </w:pPr>
      <w:r>
        <w:t xml:space="preserve">1.2 研究目标与品类范围</w:t>
      </w:r>
    </w:p>
    <w:p>
      <w:pPr>
        <w:spacing w:after="120" w:line="360" w:lineRule="auto"/>
        <w:jc w:val="left"/>
      </w:pPr>
      <w:r>
        <w:t xml:space="preserve">本项目旨在获取一份可直接支持投资决策与落地执行的分析报告，需明确以下核心问题：是否进入市场、进入模式、投资规模与回报周期、关键风险。</w:t>
      </w:r>
    </w:p>
    <w:p>
      <w:pPr>
        <w:spacing w:after="120" w:line="360" w:lineRule="auto"/>
        <w:jc w:val="left"/>
      </w:pPr>
      <w:r>
        <w:t xml:space="preserve">目标品类矩阵涵盖三大核心领域：（一）具备高频刚需属性的现磨咖啡（Coffee）；（二）具备强社交与跨文化渗透属性的现制茶饮/珍珠奶茶（Bubble Tea / Fresh Tea）；（三）正处于爆发前夜、迎合新兴健康消费趋势的低糖及功能性健康类饮品（Health &amp; TCM Beverages）。</w:t>
      </w:r>
    </w:p>
    <w:p>
      <w:pPr>
        <w:pStyle w:val="2"/>
        <w:spacing w:after="120" w:before="240" w:line="360" w:lineRule="auto"/>
        <w:outlineLvl w:val="1"/>
      </w:pPr>
      <w:r>
        <w:t xml:space="preserve">1.3 数据口径与方法论说明</w:t>
      </w:r>
    </w:p>
    <w:p>
      <w:pPr>
        <w:spacing w:after="120" w:line="360" w:lineRule="auto"/>
        <w:jc w:val="left"/>
      </w:pPr>
      <w:r>
        <w:t xml:space="preserve">本报告综合三份独立研究草稿的数据与分析。核心数据来源包括：Statistics Canada（年度行业统计、人口普查）、Restaurants Canada（餐饮行业规模预测）、CBRE（零售租金调查）、Grand View Research、Research and Markets、Mobility Foresights（市场规模预测）、以及Health Canada / CFIA（合规框架）。</w:t>
      </w:r>
    </w:p>
    <w:p>
      <w:pPr>
        <w:spacing w:after="120" w:line="360" w:lineRule="auto"/>
        <w:jc w:val="left"/>
      </w:pPr>
      <w:r>
        <w:t xml:space="preserve">由于三份草稿引用的市场研究机构统计口径不尽相同（例如对"珍珠奶茶市场"的界定范围差异），部分数据存在区间差异，但整体趋势高度一致。本报告采取保留区间的方式呈现，并在附录中标注冲突点。</w:t>
      </w:r>
    </w:p>
    <w:r>
      <w:br w:type="page"/>
    </w:r>
    <w:p>
      <w:pPr>
        <w:pStyle w:val="1"/>
        <w:spacing w:after="120" w:before="240" w:line="360" w:lineRule="auto"/>
        <w:outlineLvl w:val="0"/>
      </w:pPr>
      <w:r>
        <w:t xml:space="preserve">二、市场规模与结构分析</w:t>
      </w:r>
    </w:p>
    <w:p>
      <w:pPr>
        <w:pStyle w:val="2"/>
        <w:spacing w:after="120" w:before="240" w:line="360" w:lineRule="auto"/>
        <w:outlineLvl w:val="1"/>
      </w:pPr>
      <w:r>
        <w:t xml:space="preserve">2.1 加拿大饮品市场全景</w:t>
      </w:r>
    </w:p>
    <w:p>
      <w:pPr>
        <w:spacing w:after="120" w:line="360" w:lineRule="auto"/>
        <w:jc w:val="left"/>
      </w:pPr>
      <w:r>
        <w:t xml:space="preserve">加拿大饮品市场规模庞大且持续增长。2024年，加拿大餐饮服务与饮品场所（Food Services and Drinking Places）运营收入约996亿加元，其中"有限服务餐厅"（Limited-Service Restaurants，含茶饮咖啡快餐）约占43.9%（Statistics Canada, 2026）。Restaurants Canada预测2024年全行业总销售额（含商业与非商业口径）约为1,192亿加元（Restaurants Canada, 2024）。</w:t>
      </w:r>
    </w:p>
    <w:p>
      <w:pPr>
        <w:spacing w:after="120" w:line="360" w:lineRule="auto"/>
        <w:jc w:val="left"/>
      </w:pPr>
      <w:r>
        <w:t xml:space="preserve">在茶饮领域，加拿大茶叶市场总规模于2024年达到约29亿加元——其中热茶约15亿加元（CAGR 8.2%），即饮冷茶约14亿加元（CAGR 10.9%）。热茶已成为加拿大餐饮服务中增长最快的饮品品类，全国年消费量约90亿杯（Grand View Research, 2026）。果味/草本茶以7.65亿加元的规模占据热茶最大子品类（52.4%份额），其次为红茶（3.18亿加元）和绿茶（2.94亿加元）。</w:t>
      </w:r>
    </w:p>
    <w:p>
      <w:pPr>
        <w:spacing w:after="120" w:line="360" w:lineRule="auto"/>
        <w:jc w:val="left"/>
      </w:pPr>
      <w:r>
        <w:t xml:space="preserve">在咖啡领域，加拿大咖啡市场2024年基准规模约276.4亿美元（Introspective Market Research, 2026），或按另一口径约46.94亿美元（2025年，Grand View Research, 2026），预计以6.1%-7.1%的CAGR持续增长。精品咖啡市场约51亿加元（CAGR 10.1%）。71%的加拿大人经常饮用咖啡，人均每日消费2.7-2.8杯。</w:t>
      </w:r>
    </w:p>
    <w:p>
      <w:pPr>
        <w:pStyle w:val="2"/>
        <w:spacing w:after="120" w:before="240" w:line="360" w:lineRule="auto"/>
        <w:outlineLvl w:val="1"/>
      </w:pPr>
      <w:r>
        <w:t xml:space="preserve">2.2 珍珠奶茶/现调茶饮细分市场</w:t>
      </w:r>
    </w:p>
    <w:p>
      <w:pPr>
        <w:spacing w:after="120" w:line="360" w:lineRule="auto"/>
        <w:jc w:val="left"/>
      </w:pPr>
      <w:r>
        <w:t xml:space="preserve">加拿大珍珠奶茶市场2025年估值区间为1亿至1.4亿加元。不同机构的预测如下：Grand View Research估计2025年约7,400万美元；Allied Market Research预测2033年将达1.92亿美元；Mobility Foresights预测2031年高达4.8亿美元。综合各机构预测，CAGR区间为6.0%-22.3%，增长前景确定性高但速率存在分歧（Research and Markets, 2026; Mobility Foresights, 2026; Fortune Business Insights, 2026）。</w:t>
      </w:r>
    </w:p>
    <w:p>
      <w:pPr>
        <w:spacing w:after="120" w:line="360" w:lineRule="auto"/>
        <w:jc w:val="left"/>
      </w:pPr>
      <w:r>
        <w:t xml:space="preserve">加拿大约占全球珍珠奶茶市场的2.2%，人均消费量相比成熟亚洲市场仍有显著增长空间。在茶底结构上，红茶基底约占46%的最大份额，绿茶和草本茶基底为增长最快的细分品类——这一趋势有利于具备深厚茶叶专业知识的中国品牌。</w:t>
      </w:r>
    </w:p>
    <w:p>
      <w:pPr>
        <w:spacing w:after="120" w:line="360" w:lineRule="auto"/>
        <w:jc w:val="left"/>
      </w:pPr>
      <w:r>
        <w:t xml:space="preserve">市场正经历从"粉末勾兑时代"向"真茶真奶体验时代"的彻底转型。定制化是该品类的核心生命力，消费者能够自由选择绿茶、乌龙茶等底茶，搭配爆爆珠（Popping Boba）、蒟蒻果冻、芝士奶盖等多样化小料，并精确控制甜度与冰量。社交媒体（TikTok、Instagram）的视觉传播效应，极大放大了高颜值茶饮的商业价值（Research and Markets, 2026）。</w:t>
      </w:r>
    </w:p>
    <w:p>
      <w:pPr>
        <w:pStyle w:val="2"/>
        <w:spacing w:after="120" w:before="240" w:line="360" w:lineRule="auto"/>
        <w:outlineLvl w:val="1"/>
      </w:pPr>
      <w:r>
        <w:t xml:space="preserve">2.3 健康与功能性饮品市场</w:t>
      </w:r>
    </w:p>
    <w:p>
      <w:pPr>
        <w:spacing w:after="120" w:line="360" w:lineRule="auto"/>
        <w:jc w:val="left"/>
      </w:pPr>
      <w:r>
        <w:t xml:space="preserve">功能性/健康饮品是当前最具潜力的蓝海市场。2024年，加拿大功能性健康饮品市场规模约63亿加元（窄口径），以9.4%的CAGR增长，其中康普茶和益生菌饮品以约20%的年增速领跑。尽管通货膨胀导致部分消费者削减日常开支，但在非酒精类健康饮料上的支出依然坚挺，2024年全国家庭在此类别的总支出达到125亿美元（AM800, 2026）。</w:t>
      </w:r>
    </w:p>
    <w:p>
      <w:pPr>
        <w:spacing w:after="120" w:line="360" w:lineRule="auto"/>
        <w:jc w:val="left"/>
      </w:pPr>
      <w:r>
        <w:t xml:space="preserve">全球新中式茶饮市场规模预计到2034年将激增至646亿美元（Intel Market Research, 2026）。将陈皮、枸杞、乌梅、罗汉果等传统草本元素与现磨咖啡或冷萃茶相结合，精准击中了年轻一代对于"朋克养生"、天然无添加以及抗焦虑、助眠等微观健康诉求的痛点。</w:t>
      </w:r>
    </w:p>
    <w:p>
      <w:pPr>
        <w:pStyle w:val="2"/>
        <w:spacing w:after="120" w:before="240" w:line="360" w:lineRule="auto"/>
        <w:outlineLvl w:val="1"/>
      </w:pPr>
      <w:r>
        <w:t xml:space="preserve">2.4 安大略省市场规模估算</w:t>
      </w:r>
    </w:p>
    <w:p>
      <w:pPr>
        <w:spacing w:after="120" w:line="360" w:lineRule="auto"/>
        <w:jc w:val="left"/>
      </w:pPr>
      <w:r>
        <w:t xml:space="preserve">安大略省占加拿大人口约40%（约1,540万人），在缺乏同口径省级年度总额直接披露的前提下，本报告采用"全国商业口径965亿加元 × 安大略份额区间（约0.38-0.42）"的方式做投资级估算：安大略商业餐饮服务市场约在360-410亿加元/年区间。GTA独占730万人口——占全国18%、安省44%（Statistics Canada, 2021; Restaurants Canada, 2024）。</w:t>
      </w:r>
    </w:p>
    <w:p>
      <w:pPr>
        <w:spacing w:after="120" w:line="360" w:lineRule="auto"/>
        <w:jc w:val="left"/>
      </w:pPr>
      <w:r>
        <w:t xml:space="preserve">安大略省在珍珠奶茶市场中的份额约为38%-45%，按此推算安省珍珠奶茶市场规模约为3,800万至6,300万加元（2025年），市场增长潜力显著。</w:t>
      </w:r>
    </w:p>
    <w:r>
      <w:br w:type="page"/>
    </w:r>
    <w:p>
      <w:pPr>
        <w:pStyle w:val="1"/>
        <w:spacing w:after="120" w:before="240" w:line="360" w:lineRule="auto"/>
        <w:outlineLvl w:val="0"/>
      </w:pPr>
      <w:r>
        <w:t xml:space="preserve">三、消费者行为分析</w:t>
      </w:r>
    </w:p>
    <w:p>
      <w:pPr>
        <w:pStyle w:val="2"/>
        <w:spacing w:after="120" w:before="240" w:line="360" w:lineRule="auto"/>
        <w:outlineLvl w:val="1"/>
      </w:pPr>
      <w:r>
        <w:t xml:space="preserve">3.1 人口结构与客群基础</w:t>
      </w:r>
    </w:p>
    <w:p>
      <w:pPr>
        <w:spacing w:after="120" w:line="360" w:lineRule="auto"/>
        <w:jc w:val="left"/>
      </w:pPr>
      <w:r>
        <w:t xml:space="preserve">GTA的亚裔加拿大人口构成了天然的消费基础盘。万锦市（Markham）是战略意义最重要的郊区：可见少数族裔占82.1%（全加拿大最高），华裔居民占47.9%（约161,000人）。列治文山（Richmond Hill）华裔人口占31.9%（约64,000人），多伦多市区华裔加拿大人约680,000人（占CMA人口10.95%）。士嘉堡（Scarborough）、北约克（North York）以及约克区Highway 7走廊形成了一个数十万华裔加拿大消费者的连续市场带（Statistics Canada, 2021）。</w:t>
      </w:r>
    </w:p>
    <w:p>
      <w:pPr>
        <w:spacing w:after="120" w:line="360" w:lineRule="auto"/>
        <w:jc w:val="left"/>
      </w:pPr>
      <w:r>
        <w:t xml:space="preserve">在国际学生方面，安大略省占全加拿大有效学习许可持有人的约52.3%（2023年），截至2024年9月仍约占50.4%。这意味着校园圈/学生聚集区具备可长期运营的客群基础，但也需关注移民政策对非永久居民规模的潜在影响（Immigration, Refugees and Citizenship Canada, 2024）。</w:t>
      </w:r>
    </w:p>
    <w:p>
      <w:pPr>
        <w:pStyle w:val="2"/>
        <w:spacing w:after="120" w:before="240" w:line="360" w:lineRule="auto"/>
        <w:outlineLvl w:val="1"/>
      </w:pPr>
      <w:r>
        <w:t xml:space="preserve">3.2 消费偏好与行为特征</w:t>
      </w:r>
    </w:p>
    <w:p>
      <w:pPr>
        <w:spacing w:after="120" w:line="360" w:lineRule="auto"/>
        <w:jc w:val="left"/>
      </w:pPr>
      <w:r>
        <w:t xml:space="preserve">Z世代和千禧一代约占珍珠奶茶购买者的80%，20-29岁群体中94%在三个月内购买过珍珠奶茶。关键消费趋势包括：</w:t>
      </w:r>
    </w:p>
    <w:p>
      <w:pPr>
        <w:spacing w:after="120" w:line="360" w:lineRule="auto"/>
        <w:jc w:val="left"/>
      </w:pPr>
      <w:r>
        <w:t xml:space="preserve">含糖量是Z世代选择非酒精饮料时的首要关注因素（44%），60%的千禧一代和Z世代偏好低糖或减糖即饮饮品。超过42%的消费者偏好可定制化饮品，三分之一的Z世代遵循弹性素食主义（Flexitarian）饮食，推动了植物基奶替代品的需求增长。</w:t>
      </w:r>
    </w:p>
    <w:p>
      <w:pPr>
        <w:spacing w:after="120" w:line="360" w:lineRule="auto"/>
        <w:jc w:val="left"/>
      </w:pPr>
      <w:r>
        <w:t xml:space="preserve">加拿大珍珠奶茶平均消费约为每杯5.50-9.50加元，被定位为"可负担的小确幸"（Affordable Indulgence）。热门食材包括黑糖、抹茶、芋头、百香果、燕麦奶替代品、奇亚籽以及适应原（Adaptogens）和胶原蛋白等功能性添加物。社交媒体（TikTok、Instagram）是年轻消费者发现新饮品品牌的主要渠道。</w:t>
      </w:r>
    </w:p>
    <w:p>
      <w:pPr>
        <w:pStyle w:val="2"/>
        <w:spacing w:after="120" w:before="240" w:line="360" w:lineRule="auto"/>
        <w:outlineLvl w:val="1"/>
      </w:pPr>
      <w:r>
        <w:t xml:space="preserve">3.3 城市圈差异与定价参考</w:t>
      </w:r>
    </w:p>
    <w:p>
      <w:pPr>
        <w:spacing w:after="120" w:line="360" w:lineRule="auto"/>
        <w:jc w:val="left"/>
      </w:pPr>
      <w:r>
        <w:t xml:space="preserve">不同城市圈的家庭税后收入中位数（2020年）与移民占比（2021年）存在显著差异，直接影响定价天花板与产品结构设计：</w:t>
      </w:r>
    </w:p>
    <w:p>
      <w:pPr>
        <w:spacing w:after="120" w:line="360" w:lineRule="auto"/>
        <w:jc w:val="left"/>
      </w:pPr>
      <w:r>
        <w:t xml:space="preserve">多伦多：税后收入中位数约85,000加元，移民占比约46.6%。</w:t>
      </w:r>
    </w:p>
    <w:p>
      <w:pPr>
        <w:spacing w:after="120" w:line="360" w:lineRule="auto"/>
        <w:jc w:val="left"/>
      </w:pPr>
      <w:r>
        <w:t xml:space="preserve">渥太华：税后收入中位数约84,000加元，移民占比约21.4%。</w:t>
      </w:r>
    </w:p>
    <w:p>
      <w:pPr>
        <w:spacing w:after="120" w:line="360" w:lineRule="auto"/>
        <w:jc w:val="left"/>
      </w:pPr>
      <w:r>
        <w:t xml:space="preserve">基奇纳-剑桥-滑铁卢：税后收入中位数约81,000加元，移民占比约25.8%。</w:t>
      </w:r>
    </w:p>
    <w:p>
      <w:pPr>
        <w:spacing w:after="120" w:line="360" w:lineRule="auto"/>
        <w:jc w:val="left"/>
      </w:pPr>
      <w:r>
        <w:t xml:space="preserve">汉密尔顿：税后收入中位数约80,000加元，移民占比约25.6%。</w:t>
      </w:r>
    </w:p>
    <w:p>
      <w:pPr>
        <w:spacing w:after="120" w:line="360" w:lineRule="auto"/>
        <w:jc w:val="left"/>
      </w:pPr>
      <w:r>
        <w:t xml:space="preserve">伦敦：税后收入中位数约71,000加元，移民占比约21.6%。</w:t>
      </w:r>
    </w:p>
    <w:p>
      <w:pPr>
        <w:spacing w:after="120" w:line="360" w:lineRule="auto"/>
        <w:jc w:val="left"/>
      </w:pPr>
      <w:r>
        <w:t xml:space="preserve">（Statistics Canada, 2021 Census）</w:t>
      </w:r>
    </w:p>
    <w:p>
      <w:pPr>
        <w:spacing w:after="120" w:line="360" w:lineRule="auto"/>
        <w:jc w:val="left"/>
      </w:pPr>
      <w:r>
        <w:t xml:space="preserve">然而，仅依赖亚裔加拿大消费者将限制增长天花板。长期成功需要赢得主流加拿大消费者——71%的加拿大人经常饮用咖啡（每日2.7-2.8杯），柴茶（Chai）正成为增长最快的咖啡替代茶类，热茶因健康益处在年轻群体中呈上升趋势。一个能够将亚洲茶文化与加拿大健康趋势相桥接的、以健康为导向的鲜制茶品牌具有最强的市场定位优势。</w:t>
      </w:r>
    </w:p>
    <w:r>
      <w:br w:type="page"/>
    </w:r>
    <w:p>
      <w:pPr>
        <w:pStyle w:val="1"/>
        <w:spacing w:after="120" w:before="240" w:line="360" w:lineRule="auto"/>
        <w:outlineLvl w:val="0"/>
      </w:pPr>
      <w:r>
        <w:t xml:space="preserve">四、竞争格局</w:t>
      </w:r>
    </w:p>
    <w:p>
      <w:pPr>
        <w:pStyle w:val="2"/>
        <w:spacing w:after="120" w:before="240" w:line="360" w:lineRule="auto"/>
        <w:outlineLvl w:val="1"/>
      </w:pPr>
      <w:r>
        <w:t xml:space="preserve">4.1 市场竞争结构</w:t>
      </w:r>
    </w:p>
    <w:p>
      <w:pPr>
        <w:spacing w:after="120" w:line="360" w:lineRule="auto"/>
        <w:jc w:val="left"/>
      </w:pPr>
      <w:r>
        <w:t xml:space="preserve">GTA珍珠奶茶市场呈高度碎片化格局，竞争者可分为三个层级。</w:t>
      </w:r>
    </w:p>
    <w:p>
      <w:pPr>
        <w:spacing w:after="120" w:line="360" w:lineRule="auto"/>
        <w:jc w:val="left"/>
      </w:pPr>
      <w:r>
        <w:t xml:space="preserve">第一层：头部规模化连锁品牌。包括Chatime（约80家安省门店）、CoCo都可（70+家）、Real Fruit Bubble Tea（60-70家）和Gong Cha（40-50家）。Chatime和CoCo以加盟驱动的大众市场模式运营，定价区间约为每杯5.20-6.90加元。Real Fruit Bubble Tea成立于2002年的多伦多，是加拿大最大的本土品牌，以鲜果制作和包容性品牌形象实现差异化。</w:t>
      </w:r>
    </w:p>
    <w:p>
      <w:pPr>
        <w:spacing w:after="120" w:line="360" w:lineRule="auto"/>
        <w:jc w:val="left"/>
      </w:pPr>
      <w:r>
        <w:t xml:space="preserve">第二层：中腰部品牌（10-30家门店）。包括Palgong Tea（韩国品牌，约15家门店，以独特的枫叶奶茶著称）、Kung Fu Tea（5-10家）、Presotea（使用意式咖啡机现萃）、The Alley鹿角巷（Instagram风格美学）和一芳水果茶（正宗台湾水果茶）。定价区间约6-8加元，在品质和体验上竞争。</w:t>
      </w:r>
    </w:p>
    <w:p>
      <w:pPr>
        <w:spacing w:after="120" w:line="360" w:lineRule="auto"/>
        <w:jc w:val="left"/>
      </w:pPr>
      <w:r>
        <w:t xml:space="preserve">第三层：高端及特色品牌（1-5家门店）。包括Tiger Sugar、幸福堂Xing Fu Tang（店内手工珍珠）、吃茶三千Chicha San Chen（"米其林珍珠奶茶"）、TP Tea（与春水堂的传承关系）、麻吉Machi Machi，以及最具标志性的新进入者——喜茶HEYTEA，其于2026年2月在CF多伦多伊顿中心（Eaton Centre）开设了首家加拿大Lab店，定价高达12.90加元。HEYTEA目前已在加拿大运营6家门店，并于2025年12月在多伦多建立了专属配送中心。</w:t>
      </w:r>
    </w:p>
    <w:p>
      <w:pPr>
        <w:pStyle w:val="2"/>
        <w:spacing w:after="120" w:before="240" w:line="360" w:lineRule="auto"/>
        <w:outlineLvl w:val="1"/>
      </w:pPr>
      <w:r>
        <w:t xml:space="preserve">4.2 价格分层结构</w:t>
      </w:r>
    </w:p>
    <w:p>
      <w:pPr>
        <w:spacing w:after="120" w:line="360" w:lineRule="auto"/>
        <w:jc w:val="left"/>
      </w:pPr>
      <w:r>
        <w:t xml:space="preserve">经济型：3.99-5.50加元（独立店铺、太古广场摊位）</w:t>
      </w:r>
    </w:p>
    <w:p>
      <w:pPr>
        <w:spacing w:after="120" w:line="360" w:lineRule="auto"/>
        <w:jc w:val="left"/>
      </w:pPr>
      <w:r>
        <w:t xml:space="preserve">大众/性价比型：5.20-6.50加元（CoCo、Chatime、Kung Fu Tea）</w:t>
      </w:r>
    </w:p>
    <w:p>
      <w:pPr>
        <w:spacing w:after="120" w:line="360" w:lineRule="auto"/>
        <w:jc w:val="left"/>
      </w:pPr>
      <w:r>
        <w:t xml:space="preserve">中端偏上型：6.50-7.50加元（Gong Cha、The Alley、Presotea、Palgong）</w:t>
      </w:r>
    </w:p>
    <w:p>
      <w:pPr>
        <w:spacing w:after="120" w:line="360" w:lineRule="auto"/>
        <w:jc w:val="left"/>
      </w:pPr>
      <w:r>
        <w:t xml:space="preserve">高端型：7.50-12.90加元（Tiger Sugar、幸福堂、HEYTEA）</w:t>
      </w:r>
    </w:p>
    <w:p>
      <w:pPr>
        <w:spacing w:after="120" w:line="360" w:lineRule="auto"/>
        <w:jc w:val="left"/>
      </w:pPr>
      <w:r>
        <w:t xml:space="preserve">此外，第一层还包括全国性咖啡巨头：Tim Hortons（全加拿大超4,000家门店）、Starbucks、Second Cup等，以及健康果昔品牌Booster Juice（全国470+门店）和Jugo Juice（全国100+门店）。</w:t>
      </w:r>
    </w:p>
    <w:p>
      <w:pPr>
        <w:pStyle w:val="2"/>
        <w:spacing w:after="120" w:before="240" w:line="360" w:lineRule="auto"/>
        <w:outlineLvl w:val="1"/>
      </w:pPr>
      <w:r>
        <w:t xml:space="preserve">4.3 地理饱和度与差异化空白</w:t>
      </w:r>
    </w:p>
    <w:p>
      <w:pPr>
        <w:spacing w:after="120" w:line="360" w:lineRule="auto"/>
        <w:jc w:val="left"/>
      </w:pPr>
      <w:r>
        <w:t xml:space="preserve">地理饱和度差异显著。多伦多市中心、北约克（Yonge/Finch）以及万锦/列治文山Highway 7走廊已极度饱和——业内人士指出"一个广场内就有六到八个品牌"。相比之下，GTA外围郊区（布兰普顿Brampton、奥沙瓦Oshawa、哈密尔顿Hamilton、伯灵顿Burlington）以及安大略省二线城市（渥太华、基奇纳-滑铁卢、伦敦）仍存在显著的渗透不足。</w:t>
      </w:r>
    </w:p>
    <w:p>
      <w:pPr>
        <w:spacing w:after="120" w:line="360" w:lineRule="auto"/>
        <w:jc w:val="left"/>
      </w:pPr>
      <w:r>
        <w:t xml:space="preserve">三个突出的差异化空白：</w:t>
      </w:r>
    </w:p>
    <w:p>
      <w:pPr>
        <w:spacing w:after="120" w:line="360" w:lineRule="auto"/>
        <w:jc w:val="left"/>
      </w:pPr>
      <w:r>
        <w:t xml:space="preserve">第一，以健康为导向的功能性茶饮几乎无人占据——仅有Tru Tea（低卡路里）和Nuttea（植物基）明确瞄准此定位。</w:t>
      </w:r>
    </w:p>
    <w:p>
      <w:pPr>
        <w:spacing w:after="120" w:line="360" w:lineRule="auto"/>
        <w:jc w:val="left"/>
      </w:pPr>
      <w:r>
        <w:t xml:space="preserve">第二，高端原叶鲜制茶（"现调"概念）竞争极少，仅有吃茶三千和TP Tea在极少数门店提供可比品质。</w:t>
      </w:r>
    </w:p>
    <w:p>
      <w:pPr>
        <w:spacing w:after="120" w:line="360" w:lineRule="auto"/>
        <w:jc w:val="left"/>
      </w:pPr>
      <w:r>
        <w:t xml:space="preserve">第三，面向主流（非亚裔）加拿大消费者的品牌稀缺——几乎所有现有连锁在营销和门店选址上都偏向亚裔人群。</w:t>
      </w:r>
    </w:p>
    <w:r>
      <w:br w:type="page"/>
    </w:r>
    <w:p>
      <w:pPr>
        <w:pStyle w:val="1"/>
        <w:spacing w:after="120" w:before="240" w:line="360" w:lineRule="auto"/>
        <w:outlineLvl w:val="0"/>
      </w:pPr>
      <w:r>
        <w:t xml:space="preserve">五、开店成本与预算模型</w:t>
      </w:r>
    </w:p>
    <w:p>
      <w:pPr>
        <w:pStyle w:val="2"/>
        <w:spacing w:after="120" w:before="240" w:line="360" w:lineRule="auto"/>
        <w:outlineLvl w:val="1"/>
      </w:pPr>
      <w:r>
        <w:t xml:space="preserve">5.1 商业租金概览</w:t>
      </w:r>
    </w:p>
    <w:p>
      <w:pPr>
        <w:spacing w:after="120" w:line="360" w:lineRule="auto"/>
        <w:jc w:val="left"/>
      </w:pPr>
      <w:r>
        <w:t xml:space="preserve">GTA各子市场的商业租金差异显著。根据CBRE零售租金调查（2025年下半年）：</w:t>
      </w:r>
    </w:p>
    <w:p>
      <w:pPr>
        <w:spacing w:after="120" w:line="360" w:lineRule="auto"/>
        <w:jc w:val="left"/>
      </w:pPr>
      <w:r>
        <w:t xml:space="preserve">多伦多市中心（Yonge, Queen）：总毛租金约70-120+加元/平方英尺/年；Bloor Street可达250加元/平方英尺/年。核心高街节点如Bloor-Yorkville可达200-300加元，King St W约75-150加元，Yonge St约70-125加元。</w:t>
      </w:r>
    </w:p>
    <w:p>
      <w:pPr>
        <w:spacing w:after="120" w:line="360" w:lineRule="auto"/>
        <w:jc w:val="left"/>
      </w:pPr>
      <w:r>
        <w:t xml:space="preserve">北约克（Yonge/Finch）：约44-72加元。</w:t>
      </w:r>
    </w:p>
    <w:p>
      <w:pPr>
        <w:spacing w:after="120" w:line="360" w:lineRule="auto"/>
        <w:jc w:val="left"/>
      </w:pPr>
      <w:r>
        <w:t xml:space="preserve">万锦（Hwy 7/太古广场）：约42-60加元。</w:t>
      </w:r>
    </w:p>
    <w:p>
      <w:pPr>
        <w:spacing w:after="120" w:line="360" w:lineRule="auto"/>
        <w:jc w:val="left"/>
      </w:pPr>
      <w:r>
        <w:t xml:space="preserve">列治文山：约35-54加元。</w:t>
      </w:r>
    </w:p>
    <w:p>
      <w:pPr>
        <w:spacing w:after="120" w:line="360" w:lineRule="auto"/>
        <w:jc w:val="left"/>
      </w:pPr>
      <w:r>
        <w:t xml:space="preserve">士嘉堡（Midland/Finch）：约30-53加元。</w:t>
      </w:r>
    </w:p>
    <w:p>
      <w:pPr>
        <w:spacing w:after="120" w:line="360" w:lineRule="auto"/>
        <w:jc w:val="left"/>
      </w:pPr>
      <w:r>
        <w:t xml:space="preserve">密西沙加（Square One）：约50-80加元。</w:t>
      </w:r>
    </w:p>
    <w:p>
      <w:pPr>
        <w:spacing w:after="120" w:line="360" w:lineRule="auto"/>
        <w:jc w:val="left"/>
      </w:pPr>
      <w:r>
        <w:t xml:space="preserve">郊区商业广场（905区域）：约28-44加元。</w:t>
      </w:r>
    </w:p>
    <w:p>
      <w:pPr>
        <w:spacing w:after="120" w:line="360" w:lineRule="auto"/>
        <w:jc w:val="left"/>
      </w:pPr>
      <w:r>
        <w:t xml:space="preserve">渥太华：便利/街铺约45-60加元；城市复合约40-55加元。</w:t>
      </w:r>
    </w:p>
    <w:p>
      <w:pPr>
        <w:spacing w:after="120" w:line="360" w:lineRule="auto"/>
        <w:jc w:val="left"/>
      </w:pPr>
      <w:r>
        <w:t xml:space="preserve">基奇纳-滑铁卢：便利/街铺约32-40加元；城市复合约25-35加元。</w:t>
      </w:r>
    </w:p>
    <w:p>
      <w:pPr>
        <w:spacing w:after="120" w:line="360" w:lineRule="auto"/>
        <w:jc w:val="left"/>
      </w:pPr>
      <w:r>
        <w:t xml:space="preserve">（CBRE, 2025）</w:t>
      </w:r>
    </w:p>
    <w:p>
      <w:pPr>
        <w:spacing w:after="120" w:line="360" w:lineRule="auto"/>
        <w:jc w:val="left"/>
      </w:pPr>
      <w:r>
        <w:t xml:space="preserve">这直接导出投资策略：高租金城市必须优先选择"可快速开业的二代店"或以更小面积跑出更高坪效，否则在行业平均利润率偏低的背景下现金流风险会放大。</w:t>
      </w:r>
    </w:p>
    <w:p>
      <w:pPr>
        <w:pStyle w:val="2"/>
        <w:spacing w:after="120" w:before="240" w:line="360" w:lineRule="auto"/>
        <w:outlineLvl w:val="1"/>
      </w:pPr>
      <w:r>
        <w:t xml:space="preserve">5.2 三档投资模型</w:t>
      </w:r>
    </w:p>
    <w:p>
      <w:pPr>
        <w:spacing w:after="120" w:line="360" w:lineRule="auto"/>
        <w:jc w:val="left"/>
      </w:pPr>
      <w:r>
        <w:t xml:space="preserve">[NOTE: 三份草稿投资数据差异，以表格呈现]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000000" w:sz="1"/>
              <w:left w:val="single" w:color="000000" w:sz="1"/>
              <w:bottom w:val="single" w:color="000000" w:sz="1"/>
              <w:right w:val="single" w:color="000000" w:sz="1"/>
            </w:tcBorders>
            <w:shd w:color="E8E8E8" w:val="clear"/>
          </w:tcPr>
          <w:p>
            <w:pPr>
              <w:jc w:val="center"/>
            </w:pPr>
            <w:r>
              <w:t xml:space="preserve">投资档位</w:t>
            </w:r>
          </w:p>
        </w:tc>
        <w:tc>
          <w:tcPr>
            <w:tcW w:type="dxa" w:w="1500"/>
            <w:tcBorders>
              <w:top w:val="single" w:color="000000" w:sz="1"/>
              <w:left w:val="single" w:color="000000" w:sz="1"/>
              <w:bottom w:val="single" w:color="000000" w:sz="1"/>
              <w:right w:val="single" w:color="000000" w:sz="1"/>
            </w:tcBorders>
            <w:shd w:color="E8E8E8" w:val="clear"/>
          </w:tcPr>
          <w:p>
            <w:pPr>
              <w:jc w:val="center"/>
            </w:pPr>
            <w:r>
              <w:t xml:space="preserve">草稿一数据 (CAD)</w:t>
            </w:r>
          </w:p>
        </w:tc>
        <w:tc>
          <w:tcPr>
            <w:tcW w:type="dxa" w:w="1500"/>
            <w:tcBorders>
              <w:top w:val="single" w:color="000000" w:sz="1"/>
              <w:left w:val="single" w:color="000000" w:sz="1"/>
              <w:bottom w:val="single" w:color="000000" w:sz="1"/>
              <w:right w:val="single" w:color="000000" w:sz="1"/>
            </w:tcBorders>
            <w:shd w:color="E8E8E8" w:val="clear"/>
          </w:tcPr>
          <w:p>
            <w:pPr>
              <w:jc w:val="center"/>
            </w:pPr>
            <w:r>
              <w:t xml:space="preserve">草稿二数据 (CAD)</w:t>
            </w:r>
          </w:p>
        </w:tc>
        <w:tc>
          <w:tcPr>
            <w:tcW w:type="dxa" w:w="1500"/>
            <w:tcBorders>
              <w:top w:val="single" w:color="000000" w:sz="1"/>
              <w:left w:val="single" w:color="000000" w:sz="1"/>
              <w:bottom w:val="single" w:color="000000" w:sz="1"/>
              <w:right w:val="single" w:color="000000" w:sz="1"/>
            </w:tcBorders>
            <w:shd w:color="E8E8E8" w:val="clear"/>
          </w:tcPr>
          <w:p>
            <w:pPr>
              <w:jc w:val="center"/>
            </w:pPr>
            <w:r>
              <w:t xml:space="preserve">草稿三数据 (CAD)</w:t>
            </w:r>
          </w:p>
        </w:tc>
        <w:tc>
          <w:tcPr>
            <w:tcW w:type="dxa" w:w="1500"/>
            <w:tcBorders>
              <w:top w:val="single" w:color="000000" w:sz="1"/>
              <w:left w:val="single" w:color="000000" w:sz="1"/>
              <w:bottom w:val="single" w:color="000000" w:sz="1"/>
              <w:right w:val="single" w:color="000000" w:sz="1"/>
            </w:tcBorders>
            <w:shd w:color="E8E8E8" w:val="clear"/>
          </w:tcPr>
          <w:p>
            <w:pPr>
              <w:jc w:val="center"/>
            </w:pPr>
            <w:r>
              <w:t xml:space="preserve">建议采用区间</w:t>
            </w:r>
          </w:p>
        </w:tc>
      </w:tr>
      <w:tr>
        <w:tc>
          <w:tcPr>
            <w:tcW w:type="dxa" w:w="1500"/>
            <w:tcBorders>
              <w:top w:val="single" w:color="000000" w:sz="1"/>
              <w:left w:val="single" w:color="000000" w:sz="1"/>
              <w:bottom w:val="single" w:color="000000" w:sz="1"/>
              <w:right w:val="single" w:color="000000" w:sz="1"/>
            </w:tcBorders>
          </w:tcPr>
          <w:p>
            <w:pPr>
              <w:jc w:val="left"/>
            </w:pPr>
            <w:r>
              <w:t xml:space="preserve">档位A：极限外卖档口/Kiosk (200-500 sqft)</w:t>
            </w:r>
          </w:p>
        </w:tc>
        <w:tc>
          <w:tcPr>
            <w:tcW w:type="dxa" w:w="1500"/>
            <w:tcBorders>
              <w:top w:val="single" w:color="000000" w:sz="1"/>
              <w:left w:val="single" w:color="000000" w:sz="1"/>
              <w:bottom w:val="single" w:color="000000" w:sz="1"/>
              <w:right w:val="single" w:color="000000" w:sz="1"/>
            </w:tcBorders>
          </w:tcPr>
          <w:p>
            <w:pPr>
              <w:jc w:val="left"/>
            </w:pPr>
            <w:r>
              <w:t xml:space="preserve">$15万-$22万</w:t>
            </w:r>
          </w:p>
        </w:tc>
        <w:tc>
          <w:tcPr>
            <w:tcW w:type="dxa" w:w="1500"/>
            <w:tcBorders>
              <w:top w:val="single" w:color="000000" w:sz="1"/>
              <w:left w:val="single" w:color="000000" w:sz="1"/>
              <w:bottom w:val="single" w:color="000000" w:sz="1"/>
              <w:right w:val="single" w:color="000000" w:sz="1"/>
            </w:tcBorders>
          </w:tcPr>
          <w:p>
            <w:pPr>
              <w:jc w:val="left"/>
            </w:pPr>
            <w:r>
              <w:t xml:space="preserve">$13.5万-$18.5万</w:t>
            </w:r>
          </w:p>
        </w:tc>
        <w:tc>
          <w:tcPr>
            <w:tcW w:type="dxa" w:w="1500"/>
            <w:tcBorders>
              <w:top w:val="single" w:color="000000" w:sz="1"/>
              <w:left w:val="single" w:color="000000" w:sz="1"/>
              <w:bottom w:val="single" w:color="000000" w:sz="1"/>
              <w:right w:val="single" w:color="000000" w:sz="1"/>
            </w:tcBorders>
          </w:tcPr>
          <w:p>
            <w:pPr>
              <w:jc w:val="left"/>
            </w:pPr>
            <w:r>
              <w:t xml:space="preserve">$4.25万-$13.3万</w:t>
            </w:r>
          </w:p>
        </w:tc>
        <w:tc>
          <w:tcPr>
            <w:tcW w:type="dxa" w:w="1500"/>
            <w:tcBorders>
              <w:top w:val="single" w:color="000000" w:sz="1"/>
              <w:left w:val="single" w:color="000000" w:sz="1"/>
              <w:bottom w:val="single" w:color="000000" w:sz="1"/>
              <w:right w:val="single" w:color="000000" w:sz="1"/>
            </w:tcBorders>
          </w:tcPr>
          <w:p>
            <w:pPr>
              <w:jc w:val="left"/>
            </w:pPr>
            <w:r>
              <w:t xml:space="preserve">$4.25万-$22万（视定义口径）</w:t>
            </w:r>
          </w:p>
        </w:tc>
      </w:tr>
      <w:tr>
        <w:tc>
          <w:tcPr>
            <w:tcW w:type="dxa" w:w="1500"/>
            <w:tcBorders>
              <w:top w:val="single" w:color="000000" w:sz="1"/>
              <w:left w:val="single" w:color="000000" w:sz="1"/>
              <w:bottom w:val="single" w:color="000000" w:sz="1"/>
              <w:right w:val="single" w:color="000000" w:sz="1"/>
            </w:tcBorders>
          </w:tcPr>
          <w:p>
            <w:pPr>
              <w:jc w:val="left"/>
            </w:pPr>
            <w:r>
              <w:t xml:space="preserve">档位B：标准社交体验店 (600-1,000 sqft)</w:t>
            </w:r>
          </w:p>
        </w:tc>
        <w:tc>
          <w:tcPr>
            <w:tcW w:type="dxa" w:w="1500"/>
            <w:tcBorders>
              <w:top w:val="single" w:color="000000" w:sz="1"/>
              <w:left w:val="single" w:color="000000" w:sz="1"/>
              <w:bottom w:val="single" w:color="000000" w:sz="1"/>
              <w:right w:val="single" w:color="000000" w:sz="1"/>
            </w:tcBorders>
          </w:tcPr>
          <w:p>
            <w:pPr>
              <w:jc w:val="left"/>
            </w:pPr>
            <w:r>
              <w:t xml:space="preserve">$28万-$40万</w:t>
            </w:r>
          </w:p>
        </w:tc>
        <w:tc>
          <w:tcPr>
            <w:tcW w:type="dxa" w:w="1500"/>
            <w:tcBorders>
              <w:top w:val="single" w:color="000000" w:sz="1"/>
              <w:left w:val="single" w:color="000000" w:sz="1"/>
              <w:bottom w:val="single" w:color="000000" w:sz="1"/>
              <w:right w:val="single" w:color="000000" w:sz="1"/>
            </w:tcBorders>
          </w:tcPr>
          <w:p>
            <w:pPr>
              <w:jc w:val="left"/>
            </w:pPr>
            <w:r>
              <w:t xml:space="preserve">$24.5万-$43.5万</w:t>
            </w:r>
          </w:p>
        </w:tc>
        <w:tc>
          <w:tcPr>
            <w:tcW w:type="dxa" w:w="1500"/>
            <w:tcBorders>
              <w:top w:val="single" w:color="000000" w:sz="1"/>
              <w:left w:val="single" w:color="000000" w:sz="1"/>
              <w:bottom w:val="single" w:color="000000" w:sz="1"/>
              <w:right w:val="single" w:color="000000" w:sz="1"/>
            </w:tcBorders>
          </w:tcPr>
          <w:p>
            <w:pPr>
              <w:jc w:val="left"/>
            </w:pPr>
            <w:r>
              <w:t xml:space="preserve">$12.95万-$38.2万</w:t>
            </w:r>
          </w:p>
        </w:tc>
        <w:tc>
          <w:tcPr>
            <w:tcW w:type="dxa" w:w="1500"/>
            <w:tcBorders>
              <w:top w:val="single" w:color="000000" w:sz="1"/>
              <w:left w:val="single" w:color="000000" w:sz="1"/>
              <w:bottom w:val="single" w:color="000000" w:sz="1"/>
              <w:right w:val="single" w:color="000000" w:sz="1"/>
            </w:tcBorders>
          </w:tcPr>
          <w:p>
            <w:pPr>
              <w:jc w:val="left"/>
            </w:pPr>
            <w:r>
              <w:t xml:space="preserve">$24.5万-$43.5万</w:t>
            </w:r>
          </w:p>
        </w:tc>
      </w:tr>
      <w:tr>
        <w:tc>
          <w:tcPr>
            <w:tcW w:type="dxa" w:w="1500"/>
            <w:tcBorders>
              <w:top w:val="single" w:color="000000" w:sz="1"/>
              <w:left w:val="single" w:color="000000" w:sz="1"/>
              <w:bottom w:val="single" w:color="000000" w:sz="1"/>
              <w:right w:val="single" w:color="000000" w:sz="1"/>
            </w:tcBorders>
          </w:tcPr>
          <w:p>
            <w:pPr>
              <w:jc w:val="left"/>
            </w:pPr>
            <w:r>
              <w:t xml:space="preserve">档位C：高端旗舰/品牌化 (1,200-2,000 sqft)</w:t>
            </w:r>
          </w:p>
        </w:tc>
        <w:tc>
          <w:tcPr>
            <w:tcW w:type="dxa" w:w="1500"/>
            <w:tcBorders>
              <w:top w:val="single" w:color="000000" w:sz="1"/>
              <w:left w:val="single" w:color="000000" w:sz="1"/>
              <w:bottom w:val="single" w:color="000000" w:sz="1"/>
              <w:right w:val="single" w:color="000000" w:sz="1"/>
            </w:tcBorders>
          </w:tcPr>
          <w:p>
            <w:pPr>
              <w:jc w:val="left"/>
            </w:pPr>
            <w:r>
              <w:t xml:space="preserve">$45万-$70万</w:t>
            </w:r>
          </w:p>
        </w:tc>
        <w:tc>
          <w:tcPr>
            <w:tcW w:type="dxa" w:w="1500"/>
            <w:tcBorders>
              <w:top w:val="single" w:color="000000" w:sz="1"/>
              <w:left w:val="single" w:color="000000" w:sz="1"/>
              <w:bottom w:val="single" w:color="000000" w:sz="1"/>
              <w:right w:val="single" w:color="000000" w:sz="1"/>
            </w:tcBorders>
          </w:tcPr>
          <w:p>
            <w:pPr>
              <w:jc w:val="left"/>
            </w:pPr>
            <w:r>
              <w:t xml:space="preserve">$48.5万-$74万</w:t>
            </w:r>
          </w:p>
        </w:tc>
        <w:tc>
          <w:tcPr>
            <w:tcW w:type="dxa" w:w="1500"/>
            <w:tcBorders>
              <w:top w:val="single" w:color="000000" w:sz="1"/>
              <w:left w:val="single" w:color="000000" w:sz="1"/>
              <w:bottom w:val="single" w:color="000000" w:sz="1"/>
              <w:right w:val="single" w:color="000000" w:sz="1"/>
            </w:tcBorders>
          </w:tcPr>
          <w:p>
            <w:pPr>
              <w:jc w:val="left"/>
            </w:pPr>
            <w:r>
              <w:t xml:space="preserve">$33.2万-$97.2万</w:t>
            </w:r>
          </w:p>
        </w:tc>
        <w:tc>
          <w:tcPr>
            <w:tcW w:type="dxa" w:w="1500"/>
            <w:tcBorders>
              <w:top w:val="single" w:color="000000" w:sz="1"/>
              <w:left w:val="single" w:color="000000" w:sz="1"/>
              <w:bottom w:val="single" w:color="000000" w:sz="1"/>
              <w:right w:val="single" w:color="000000" w:sz="1"/>
            </w:tcBorders>
          </w:tcPr>
          <w:p>
            <w:pPr>
              <w:jc w:val="left"/>
            </w:pPr>
            <w:r>
              <w:t xml:space="preserve">$45万-$97.2万</w:t>
            </w:r>
          </w:p>
        </w:tc>
      </w:tr>
    </w:tbl>
    <w:p>
      <w:pPr>
        <w:spacing w:after="120" w:line="360" w:lineRule="auto"/>
        <w:jc w:val="left"/>
      </w:pPr>
      <w:r>
        <w:t xml:space="preserve">注：草稿三对Kiosk模型的定义更为精简（200-400 sqft、基础设备），投资下限因此更低。草稿一和草稿二的Kiosk/外卖档口定义为500 sqft左右，包含更多装修和营运资金。Chatime单店加盟费约48万-67.9万加元（含5万加元加盟费、5%提成、2%营销费），可作为对标参考。</w:t>
      </w:r>
    </w:p>
    <w:p>
      <w:pPr>
        <w:pStyle w:val="2"/>
        <w:spacing w:after="120" w:before="240" w:line="360" w:lineRule="auto"/>
        <w:outlineLvl w:val="1"/>
      </w:pPr>
      <w:r>
        <w:t xml:space="preserve">5.3 投资明细拆解（标准店模型）</w:t>
      </w:r>
    </w:p>
    <w:p>
      <w:pPr>
        <w:spacing w:after="120" w:line="360" w:lineRule="auto"/>
        <w:jc w:val="left"/>
      </w:pPr>
      <w:r>
        <w:t xml:space="preserve">以草稿二的标准店模型（约1,000 sqft）为基准，投资明细如下：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000000" w:sz="1"/>
              <w:left w:val="single" w:color="000000" w:sz="1"/>
              <w:bottom w:val="single" w:color="000000" w:sz="1"/>
              <w:right w:val="single" w:color="000000" w:sz="1"/>
            </w:tcBorders>
            <w:shd w:color="E8E8E8" w:val="clear"/>
          </w:tcPr>
          <w:p>
            <w:pPr>
              <w:jc w:val="center"/>
            </w:pPr>
            <w:r>
              <w:t xml:space="preserve">投资项目</w:t>
            </w:r>
          </w:p>
        </w:tc>
        <w:tc>
          <w:tcPr>
            <w:tcW w:type="dxa" w:w="2000"/>
            <w:tcBorders>
              <w:top w:val="single" w:color="000000" w:sz="1"/>
              <w:left w:val="single" w:color="000000" w:sz="1"/>
              <w:bottom w:val="single" w:color="000000" w:sz="1"/>
              <w:right w:val="single" w:color="000000" w:sz="1"/>
            </w:tcBorders>
            <w:shd w:color="E8E8E8" w:val="clear"/>
          </w:tcPr>
          <w:p>
            <w:pPr>
              <w:jc w:val="center"/>
            </w:pPr>
            <w:r>
              <w:t xml:space="preserve">投资额范围 (CAD)</w:t>
            </w:r>
          </w:p>
        </w:tc>
      </w:tr>
      <w:tr>
        <w:tc>
          <w:tcPr>
            <w:tcW w:type="dxa" w:w="3000"/>
            <w:tcBorders>
              <w:top w:val="single" w:color="000000" w:sz="1"/>
              <w:left w:val="single" w:color="000000" w:sz="1"/>
              <w:bottom w:val="single" w:color="000000" w:sz="1"/>
              <w:right w:val="single" w:color="000000" w:sz="1"/>
            </w:tcBorders>
          </w:tcPr>
          <w:p>
            <w:pPr>
              <w:jc w:val="left"/>
            </w:pPr>
            <w:r>
              <w:t xml:space="preserve">空间设计与市政审批</w:t>
            </w:r>
          </w:p>
        </w:tc>
        <w:tc>
          <w:tcPr>
            <w:tcW w:type="dxa" w:w="2000"/>
            <w:tcBorders>
              <w:top w:val="single" w:color="000000" w:sz="1"/>
              <w:left w:val="single" w:color="000000" w:sz="1"/>
              <w:bottom w:val="single" w:color="000000" w:sz="1"/>
              <w:right w:val="single" w:color="000000" w:sz="1"/>
            </w:tcBorders>
          </w:tcPr>
          <w:p>
            <w:pPr>
              <w:jc w:val="left"/>
            </w:pPr>
            <w:r>
              <w:t xml:space="preserve">$20,000-$40,000</w:t>
            </w:r>
          </w:p>
        </w:tc>
      </w:tr>
      <w:tr>
        <w:tc>
          <w:tcPr>
            <w:tcW w:type="dxa" w:w="3000"/>
            <w:tcBorders>
              <w:top w:val="single" w:color="000000" w:sz="1"/>
              <w:left w:val="single" w:color="000000" w:sz="1"/>
              <w:bottom w:val="single" w:color="000000" w:sz="1"/>
              <w:right w:val="single" w:color="000000" w:sz="1"/>
            </w:tcBorders>
          </w:tcPr>
          <w:p>
            <w:pPr>
              <w:jc w:val="left"/>
            </w:pPr>
            <w:r>
              <w:t xml:space="preserve">硬装施工与机电工程</w:t>
            </w:r>
          </w:p>
        </w:tc>
        <w:tc>
          <w:tcPr>
            <w:tcW w:type="dxa" w:w="2000"/>
            <w:tcBorders>
              <w:top w:val="single" w:color="000000" w:sz="1"/>
              <w:left w:val="single" w:color="000000" w:sz="1"/>
              <w:bottom w:val="single" w:color="000000" w:sz="1"/>
              <w:right w:val="single" w:color="000000" w:sz="1"/>
            </w:tcBorders>
          </w:tcPr>
          <w:p>
            <w:pPr>
              <w:jc w:val="left"/>
            </w:pPr>
            <w:r>
              <w:t xml:space="preserve">$90,000-$170,000</w:t>
            </w:r>
          </w:p>
        </w:tc>
      </w:tr>
      <w:tr>
        <w:tc>
          <w:tcPr>
            <w:tcW w:type="dxa" w:w="3000"/>
            <w:tcBorders>
              <w:top w:val="single" w:color="000000" w:sz="1"/>
              <w:left w:val="single" w:color="000000" w:sz="1"/>
              <w:bottom w:val="single" w:color="000000" w:sz="1"/>
              <w:right w:val="single" w:color="000000" w:sz="1"/>
            </w:tcBorders>
          </w:tcPr>
          <w:p>
            <w:pPr>
              <w:jc w:val="left"/>
            </w:pPr>
            <w:r>
              <w:t xml:space="preserve">商用设备与软装陈列</w:t>
            </w:r>
          </w:p>
        </w:tc>
        <w:tc>
          <w:tcPr>
            <w:tcW w:type="dxa" w:w="2000"/>
            <w:tcBorders>
              <w:top w:val="single" w:color="000000" w:sz="1"/>
              <w:left w:val="single" w:color="000000" w:sz="1"/>
              <w:bottom w:val="single" w:color="000000" w:sz="1"/>
              <w:right w:val="single" w:color="000000" w:sz="1"/>
            </w:tcBorders>
          </w:tcPr>
          <w:p>
            <w:pPr>
              <w:jc w:val="left"/>
            </w:pPr>
            <w:r>
              <w:t xml:space="preserve">$70,000-$150,000</w:t>
            </w:r>
          </w:p>
        </w:tc>
      </w:tr>
      <w:tr>
        <w:tc>
          <w:tcPr>
            <w:tcW w:type="dxa" w:w="3000"/>
            <w:tcBorders>
              <w:top w:val="single" w:color="000000" w:sz="1"/>
              <w:left w:val="single" w:color="000000" w:sz="1"/>
              <w:bottom w:val="single" w:color="000000" w:sz="1"/>
              <w:right w:val="single" w:color="000000" w:sz="1"/>
            </w:tcBorders>
          </w:tcPr>
          <w:p>
            <w:pPr>
              <w:jc w:val="left"/>
            </w:pPr>
            <w:r>
              <w:t xml:space="preserve">首期物料、押金与合规</w:t>
            </w:r>
          </w:p>
        </w:tc>
        <w:tc>
          <w:tcPr>
            <w:tcW w:type="dxa" w:w="2000"/>
            <w:tcBorders>
              <w:top w:val="single" w:color="000000" w:sz="1"/>
              <w:left w:val="single" w:color="000000" w:sz="1"/>
              <w:bottom w:val="single" w:color="000000" w:sz="1"/>
              <w:right w:val="single" w:color="000000" w:sz="1"/>
            </w:tcBorders>
          </w:tcPr>
          <w:p>
            <w:pPr>
              <w:jc w:val="left"/>
            </w:pPr>
            <w:r>
              <w:t xml:space="preserve">$25,000-$35,000</w:t>
            </w:r>
          </w:p>
        </w:tc>
      </w:tr>
      <w:tr>
        <w:tc>
          <w:tcPr>
            <w:tcW w:type="dxa" w:w="3000"/>
            <w:tcBorders>
              <w:top w:val="single" w:color="000000" w:sz="1"/>
              <w:left w:val="single" w:color="000000" w:sz="1"/>
              <w:bottom w:val="single" w:color="000000" w:sz="1"/>
              <w:right w:val="single" w:color="000000" w:sz="1"/>
            </w:tcBorders>
          </w:tcPr>
          <w:p>
            <w:pPr>
              <w:jc w:val="left"/>
            </w:pPr>
            <w:r>
              <w:t xml:space="preserve">风险缓冲营运资金</w:t>
            </w:r>
          </w:p>
        </w:tc>
        <w:tc>
          <w:tcPr>
            <w:tcW w:type="dxa" w:w="2000"/>
            <w:tcBorders>
              <w:top w:val="single" w:color="000000" w:sz="1"/>
              <w:left w:val="single" w:color="000000" w:sz="1"/>
              <w:bottom w:val="single" w:color="000000" w:sz="1"/>
              <w:right w:val="single" w:color="000000" w:sz="1"/>
            </w:tcBorders>
          </w:tcPr>
          <w:p>
            <w:pPr>
              <w:jc w:val="left"/>
            </w:pPr>
            <w:r>
              <w:t xml:space="preserve">$40,000</w:t>
            </w:r>
          </w:p>
        </w:tc>
      </w:tr>
      <w:tr>
        <w:tc>
          <w:tcPr>
            <w:tcW w:type="dxa" w:w="3000"/>
            <w:tcBorders>
              <w:top w:val="single" w:color="000000" w:sz="1"/>
              <w:left w:val="single" w:color="000000" w:sz="1"/>
              <w:bottom w:val="single" w:color="000000" w:sz="1"/>
              <w:right w:val="single" w:color="000000" w:sz="1"/>
            </w:tcBorders>
          </w:tcPr>
          <w:p>
            <w:pPr>
              <w:jc w:val="left"/>
            </w:pPr>
            <w:r>
              <w:t xml:space="preserve">预估总投资</w:t>
            </w:r>
          </w:p>
        </w:tc>
        <w:tc>
          <w:tcPr>
            <w:tcW w:type="dxa" w:w="2000"/>
            <w:tcBorders>
              <w:top w:val="single" w:color="000000" w:sz="1"/>
              <w:left w:val="single" w:color="000000" w:sz="1"/>
              <w:bottom w:val="single" w:color="000000" w:sz="1"/>
              <w:right w:val="single" w:color="000000" w:sz="1"/>
            </w:tcBorders>
          </w:tcPr>
          <w:p>
            <w:pPr>
              <w:jc w:val="left"/>
            </w:pPr>
            <w:r>
              <w:t xml:space="preserve">$245,000-$435,000</w:t>
            </w:r>
          </w:p>
        </w:tc>
      </w:tr>
    </w:tbl>
    <w:p>
      <w:pPr>
        <w:spacing w:after="120" w:line="360" w:lineRule="auto"/>
        <w:jc w:val="left"/>
      </w:pPr>
      <w:r>
        <w:t xml:space="preserve">（Sansa Interiors, 2026; Cushman &amp; Wakefield, 2026）</w:t>
      </w:r>
    </w:p>
    <w:p>
      <w:pPr>
        <w:pStyle w:val="2"/>
        <w:spacing w:after="120" w:before="240" w:line="360" w:lineRule="auto"/>
        <w:outlineLvl w:val="1"/>
      </w:pPr>
      <w:r>
        <w:t xml:space="preserve">5.4 月度运营成本结构</w:t>
      </w:r>
    </w:p>
    <w:p>
      <w:pPr>
        <w:spacing w:after="120" w:line="360" w:lineRule="auto"/>
        <w:jc w:val="left"/>
      </w:pPr>
      <w:r>
        <w:t xml:space="preserve">以标准店模型（约800-1,000 sqft）为基准，月度运营成本结构如下：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tcBorders>
              <w:top w:val="single" w:color="000000" w:sz="1"/>
              <w:left w:val="single" w:color="000000" w:sz="1"/>
              <w:bottom w:val="single" w:color="000000" w:sz="1"/>
              <w:right w:val="single" w:color="000000" w:sz="1"/>
            </w:tcBorders>
            <w:shd w:color="E8E8E8" w:val="clear"/>
          </w:tcPr>
          <w:p>
            <w:pPr>
              <w:jc w:val="center"/>
            </w:pPr>
            <w:r>
              <w:t xml:space="preserve">费用项</w:t>
            </w:r>
          </w:p>
        </w:tc>
        <w:tc>
          <w:tcPr>
            <w:tcW w:type="dxa" w:w="1500"/>
            <w:tcBorders>
              <w:top w:val="single" w:color="000000" w:sz="1"/>
              <w:left w:val="single" w:color="000000" w:sz="1"/>
              <w:bottom w:val="single" w:color="000000" w:sz="1"/>
              <w:right w:val="single" w:color="000000" w:sz="1"/>
            </w:tcBorders>
            <w:shd w:color="E8E8E8" w:val="clear"/>
          </w:tcPr>
          <w:p>
            <w:pPr>
              <w:jc w:val="center"/>
            </w:pPr>
            <w:r>
              <w:t xml:space="preserve">月度区间(CAD)</w:t>
            </w:r>
          </w:p>
        </w:tc>
        <w:tc>
          <w:tcPr>
            <w:tcW w:type="dxa" w:w="1500"/>
            <w:tcBorders>
              <w:top w:val="single" w:color="000000" w:sz="1"/>
              <w:left w:val="single" w:color="000000" w:sz="1"/>
              <w:bottom w:val="single" w:color="000000" w:sz="1"/>
              <w:right w:val="single" w:color="000000" w:sz="1"/>
            </w:tcBorders>
            <w:shd w:color="E8E8E8" w:val="clear"/>
          </w:tcPr>
          <w:p>
            <w:pPr>
              <w:jc w:val="center"/>
            </w:pPr>
            <w:r>
              <w:t xml:space="preserve">占营收比例目标</w:t>
            </w:r>
          </w:p>
        </w:tc>
      </w:tr>
      <w:tr>
        <w:tc>
          <w:tcPr>
            <w:tcW w:type="dxa" w:w="1500"/>
            <w:tcBorders>
              <w:top w:val="single" w:color="000000" w:sz="1"/>
              <w:left w:val="single" w:color="000000" w:sz="1"/>
              <w:bottom w:val="single" w:color="000000" w:sz="1"/>
              <w:right w:val="single" w:color="000000" w:sz="1"/>
            </w:tcBorders>
          </w:tcPr>
          <w:p>
            <w:pPr>
              <w:jc w:val="left"/>
            </w:pPr>
            <w:r>
              <w:t xml:space="preserve">租金</w:t>
            </w:r>
          </w:p>
        </w:tc>
        <w:tc>
          <w:tcPr>
            <w:tcW w:type="dxa" w:w="1500"/>
            <w:tcBorders>
              <w:top w:val="single" w:color="000000" w:sz="1"/>
              <w:left w:val="single" w:color="000000" w:sz="1"/>
              <w:bottom w:val="single" w:color="000000" w:sz="1"/>
              <w:right w:val="single" w:color="000000" w:sz="1"/>
            </w:tcBorders>
          </w:tcPr>
          <w:p>
            <w:pPr>
              <w:jc w:val="left"/>
            </w:pPr>
            <w:r>
              <w:t xml:space="preserve">$3,000-$7,000</w:t>
            </w:r>
          </w:p>
        </w:tc>
        <w:tc>
          <w:tcPr>
            <w:tcW w:type="dxa" w:w="1500"/>
            <w:tcBorders>
              <w:top w:val="single" w:color="000000" w:sz="1"/>
              <w:left w:val="single" w:color="000000" w:sz="1"/>
              <w:bottom w:val="single" w:color="000000" w:sz="1"/>
              <w:right w:val="single" w:color="000000" w:sz="1"/>
            </w:tcBorders>
          </w:tcPr>
          <w:p>
            <w:pPr>
              <w:jc w:val="left"/>
            </w:pPr>
            <w:r>
              <w:t xml:space="preserve">≤10-15%</w:t>
            </w:r>
          </w:p>
        </w:tc>
      </w:tr>
      <w:tr>
        <w:tc>
          <w:tcPr>
            <w:tcW w:type="dxa" w:w="1500"/>
            <w:tcBorders>
              <w:top w:val="single" w:color="000000" w:sz="1"/>
              <w:left w:val="single" w:color="000000" w:sz="1"/>
              <w:bottom w:val="single" w:color="000000" w:sz="1"/>
              <w:right w:val="single" w:color="000000" w:sz="1"/>
            </w:tcBorders>
          </w:tcPr>
          <w:p>
            <w:pPr>
              <w:jc w:val="left"/>
            </w:pPr>
            <w:r>
              <w:t xml:space="preserve">人工（4-6名全职当量，时薪$17.60-$20）</w:t>
            </w:r>
          </w:p>
        </w:tc>
        <w:tc>
          <w:tcPr>
            <w:tcW w:type="dxa" w:w="1500"/>
            <w:tcBorders>
              <w:top w:val="single" w:color="000000" w:sz="1"/>
              <w:left w:val="single" w:color="000000" w:sz="1"/>
              <w:bottom w:val="single" w:color="000000" w:sz="1"/>
              <w:right w:val="single" w:color="000000" w:sz="1"/>
            </w:tcBorders>
          </w:tcPr>
          <w:p>
            <w:pPr>
              <w:jc w:val="left"/>
            </w:pPr>
            <w:r>
              <w:t xml:space="preserve">$9,000-$16,000</w:t>
            </w:r>
          </w:p>
        </w:tc>
        <w:tc>
          <w:tcPr>
            <w:tcW w:type="dxa" w:w="1500"/>
            <w:tcBorders>
              <w:top w:val="single" w:color="000000" w:sz="1"/>
              <w:left w:val="single" w:color="000000" w:sz="1"/>
              <w:bottom w:val="single" w:color="000000" w:sz="1"/>
              <w:right w:val="single" w:color="000000" w:sz="1"/>
            </w:tcBorders>
          </w:tcPr>
          <w:p>
            <w:pPr>
              <w:jc w:val="left"/>
            </w:pPr>
            <w:r>
              <w:t xml:space="preserve">≤25-30%</w:t>
            </w:r>
          </w:p>
        </w:tc>
      </w:tr>
      <w:tr>
        <w:tc>
          <w:tcPr>
            <w:tcW w:type="dxa" w:w="1500"/>
            <w:tcBorders>
              <w:top w:val="single" w:color="000000" w:sz="1"/>
              <w:left w:val="single" w:color="000000" w:sz="1"/>
              <w:bottom w:val="single" w:color="000000" w:sz="1"/>
              <w:right w:val="single" w:color="000000" w:sz="1"/>
            </w:tcBorders>
          </w:tcPr>
          <w:p>
            <w:pPr>
              <w:jc w:val="left"/>
            </w:pPr>
            <w:r>
              <w:t xml:space="preserve">原材料/食材成本</w:t>
            </w:r>
          </w:p>
        </w:tc>
        <w:tc>
          <w:tcPr>
            <w:tcW w:type="dxa" w:w="1500"/>
            <w:tcBorders>
              <w:top w:val="single" w:color="000000" w:sz="1"/>
              <w:left w:val="single" w:color="000000" w:sz="1"/>
              <w:bottom w:val="single" w:color="000000" w:sz="1"/>
              <w:right w:val="single" w:color="000000" w:sz="1"/>
            </w:tcBorders>
          </w:tcPr>
          <w:p>
            <w:pPr>
              <w:jc w:val="left"/>
            </w:pPr>
            <w:r>
              <w:t xml:space="preserve">$5,000-$12,000</w:t>
            </w:r>
          </w:p>
        </w:tc>
        <w:tc>
          <w:tcPr>
            <w:tcW w:type="dxa" w:w="1500"/>
            <w:tcBorders>
              <w:top w:val="single" w:color="000000" w:sz="1"/>
              <w:left w:val="single" w:color="000000" w:sz="1"/>
              <w:bottom w:val="single" w:color="000000" w:sz="1"/>
              <w:right w:val="single" w:color="000000" w:sz="1"/>
            </w:tcBorders>
          </w:tcPr>
          <w:p>
            <w:pPr>
              <w:jc w:val="left"/>
            </w:pPr>
            <w:r>
              <w:t xml:space="preserve">20-25%</w:t>
            </w:r>
          </w:p>
        </w:tc>
      </w:tr>
      <w:tr>
        <w:tc>
          <w:tcPr>
            <w:tcW w:type="dxa" w:w="1500"/>
            <w:tcBorders>
              <w:top w:val="single" w:color="000000" w:sz="1"/>
              <w:left w:val="single" w:color="000000" w:sz="1"/>
              <w:bottom w:val="single" w:color="000000" w:sz="1"/>
              <w:right w:val="single" w:color="000000" w:sz="1"/>
            </w:tcBorders>
          </w:tcPr>
          <w:p>
            <w:pPr>
              <w:jc w:val="left"/>
            </w:pPr>
            <w:r>
              <w:t xml:space="preserve">水电煤气</w:t>
            </w:r>
          </w:p>
        </w:tc>
        <w:tc>
          <w:tcPr>
            <w:tcW w:type="dxa" w:w="1500"/>
            <w:tcBorders>
              <w:top w:val="single" w:color="000000" w:sz="1"/>
              <w:left w:val="single" w:color="000000" w:sz="1"/>
              <w:bottom w:val="single" w:color="000000" w:sz="1"/>
              <w:right w:val="single" w:color="000000" w:sz="1"/>
            </w:tcBorders>
          </w:tcPr>
          <w:p>
            <w:pPr>
              <w:jc w:val="left"/>
            </w:pPr>
            <w:r>
              <w:t xml:space="preserve">$500-$1,200</w:t>
            </w:r>
          </w:p>
        </w:tc>
        <w:tc>
          <w:tcPr>
            <w:tcW w:type="dxa" w:w="1500"/>
            <w:tcBorders>
              <w:top w:val="single" w:color="000000" w:sz="1"/>
              <w:left w:val="single" w:color="000000" w:sz="1"/>
              <w:bottom w:val="single" w:color="000000" w:sz="1"/>
              <w:right w:val="single" w:color="000000" w:sz="1"/>
            </w:tcBorders>
          </w:tcPr>
          <w:p>
            <w:pPr>
              <w:jc w:val="left"/>
            </w:pPr>
            <w:r>
              <w:t xml:space="preserve">—</w:t>
            </w:r>
          </w:p>
        </w:tc>
      </w:tr>
      <w:tr>
        <w:tc>
          <w:tcPr>
            <w:tcW w:type="dxa" w:w="1500"/>
            <w:tcBorders>
              <w:top w:val="single" w:color="000000" w:sz="1"/>
              <w:left w:val="single" w:color="000000" w:sz="1"/>
              <w:bottom w:val="single" w:color="000000" w:sz="1"/>
              <w:right w:val="single" w:color="000000" w:sz="1"/>
            </w:tcBorders>
          </w:tcPr>
          <w:p>
            <w:pPr>
              <w:jc w:val="left"/>
            </w:pPr>
            <w:r>
              <w:t xml:space="preserve">商业保险</w:t>
            </w:r>
          </w:p>
        </w:tc>
        <w:tc>
          <w:tcPr>
            <w:tcW w:type="dxa" w:w="1500"/>
            <w:tcBorders>
              <w:top w:val="single" w:color="000000" w:sz="1"/>
              <w:left w:val="single" w:color="000000" w:sz="1"/>
              <w:bottom w:val="single" w:color="000000" w:sz="1"/>
              <w:right w:val="single" w:color="000000" w:sz="1"/>
            </w:tcBorders>
          </w:tcPr>
          <w:p>
            <w:pPr>
              <w:jc w:val="left"/>
            </w:pPr>
            <w:r>
              <w:t xml:space="preserve">$250-$500</w:t>
            </w:r>
          </w:p>
        </w:tc>
        <w:tc>
          <w:tcPr>
            <w:tcW w:type="dxa" w:w="1500"/>
            <w:tcBorders>
              <w:top w:val="single" w:color="000000" w:sz="1"/>
              <w:left w:val="single" w:color="000000" w:sz="1"/>
              <w:bottom w:val="single" w:color="000000" w:sz="1"/>
              <w:right w:val="single" w:color="000000" w:sz="1"/>
            </w:tcBorders>
          </w:tcPr>
          <w:p>
            <w:pPr>
              <w:jc w:val="left"/>
            </w:pPr>
            <w:r>
              <w:t xml:space="preserve">—</w:t>
            </w:r>
          </w:p>
        </w:tc>
      </w:tr>
      <w:tr>
        <w:tc>
          <w:tcPr>
            <w:tcW w:type="dxa" w:w="1500"/>
            <w:tcBorders>
              <w:top w:val="single" w:color="000000" w:sz="1"/>
              <w:left w:val="single" w:color="000000" w:sz="1"/>
              <w:bottom w:val="single" w:color="000000" w:sz="1"/>
              <w:right w:val="single" w:color="000000" w:sz="1"/>
            </w:tcBorders>
          </w:tcPr>
          <w:p>
            <w:pPr>
              <w:jc w:val="left"/>
            </w:pPr>
            <w:r>
              <w:t xml:space="preserve">营销推广</w:t>
            </w:r>
          </w:p>
        </w:tc>
        <w:tc>
          <w:tcPr>
            <w:tcW w:type="dxa" w:w="1500"/>
            <w:tcBorders>
              <w:top w:val="single" w:color="000000" w:sz="1"/>
              <w:left w:val="single" w:color="000000" w:sz="1"/>
              <w:bottom w:val="single" w:color="000000" w:sz="1"/>
              <w:right w:val="single" w:color="000000" w:sz="1"/>
            </w:tcBorders>
          </w:tcPr>
          <w:p>
            <w:pPr>
              <w:jc w:val="left"/>
            </w:pPr>
            <w:r>
              <w:t xml:space="preserve">$500-$2,000</w:t>
            </w:r>
          </w:p>
        </w:tc>
        <w:tc>
          <w:tcPr>
            <w:tcW w:type="dxa" w:w="1500"/>
            <w:tcBorders>
              <w:top w:val="single" w:color="000000" w:sz="1"/>
              <w:left w:val="single" w:color="000000" w:sz="1"/>
              <w:bottom w:val="single" w:color="000000" w:sz="1"/>
              <w:right w:val="single" w:color="000000" w:sz="1"/>
            </w:tcBorders>
          </w:tcPr>
          <w:p>
            <w:pPr>
              <w:jc w:val="left"/>
            </w:pPr>
            <w:r>
              <w:t xml:space="preserve">—</w:t>
            </w:r>
          </w:p>
        </w:tc>
      </w:tr>
      <w:tr>
        <w:tc>
          <w:tcPr>
            <w:tcW w:type="dxa" w:w="1500"/>
            <w:tcBorders>
              <w:top w:val="single" w:color="000000" w:sz="1"/>
              <w:left w:val="single" w:color="000000" w:sz="1"/>
              <w:bottom w:val="single" w:color="000000" w:sz="1"/>
              <w:right w:val="single" w:color="000000" w:sz="1"/>
            </w:tcBorders>
          </w:tcPr>
          <w:p>
            <w:pPr>
              <w:jc w:val="left"/>
            </w:pPr>
            <w:r>
              <w:t xml:space="preserve">POS/软件/技术</w:t>
            </w:r>
          </w:p>
        </w:tc>
        <w:tc>
          <w:tcPr>
            <w:tcW w:type="dxa" w:w="1500"/>
            <w:tcBorders>
              <w:top w:val="single" w:color="000000" w:sz="1"/>
              <w:left w:val="single" w:color="000000" w:sz="1"/>
              <w:bottom w:val="single" w:color="000000" w:sz="1"/>
              <w:right w:val="single" w:color="000000" w:sz="1"/>
            </w:tcBorders>
          </w:tcPr>
          <w:p>
            <w:pPr>
              <w:jc w:val="left"/>
            </w:pPr>
            <w:r>
              <w:t xml:space="preserve">$200-$500</w:t>
            </w:r>
          </w:p>
        </w:tc>
        <w:tc>
          <w:tcPr>
            <w:tcW w:type="dxa" w:w="1500"/>
            <w:tcBorders>
              <w:top w:val="single" w:color="000000" w:sz="1"/>
              <w:left w:val="single" w:color="000000" w:sz="1"/>
              <w:bottom w:val="single" w:color="000000" w:sz="1"/>
              <w:right w:val="single" w:color="000000" w:sz="1"/>
            </w:tcBorders>
          </w:tcPr>
          <w:p>
            <w:pPr>
              <w:jc w:val="left"/>
            </w:pPr>
            <w:r>
              <w:t xml:space="preserve">—</w:t>
            </w:r>
          </w:p>
        </w:tc>
      </w:tr>
      <w:tr>
        <w:tc>
          <w:tcPr>
            <w:tcW w:type="dxa" w:w="1500"/>
            <w:tcBorders>
              <w:top w:val="single" w:color="000000" w:sz="1"/>
              <w:left w:val="single" w:color="000000" w:sz="1"/>
              <w:bottom w:val="single" w:color="000000" w:sz="1"/>
              <w:right w:val="single" w:color="000000" w:sz="1"/>
            </w:tcBorders>
          </w:tcPr>
          <w:p>
            <w:pPr>
              <w:jc w:val="left"/>
            </w:pPr>
            <w:r>
              <w:t xml:space="preserve">其他（会计、耗材、杂项）</w:t>
            </w:r>
          </w:p>
        </w:tc>
        <w:tc>
          <w:tcPr>
            <w:tcW w:type="dxa" w:w="1500"/>
            <w:tcBorders>
              <w:top w:val="single" w:color="000000" w:sz="1"/>
              <w:left w:val="single" w:color="000000" w:sz="1"/>
              <w:bottom w:val="single" w:color="000000" w:sz="1"/>
              <w:right w:val="single" w:color="000000" w:sz="1"/>
            </w:tcBorders>
          </w:tcPr>
          <w:p>
            <w:pPr>
              <w:jc w:val="left"/>
            </w:pPr>
            <w:r>
              <w:t xml:space="preserve">$1,700-$3,800</w:t>
            </w:r>
          </w:p>
        </w:tc>
        <w:tc>
          <w:tcPr>
            <w:tcW w:type="dxa" w:w="1500"/>
            <w:tcBorders>
              <w:top w:val="single" w:color="000000" w:sz="1"/>
              <w:left w:val="single" w:color="000000" w:sz="1"/>
              <w:bottom w:val="single" w:color="000000" w:sz="1"/>
              <w:right w:val="single" w:color="000000" w:sz="1"/>
            </w:tcBorders>
          </w:tcPr>
          <w:p>
            <w:pPr>
              <w:jc w:val="left"/>
            </w:pPr>
            <w:r>
              <w:t xml:space="preserve">—</w:t>
            </w:r>
          </w:p>
        </w:tc>
      </w:tr>
      <w:tr>
        <w:tc>
          <w:tcPr>
            <w:tcW w:type="dxa" w:w="1500"/>
            <w:tcBorders>
              <w:top w:val="single" w:color="000000" w:sz="1"/>
              <w:left w:val="single" w:color="000000" w:sz="1"/>
              <w:bottom w:val="single" w:color="000000" w:sz="1"/>
              <w:right w:val="single" w:color="000000" w:sz="1"/>
            </w:tcBorders>
          </w:tcPr>
          <w:p>
            <w:pPr>
              <w:jc w:val="left"/>
            </w:pPr>
            <w:r>
              <w:t xml:space="preserve">合计</w:t>
            </w:r>
          </w:p>
        </w:tc>
        <w:tc>
          <w:tcPr>
            <w:tcW w:type="dxa" w:w="1500"/>
            <w:tcBorders>
              <w:top w:val="single" w:color="000000" w:sz="1"/>
              <w:left w:val="single" w:color="000000" w:sz="1"/>
              <w:bottom w:val="single" w:color="000000" w:sz="1"/>
              <w:right w:val="single" w:color="000000" w:sz="1"/>
            </w:tcBorders>
          </w:tcPr>
          <w:p>
            <w:pPr>
              <w:jc w:val="left"/>
            </w:pPr>
            <w:r>
              <w:t xml:space="preserve">$20,150-$46,000</w:t>
            </w:r>
          </w:p>
        </w:tc>
        <w:tc>
          <w:tcPr>
            <w:tcW w:type="dxa" w:w="1500"/>
            <w:tcBorders>
              <w:top w:val="single" w:color="000000" w:sz="1"/>
              <w:left w:val="single" w:color="000000" w:sz="1"/>
              <w:bottom w:val="single" w:color="000000" w:sz="1"/>
              <w:right w:val="single" w:color="000000" w:sz="1"/>
            </w:tcBorders>
          </w:tcPr>
          <w:p>
            <w:pPr>
              <w:jc w:val="left"/>
            </w:pPr>
            <w:r>
              <w:t xml:space="preserve">—</w:t>
            </w:r>
          </w:p>
        </w:tc>
      </w:tr>
    </w:tbl>
    <w:p>
      <w:pPr>
        <w:spacing w:after="120" w:line="360" w:lineRule="auto"/>
        <w:jc w:val="left"/>
      </w:pPr>
      <w:r>
        <w:t xml:space="preserve">安大略省最低工资标准为$17.60/小时（2025年10月起），2026年10月将上调至$17.95。WSIB（工作场所安全与保险局）宣布2026年将休闲与酒店餐饮业平均保费率降至每100加元工资$1.38（近50年来最低水平）（Ontario Employment Standards Act; WSIB, 2026）。</w:t>
      </w:r>
    </w:p>
    <w:p>
      <w:pPr>
        <w:spacing w:after="120" w:line="360" w:lineRule="auto"/>
        <w:jc w:val="left"/>
      </w:pPr>
      <w:r>
        <w:t xml:space="preserve">每杯饮品原材料成本极低——经典奶茶约$0.53-$0.73，高端特调约$0.93-$1.30，对应单杯毛利率约75%-88%，在餐饮行业中属于最高水平之一。盈利的关键在于销量：固定成本（租金、人工）主导成本结构。</w:t>
      </w:r>
    </w:p>
    <w:p>
      <w:pPr>
        <w:pStyle w:val="2"/>
        <w:spacing w:after="120" w:before="240" w:line="360" w:lineRule="auto"/>
        <w:outlineLvl w:val="1"/>
      </w:pPr>
      <w:r>
        <w:t xml:space="preserve">5.5 预算优化路径</w:t>
      </w:r>
    </w:p>
    <w:p>
      <w:pPr>
        <w:spacing w:after="120" w:line="360" w:lineRule="auto"/>
        <w:jc w:val="left"/>
      </w:pPr>
      <w:r>
        <w:t xml:space="preserve">最大的可控项在于原物料供应链。安省本地已建立起成熟的茶饮供应链网络，包括Boba Tea Distribution、Golden Panda和Watercome等批发商，能提供300多种从茶叶、糖浆、芋圆到定制印刷杯的本地仓储服务。对于初创品牌，建议在第一年采用本地一级供应商，牺牲部分采购毛利（控制COGS在营收的15%-20%），以换取极高的资金周转率并规避跨国物流延误和清关积压的风险（Boba Tea Distribution; Golden Panda; Financial Models Lab, 2026）。</w:t>
      </w:r>
    </w:p>
    <w:p>
      <w:pPr>
        <w:spacing w:after="120" w:line="360" w:lineRule="auto"/>
        <w:jc w:val="left"/>
      </w:pPr>
      <w:r>
        <w:t xml:space="preserve">若从亚洲直接进口原料，需获取Safe Food for Canadians (SFC)进口许可证（$299.86加元，每2年续期），并满足Health Canada的食品添加剂法规要求。通常价值20加元以上的商业货物需缴纳GST/HST（CBSA, 2026）。</w:t>
      </w:r>
    </w:p>
    <w:r>
      <w:br w:type="page"/>
    </w:r>
    <w:p>
      <w:pPr>
        <w:pStyle w:val="1"/>
        <w:spacing w:after="120" w:before="240" w:line="360" w:lineRule="auto"/>
        <w:outlineLvl w:val="0"/>
      </w:pPr>
      <w:r>
        <w:t xml:space="preserve">六、品牌与产品策略</w:t>
      </w:r>
    </w:p>
    <w:p>
      <w:pPr>
        <w:pStyle w:val="2"/>
        <w:spacing w:after="120" w:before="240" w:line="360" w:lineRule="auto"/>
        <w:outlineLvl w:val="1"/>
      </w:pPr>
      <w:r>
        <w:t xml:space="preserve">6.1 推荐品牌定位</w:t>
      </w:r>
    </w:p>
    <w:p>
      <w:pPr>
        <w:spacing w:after="120" w:line="360" w:lineRule="auto"/>
        <w:jc w:val="left"/>
      </w:pPr>
      <w:r>
        <w:t xml:space="preserve">最优定位为"高端原叶鲜制（现调）茶 + 健康导向"——与主导大众市场的粉末基底、高糖饮品形成直接对比。此策略占据了最具吸引力的市场空白：仅有HEYTEA、吃茶三千和TP Tea在此定位竞争，且均未明确以健康为框架。霸王茶姬（Chagee）在全球的成功（2024年净利润率20.3%、营收17.1亿美元）验证了原叶、健康导向模式的商业可行性。</w:t>
      </w:r>
    </w:p>
    <w:p>
      <w:pPr>
        <w:spacing w:after="120" w:line="360" w:lineRule="auto"/>
        <w:jc w:val="left"/>
      </w:pPr>
      <w:r>
        <w:t xml:space="preserve">品牌应采用"双重身份"策略：英文可及的品牌名称搭配中国茶文化叙事。霸王茶姬和HEYTEA均使用罗马化名称配以亚洲美学。定位为"中国原叶茶"或"新中式茶饮"而非通用的"珍珠奶茶"——这既创造了品类差异化，又为高端定价提供了合理支撑。热量透明度、糖度自定义系统和植物基奶默认选项应从第一天起作为标准功能。</w:t>
      </w:r>
    </w:p>
    <w:p>
      <w:pPr>
        <w:pStyle w:val="2"/>
        <w:spacing w:after="120" w:before="240" w:line="360" w:lineRule="auto"/>
        <w:outlineLvl w:val="1"/>
      </w:pPr>
      <w:r>
        <w:t xml:space="preserve">6.2 产品矩阵建议</w:t>
      </w:r>
    </w:p>
    <w:p>
      <w:pPr>
        <w:spacing w:after="120" w:line="360" w:lineRule="auto"/>
        <w:jc w:val="left"/>
      </w:pPr>
      <w:r>
        <w:t xml:space="preserve">推荐产品组合为"茶饮为核心 + 轻食搭配"——而非茶+咖啡的复合模型（后者容易稀释品牌识别度）。核心品类应包括：原叶奶茶、鲜果茶、芝士茶、季节限定特饮。添加轻食（烘焙制品，非正餐）可提升客单价而不显著增加运营复杂度，参照乐乐茶（Lelecha）已验证的"茶+烘焙"模式。</w:t>
      </w:r>
    </w:p>
    <w:p>
      <w:pPr>
        <w:spacing w:after="120" w:line="360" w:lineRule="auto"/>
        <w:jc w:val="left"/>
      </w:pPr>
      <w:r>
        <w:t xml:space="preserve">[冲突提示] 草稿二强烈建议复合型商业模型（茶饮+烘焙/简餐），认为这是突破客单价天花板的"终极武器"，可将客单价稳定在12-20加元区间。草稿三则建议以茶为核心的轻食搭配模式，避免过度复合导致的运营复杂性。此处请决策层根据团队运营能力和资金实力做出取舍。</w:t>
      </w:r>
    </w:p>
    <w:p>
      <w:pPr>
        <w:pStyle w:val="2"/>
        <w:spacing w:after="120" w:before="240" w:line="360" w:lineRule="auto"/>
        <w:outlineLvl w:val="1"/>
      </w:pPr>
      <w:r>
        <w:t xml:space="preserve">6.3 新中式草本与功能性茶饮赛道</w:t>
      </w:r>
    </w:p>
    <w:p>
      <w:pPr>
        <w:spacing w:after="120" w:line="360" w:lineRule="auto"/>
        <w:jc w:val="left"/>
      </w:pPr>
      <w:r>
        <w:t xml:space="preserve">草稿二特别指出，开辟新中式草本与功能性茶饮（TCM-Inspired Drinks）细分赛道是形成品牌护城河的关键策略。将陈皮、枸杞、乌梅、罗汉果等传统草本元素与现代饮品形式结合，不仅能精准击中年轻一代对"朋克养生"的需求痛点，还能在定价上享有显著的功能性溢价（Intel Market Research, 2026; Asia Food Beverages, 2026）。</w:t>
      </w:r>
    </w:p>
    <w:p>
      <w:pPr>
        <w:pStyle w:val="2"/>
        <w:spacing w:after="120" w:before="240" w:line="360" w:lineRule="auto"/>
        <w:outlineLvl w:val="1"/>
      </w:pPr>
      <w:r>
        <w:t xml:space="preserve">6.4 季节性菜单策略</w:t>
      </w:r>
    </w:p>
    <w:p>
      <w:pPr>
        <w:spacing w:after="120" w:line="360" w:lineRule="auto"/>
        <w:jc w:val="left"/>
      </w:pPr>
      <w:r>
        <w:t xml:space="preserve">在加拿大特殊的极寒气候下，季节性菜单的自适应能力决定了门店的抗脆弱性。漫长的冬季会导致纯冷饮销量断崖式下跌（夏季销量比冬季高25%-40%）。门店必须开发丰富的冬季热饮产品线（如热生姜奶茶、芋泥鲜奶、燕麦特调咖啡），并借势西方传统节日（感恩节、圣诞节）推出蛋酒（Eggnog）、肉桂、南瓜风味的限定单品（Taipec, 2026; World Tea News, 2026）。</w:t>
      </w:r>
    </w:p>
    <w:p>
      <w:pPr>
        <w:pStyle w:val="2"/>
        <w:spacing w:after="120" w:before="240" w:line="360" w:lineRule="auto"/>
        <w:outlineLvl w:val="1"/>
      </w:pPr>
      <w:r>
        <w:t xml:space="preserve">6.5 营销策略</w:t>
      </w:r>
    </w:p>
    <w:p>
      <w:pPr>
        <w:spacing w:after="120" w:line="360" w:lineRule="auto"/>
        <w:jc w:val="left"/>
      </w:pPr>
      <w:r>
        <w:t xml:space="preserve">针对安大略省的华裔及多元亚裔社区，小红书（Xiaohongshu/RED）是目前北美市场投资转化率最高的数字化阵地。通过"KOL内容种草 + UGC共创"的打法，品牌能够迅速积累私域流量。结合线下二维码互动点单系统（QR Code Menus），实现从公域流量到私域沉淀的商业闭环。</w:t>
      </w:r>
    </w:p>
    <w:p>
      <w:pPr>
        <w:spacing w:after="120" w:line="360" w:lineRule="auto"/>
        <w:jc w:val="left"/>
      </w:pPr>
      <w:r>
        <w:t xml:space="preserve">同时，应从第一天起建立数字化整合运营体系：移动点单App搭配会员积分、UberEats/DoorDash/SkipTheDishes外卖、以及强Instagram/TikTok内容策略。HEYTEA与名厨Susur Lee的联名合作为其多伦多Lab店首开赢得了大量媒体曝光，展示了本地合作伙伴关系对品牌传播的杠杆价值（SciTePress, 2024; Menusifu, 2026）。</w:t>
      </w:r>
    </w:p>
    <w:p>
      <w:pPr>
        <w:spacing w:after="120" w:line="360" w:lineRule="auto"/>
        <w:jc w:val="left"/>
      </w:pPr>
      <w:r>
        <w:t xml:space="preserve">在外卖渠道上需特别注意：UberEats/DoorDash全服务抽成高达20%-30%，在个位数净利率背景下几乎是"抽血"。应对策略包括：深度绑定饭团外卖（Fantuan）等垂直服务亚裔群体的平台，以及引入Sauce/Flipdish等零佣金白标直接点餐系统，引导忠诚顾客直接下单自取（Sauce, 2026; Fantuan, 2026）。</w:t>
      </w:r>
    </w:p>
    <w:r>
      <w:br w:type="page"/>
    </w:r>
    <w:p>
      <w:pPr>
        <w:pStyle w:val="1"/>
        <w:spacing w:after="120" w:before="240" w:line="360" w:lineRule="auto"/>
        <w:outlineLvl w:val="0"/>
      </w:pPr>
      <w:r>
        <w:t xml:space="preserve">七、合规与开店流程</w:t>
      </w:r>
    </w:p>
    <w:p>
      <w:pPr>
        <w:pStyle w:val="2"/>
        <w:spacing w:after="120" w:before="240" w:line="360" w:lineRule="auto"/>
        <w:outlineLvl w:val="1"/>
      </w:pPr>
      <w:r>
        <w:t xml:space="preserve">7.1 企业注册与税务架构</w:t>
      </w:r>
    </w:p>
    <w:p>
      <w:pPr>
        <w:spacing w:after="120" w:line="360" w:lineRule="auto"/>
        <w:jc w:val="left"/>
      </w:pPr>
      <w:r>
        <w:t xml:space="preserve">中国母公司有三种注册选项。推荐路径为在安大略省注册成立新公司（$300加元在线办理，1个工作日处理）。安大略省已不再要求加拿大公民担任董事，非公民可担任唯一董事。替代方案——在中国母公司名下注册为外省公司——需指定安大略省居民担任送达代理（Agent for Service），并提交额外文件（$300-$1,000+）。联邦注册（$200加元）提供全国范围的名称保护，但要求25%的董事为加拿大居民。</w:t>
      </w:r>
    </w:p>
    <w:p>
      <w:pPr>
        <w:spacing w:after="120" w:line="360" w:lineRule="auto"/>
        <w:jc w:val="left"/>
      </w:pPr>
      <w:r>
        <w:t xml:space="preserve">公司成立后须：获取CRA商业编号（免费）；在收入超过$30,000时注册HST（安大略HST税率为13%）；开设工资账户用于CPP/EI扣缴；提交Investment Canada Act通知。《加中税收协定》（1986年）规定：股息面临10%-15%的预扣税，在加拿大经营实体店铺的子公司构成常设机构，须在加拿大纳税。</w:t>
      </w:r>
    </w:p>
    <w:p>
      <w:pPr>
        <w:pStyle w:val="2"/>
        <w:spacing w:after="120" w:before="240" w:line="360" w:lineRule="auto"/>
        <w:outlineLvl w:val="1"/>
      </w:pPr>
      <w:r>
        <w:t xml:space="preserve">7.2 食品安全许可与公共卫生</w:t>
      </w:r>
    </w:p>
    <w:p>
      <w:pPr>
        <w:spacing w:after="120" w:line="360" w:lineRule="auto"/>
        <w:jc w:val="left"/>
      </w:pPr>
      <w:r>
        <w:t xml:space="preserve">市政商业执照因城市而异。多伦多餐饮场所执照$516加元（年续费$349），分区审查约需5周。万锦和列治文山（约克区）有各自的执照框架，通常$200-$1,000。所有食品场所须在开业前至少14天通知当地医疗官员。</w:t>
      </w:r>
    </w:p>
    <w:p>
      <w:pPr>
        <w:spacing w:after="120" w:line="360" w:lineRule="auto"/>
        <w:jc w:val="left"/>
      </w:pPr>
      <w:r>
        <w:t xml:space="preserve">食品操作员认证依据安大略法规493/17为强制性要求：营业期间每个时段至少须有一名持证操作员在场。多伦多的更严格规定要求所有食品处理人员均须持证。认证费用$20-$60/人，约1天完成。DineSafe（多伦多）和YorkSafe（约克区）检查项目实施不预告突击检查，对企业违规的处罚可达每次$25,000。</w:t>
      </w:r>
    </w:p>
    <w:p>
      <w:pPr>
        <w:spacing w:after="120" w:line="360" w:lineRule="auto"/>
        <w:jc w:val="left"/>
      </w:pPr>
      <w:r>
        <w:t xml:space="preserve">实体场所须满足详细要求：独立洗手站、三槽水池或商用洗碗机、温控储存（低于4°C或高于60°C）、密封地面和油脂拦截器。任何装修均需建筑许可，消防合规为强制性要求。</w:t>
      </w:r>
    </w:p>
    <w:p>
      <w:pPr>
        <w:pStyle w:val="2"/>
        <w:spacing w:after="120" w:before="240" w:line="360" w:lineRule="auto"/>
        <w:outlineLvl w:val="1"/>
      </w:pPr>
      <w:r>
        <w:t xml:space="preserve">7.3 万锦市选址特别提醒：停车位配比与用途变更</w:t>
      </w:r>
    </w:p>
    <w:p>
      <w:pPr>
        <w:spacing w:after="120" w:line="360" w:lineRule="auto"/>
        <w:jc w:val="left"/>
      </w:pPr>
      <w:r>
        <w:t xml:space="preserve">草稿二特别指出选址阶段最大的陷阱在于市政停车位强制配比（Parking Requirements）与用途变更（Change of Use）。万锦市Zoning Bylaw明确界定"外卖餐厅（Restaurant, Take-Out）"的店内座位数绝对不得超过12个。更关键的是停车位指标：位于指定历史文化保护区或密集商业区的餐厅通常需要每100平方米配备6.67个停车位。如果投资者租下了原规划为"零售（Retail）"的商铺试图改建为"餐饮（Restaurant）"，一旦停车位无法满足配比要求，市政当局将直接驳回建筑许可申请（Markham Comprehensive Zoning By-law, 2024; Markham PMIR, 2026）。</w:t>
      </w:r>
    </w:p>
    <w:p>
      <w:pPr>
        <w:spacing w:after="120" w:line="360" w:lineRule="auto"/>
        <w:jc w:val="left"/>
      </w:pPr>
      <w:r>
        <w:t xml:space="preserve">建议：在签署正式商业租约前，必须聘请熟悉当地法规的持牌规划师或商业律师，并在租约中加入"附带获取所有市政许可方可生效（Subject to proper permits and zoning approvals）"的保护性条款。</w:t>
      </w:r>
    </w:p>
    <w:p>
      <w:pPr>
        <w:pStyle w:val="2"/>
        <w:spacing w:after="120" w:before="240" w:line="360" w:lineRule="auto"/>
        <w:outlineLvl w:val="1"/>
      </w:pPr>
      <w:r>
        <w:t xml:space="preserve">7.4 进口食品合规</w:t>
      </w:r>
    </w:p>
    <w:p>
      <w:pPr>
        <w:spacing w:after="120" w:line="360" w:lineRule="auto"/>
        <w:jc w:val="left"/>
      </w:pPr>
      <w:r>
        <w:t xml:space="preserve">从亚洲进口原料须取得Safe Food for Canadians (SFC)进口许可证（$299.86加元，每2年续期），并制定预防性控制计划和可追溯体系。所有原料须符合Health Canada的食品添加剂法规——具体而言，任何食品色素、人工甜味剂或防腐剂须出现在Health Canada的15份许可食品添加剂清单中。木薯珍珠、茶叶和标准调味糖浆通常合规，但特殊中国原料应在采购前与加拿大清单核实。</w:t>
      </w:r>
    </w:p>
    <w:p>
      <w:pPr>
        <w:spacing w:after="120" w:line="360" w:lineRule="auto"/>
        <w:jc w:val="left"/>
      </w:pPr>
      <w:r>
        <w:t xml:space="preserve">若品牌计划售卖预包装饮品/浓缩液/瓶装产品，需关注包装正面营养标识的强制性要求，并在营养声称上遵循Health Canada允许的框架。针对"无添加糖/不加糖"等诉求，CFIA对相关声称有明确条件要求（Health Canada; CFIA, 2026）。</w:t>
      </w:r>
    </w:p>
    <w:p>
      <w:pPr>
        <w:spacing w:after="120" w:line="360" w:lineRule="auto"/>
        <w:jc w:val="left"/>
      </w:pPr>
      <w:r>
        <w:t xml:space="preserve">AODA（安大略省无障碍法案）适用于所有拥有一名及以上员工的安大略企业，要求所有员工接受无障碍客户服务培训并在公共区域容纳导盲犬等服务动物。</w:t>
      </w:r>
    </w:p>
    <w:p>
      <w:pPr>
        <w:pStyle w:val="2"/>
        <w:spacing w:after="120" w:before="240" w:line="360" w:lineRule="auto"/>
        <w:outlineLvl w:val="1"/>
      </w:pPr>
      <w:r>
        <w:t xml:space="preserve">7.5 开店流程与时间线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tcBorders>
              <w:top w:val="single" w:color="000000" w:sz="1"/>
              <w:left w:val="single" w:color="000000" w:sz="1"/>
              <w:bottom w:val="single" w:color="000000" w:sz="1"/>
              <w:right w:val="single" w:color="000000" w:sz="1"/>
            </w:tcBorders>
            <w:shd w:color="E8E8E8" w:val="clear"/>
          </w:tcPr>
          <w:p>
            <w:pPr>
              <w:jc w:val="center"/>
            </w:pPr>
            <w:r>
              <w:t xml:space="preserve">阶段</w:t>
            </w:r>
          </w:p>
        </w:tc>
        <w:tc>
          <w:tcPr>
            <w:tcW w:type="dxa" w:w="2500"/>
            <w:tcBorders>
              <w:top w:val="single" w:color="000000" w:sz="1"/>
              <w:left w:val="single" w:color="000000" w:sz="1"/>
              <w:bottom w:val="single" w:color="000000" w:sz="1"/>
              <w:right w:val="single" w:color="000000" w:sz="1"/>
            </w:tcBorders>
            <w:shd w:color="E8E8E8" w:val="clear"/>
          </w:tcPr>
          <w:p>
            <w:pPr>
              <w:jc w:val="center"/>
            </w:pPr>
            <w:r>
              <w:t xml:space="preserve">主要活动</w:t>
            </w:r>
          </w:p>
        </w:tc>
        <w:tc>
          <w:tcPr>
            <w:tcW w:type="dxa" w:w="1000"/>
            <w:tcBorders>
              <w:top w:val="single" w:color="000000" w:sz="1"/>
              <w:left w:val="single" w:color="000000" w:sz="1"/>
              <w:bottom w:val="single" w:color="000000" w:sz="1"/>
              <w:right w:val="single" w:color="000000" w:sz="1"/>
            </w:tcBorders>
            <w:shd w:color="E8E8E8" w:val="clear"/>
          </w:tcPr>
          <w:p>
            <w:pPr>
              <w:jc w:val="center"/>
            </w:pPr>
            <w:r>
              <w:t xml:space="preserve">所需时间</w:t>
            </w:r>
          </w:p>
        </w:tc>
      </w:tr>
      <w:tr>
        <w:tc>
          <w:tcPr>
            <w:tcW w:type="dxa" w:w="1200"/>
            <w:tcBorders>
              <w:top w:val="single" w:color="000000" w:sz="1"/>
              <w:left w:val="single" w:color="000000" w:sz="1"/>
              <w:bottom w:val="single" w:color="000000" w:sz="1"/>
              <w:right w:val="single" w:color="000000" w:sz="1"/>
            </w:tcBorders>
          </w:tcPr>
          <w:p>
            <w:pPr>
              <w:jc w:val="left"/>
            </w:pPr>
            <w:r>
              <w:t xml:space="preserve">企业注册</w:t>
            </w:r>
          </w:p>
        </w:tc>
        <w:tc>
          <w:tcPr>
            <w:tcW w:type="dxa" w:w="2500"/>
            <w:tcBorders>
              <w:top w:val="single" w:color="000000" w:sz="1"/>
              <w:left w:val="single" w:color="000000" w:sz="1"/>
              <w:bottom w:val="single" w:color="000000" w:sz="1"/>
              <w:right w:val="single" w:color="000000" w:sz="1"/>
            </w:tcBorders>
          </w:tcPr>
          <w:p>
            <w:pPr>
              <w:jc w:val="left"/>
            </w:pPr>
            <w:r>
              <w:t xml:space="preserve">注册公司、获取商业编号、HST、银行账户</w:t>
            </w:r>
          </w:p>
        </w:tc>
        <w:tc>
          <w:tcPr>
            <w:tcW w:type="dxa" w:w="1000"/>
            <w:tcBorders>
              <w:top w:val="single" w:color="000000" w:sz="1"/>
              <w:left w:val="single" w:color="000000" w:sz="1"/>
              <w:bottom w:val="single" w:color="000000" w:sz="1"/>
              <w:right w:val="single" w:color="000000" w:sz="1"/>
            </w:tcBorders>
          </w:tcPr>
          <w:p>
            <w:pPr>
              <w:jc w:val="left"/>
            </w:pPr>
            <w:r>
              <w:t xml:space="preserve">2-4周</w:t>
            </w:r>
          </w:p>
        </w:tc>
      </w:tr>
      <w:tr>
        <w:tc>
          <w:tcPr>
            <w:tcW w:type="dxa" w:w="1200"/>
            <w:tcBorders>
              <w:top w:val="single" w:color="000000" w:sz="1"/>
              <w:left w:val="single" w:color="000000" w:sz="1"/>
              <w:bottom w:val="single" w:color="000000" w:sz="1"/>
              <w:right w:val="single" w:color="000000" w:sz="1"/>
            </w:tcBorders>
          </w:tcPr>
          <w:p>
            <w:pPr>
              <w:jc w:val="left"/>
            </w:pPr>
            <w:r>
              <w:t xml:space="preserve">选址与租赁</w:t>
            </w:r>
          </w:p>
        </w:tc>
        <w:tc>
          <w:tcPr>
            <w:tcW w:type="dxa" w:w="2500"/>
            <w:tcBorders>
              <w:top w:val="single" w:color="000000" w:sz="1"/>
              <w:left w:val="single" w:color="000000" w:sz="1"/>
              <w:bottom w:val="single" w:color="000000" w:sz="1"/>
              <w:right w:val="single" w:color="000000" w:sz="1"/>
            </w:tcBorders>
          </w:tcPr>
          <w:p>
            <w:pPr>
              <w:jc w:val="left"/>
            </w:pPr>
            <w:r>
              <w:t xml:space="preserve">选址、分区验证、租赁谈判</w:t>
            </w:r>
          </w:p>
        </w:tc>
        <w:tc>
          <w:tcPr>
            <w:tcW w:type="dxa" w:w="1000"/>
            <w:tcBorders>
              <w:top w:val="single" w:color="000000" w:sz="1"/>
              <w:left w:val="single" w:color="000000" w:sz="1"/>
              <w:bottom w:val="single" w:color="000000" w:sz="1"/>
              <w:right w:val="single" w:color="000000" w:sz="1"/>
            </w:tcBorders>
          </w:tcPr>
          <w:p>
            <w:pPr>
              <w:jc w:val="left"/>
            </w:pPr>
            <w:r>
              <w:t xml:space="preserve">4-8周</w:t>
            </w:r>
          </w:p>
        </w:tc>
      </w:tr>
      <w:tr>
        <w:tc>
          <w:tcPr>
            <w:tcW w:type="dxa" w:w="1200"/>
            <w:tcBorders>
              <w:top w:val="single" w:color="000000" w:sz="1"/>
              <w:left w:val="single" w:color="000000" w:sz="1"/>
              <w:bottom w:val="single" w:color="000000" w:sz="1"/>
              <w:right w:val="single" w:color="000000" w:sz="1"/>
            </w:tcBorders>
          </w:tcPr>
          <w:p>
            <w:pPr>
              <w:jc w:val="left"/>
            </w:pPr>
            <w:r>
              <w:t xml:space="preserve">许可与审批</w:t>
            </w:r>
          </w:p>
        </w:tc>
        <w:tc>
          <w:tcPr>
            <w:tcW w:type="dxa" w:w="2500"/>
            <w:tcBorders>
              <w:top w:val="single" w:color="000000" w:sz="1"/>
              <w:left w:val="single" w:color="000000" w:sz="1"/>
              <w:bottom w:val="single" w:color="000000" w:sz="1"/>
              <w:right w:val="single" w:color="000000" w:sz="1"/>
            </w:tcBorders>
          </w:tcPr>
          <w:p>
            <w:pPr>
              <w:jc w:val="left"/>
            </w:pPr>
            <w:r>
              <w:t xml:space="preserve">分区审查、建筑许可、卫生局通知</w:t>
            </w:r>
          </w:p>
        </w:tc>
        <w:tc>
          <w:tcPr>
            <w:tcW w:type="dxa" w:w="1000"/>
            <w:tcBorders>
              <w:top w:val="single" w:color="000000" w:sz="1"/>
              <w:left w:val="single" w:color="000000" w:sz="1"/>
              <w:bottom w:val="single" w:color="000000" w:sz="1"/>
              <w:right w:val="single" w:color="000000" w:sz="1"/>
            </w:tcBorders>
          </w:tcPr>
          <w:p>
            <w:pPr>
              <w:jc w:val="left"/>
            </w:pPr>
            <w:r>
              <w:t xml:space="preserve">4-8周（可重叠）</w:t>
            </w:r>
          </w:p>
        </w:tc>
      </w:tr>
      <w:tr>
        <w:tc>
          <w:tcPr>
            <w:tcW w:type="dxa" w:w="1200"/>
            <w:tcBorders>
              <w:top w:val="single" w:color="000000" w:sz="1"/>
              <w:left w:val="single" w:color="000000" w:sz="1"/>
              <w:bottom w:val="single" w:color="000000" w:sz="1"/>
              <w:right w:val="single" w:color="000000" w:sz="1"/>
            </w:tcBorders>
          </w:tcPr>
          <w:p>
            <w:pPr>
              <w:jc w:val="left"/>
            </w:pPr>
            <w:r>
              <w:t xml:space="preserve">施工/装修</w:t>
            </w:r>
          </w:p>
        </w:tc>
        <w:tc>
          <w:tcPr>
            <w:tcW w:type="dxa" w:w="2500"/>
            <w:tcBorders>
              <w:top w:val="single" w:color="000000" w:sz="1"/>
              <w:left w:val="single" w:color="000000" w:sz="1"/>
              <w:bottom w:val="single" w:color="000000" w:sz="1"/>
              <w:right w:val="single" w:color="000000" w:sz="1"/>
            </w:tcBorders>
          </w:tcPr>
          <w:p>
            <w:pPr>
              <w:jc w:val="left"/>
            </w:pPr>
            <w:r>
              <w:t xml:space="preserve">翻新施工、设备安装</w:t>
            </w:r>
          </w:p>
        </w:tc>
        <w:tc>
          <w:tcPr>
            <w:tcW w:type="dxa" w:w="1000"/>
            <w:tcBorders>
              <w:top w:val="single" w:color="000000" w:sz="1"/>
              <w:left w:val="single" w:color="000000" w:sz="1"/>
              <w:bottom w:val="single" w:color="000000" w:sz="1"/>
              <w:right w:val="single" w:color="000000" w:sz="1"/>
            </w:tcBorders>
          </w:tcPr>
          <w:p>
            <w:pPr>
              <w:jc w:val="left"/>
            </w:pPr>
            <w:r>
              <w:t xml:space="preserve">4-12周</w:t>
            </w:r>
          </w:p>
        </w:tc>
      </w:tr>
      <w:tr>
        <w:tc>
          <w:tcPr>
            <w:tcW w:type="dxa" w:w="1200"/>
            <w:tcBorders>
              <w:top w:val="single" w:color="000000" w:sz="1"/>
              <w:left w:val="single" w:color="000000" w:sz="1"/>
              <w:bottom w:val="single" w:color="000000" w:sz="1"/>
              <w:right w:val="single" w:color="000000" w:sz="1"/>
            </w:tcBorders>
          </w:tcPr>
          <w:p>
            <w:pPr>
              <w:jc w:val="left"/>
            </w:pPr>
            <w:r>
              <w:t xml:space="preserve">检查与执照</w:t>
            </w:r>
          </w:p>
        </w:tc>
        <w:tc>
          <w:tcPr>
            <w:tcW w:type="dxa" w:w="2500"/>
            <w:tcBorders>
              <w:top w:val="single" w:color="000000" w:sz="1"/>
              <w:left w:val="single" w:color="000000" w:sz="1"/>
              <w:bottom w:val="single" w:color="000000" w:sz="1"/>
              <w:right w:val="single" w:color="000000" w:sz="1"/>
            </w:tcBorders>
          </w:tcPr>
          <w:p>
            <w:pPr>
              <w:jc w:val="left"/>
            </w:pPr>
            <w:r>
              <w:t xml:space="preserve">卫生、消防、建筑检查；商业执照</w:t>
            </w:r>
          </w:p>
        </w:tc>
        <w:tc>
          <w:tcPr>
            <w:tcW w:type="dxa" w:w="1000"/>
            <w:tcBorders>
              <w:top w:val="single" w:color="000000" w:sz="1"/>
              <w:left w:val="single" w:color="000000" w:sz="1"/>
              <w:bottom w:val="single" w:color="000000" w:sz="1"/>
              <w:right w:val="single" w:color="000000" w:sz="1"/>
            </w:tcBorders>
          </w:tcPr>
          <w:p>
            <w:pPr>
              <w:jc w:val="left"/>
            </w:pPr>
            <w:r>
              <w:t xml:space="preserve">2-4周</w:t>
            </w:r>
          </w:p>
        </w:tc>
      </w:tr>
      <w:tr>
        <w:tc>
          <w:tcPr>
            <w:tcW w:type="dxa" w:w="1200"/>
            <w:tcBorders>
              <w:top w:val="single" w:color="000000" w:sz="1"/>
              <w:left w:val="single" w:color="000000" w:sz="1"/>
              <w:bottom w:val="single" w:color="000000" w:sz="1"/>
              <w:right w:val="single" w:color="000000" w:sz="1"/>
            </w:tcBorders>
          </w:tcPr>
          <w:p>
            <w:pPr>
              <w:jc w:val="left"/>
            </w:pPr>
            <w:r>
              <w:t xml:space="preserve">人员与培训</w:t>
            </w:r>
          </w:p>
        </w:tc>
        <w:tc>
          <w:tcPr>
            <w:tcW w:type="dxa" w:w="2500"/>
            <w:tcBorders>
              <w:top w:val="single" w:color="000000" w:sz="1"/>
              <w:left w:val="single" w:color="000000" w:sz="1"/>
              <w:bottom w:val="single" w:color="000000" w:sz="1"/>
              <w:right w:val="single" w:color="000000" w:sz="1"/>
            </w:tcBorders>
          </w:tcPr>
          <w:p>
            <w:pPr>
              <w:jc w:val="left"/>
            </w:pPr>
            <w:r>
              <w:t xml:space="preserve">招聘、认证、培训；WSIB注册</w:t>
            </w:r>
          </w:p>
        </w:tc>
        <w:tc>
          <w:tcPr>
            <w:tcW w:type="dxa" w:w="1000"/>
            <w:tcBorders>
              <w:top w:val="single" w:color="000000" w:sz="1"/>
              <w:left w:val="single" w:color="000000" w:sz="1"/>
              <w:bottom w:val="single" w:color="000000" w:sz="1"/>
              <w:right w:val="single" w:color="000000" w:sz="1"/>
            </w:tcBorders>
          </w:tcPr>
          <w:p>
            <w:pPr>
              <w:jc w:val="left"/>
            </w:pPr>
            <w:r>
              <w:t xml:space="preserve">2-4周（可重叠）</w:t>
            </w:r>
          </w:p>
        </w:tc>
      </w:tr>
      <w:tr>
        <w:tc>
          <w:tcPr>
            <w:tcW w:type="dxa" w:w="1200"/>
            <w:tcBorders>
              <w:top w:val="single" w:color="000000" w:sz="1"/>
              <w:left w:val="single" w:color="000000" w:sz="1"/>
              <w:bottom w:val="single" w:color="000000" w:sz="1"/>
              <w:right w:val="single" w:color="000000" w:sz="1"/>
            </w:tcBorders>
          </w:tcPr>
          <w:p>
            <w:pPr>
              <w:jc w:val="left"/>
            </w:pPr>
            <w:r>
              <w:t xml:space="preserve">合计</w:t>
            </w:r>
          </w:p>
        </w:tc>
        <w:tc>
          <w:tcPr>
            <w:tcW w:type="dxa" w:w="2500"/>
            <w:tcBorders>
              <w:top w:val="single" w:color="000000" w:sz="1"/>
              <w:left w:val="single" w:color="000000" w:sz="1"/>
              <w:bottom w:val="single" w:color="000000" w:sz="1"/>
              <w:right w:val="single" w:color="000000" w:sz="1"/>
            </w:tcBorders>
          </w:tcPr>
          <w:p>
            <w:pPr>
              <w:jc w:val="left"/>
            </w:pPr>
            <w:r>
              <w:t xml:space="preserve">从决策到开业</w:t>
            </w:r>
          </w:p>
        </w:tc>
        <w:tc>
          <w:tcPr>
            <w:tcW w:type="dxa" w:w="1000"/>
            <w:tcBorders>
              <w:top w:val="single" w:color="000000" w:sz="1"/>
              <w:left w:val="single" w:color="000000" w:sz="1"/>
              <w:bottom w:val="single" w:color="000000" w:sz="1"/>
              <w:right w:val="single" w:color="000000" w:sz="1"/>
            </w:tcBorders>
          </w:tcPr>
          <w:p>
            <w:pPr>
              <w:jc w:val="left"/>
            </w:pPr>
            <w:r>
              <w:t xml:space="preserve">4-8个月</w:t>
            </w:r>
          </w:p>
        </w:tc>
      </w:tr>
    </w:tbl>
    <w:r>
      <w:br w:type="page"/>
    </w:r>
    <w:p>
      <w:pPr>
        <w:pStyle w:val="1"/>
        <w:spacing w:after="120" w:before="240" w:line="360" w:lineRule="auto"/>
        <w:outlineLvl w:val="0"/>
      </w:pPr>
      <w:r>
        <w:t xml:space="preserve">八、运营模型与财务测算</w:t>
      </w:r>
    </w:p>
    <w:p>
      <w:pPr>
        <w:pStyle w:val="2"/>
        <w:spacing w:after="120" w:before="240" w:line="360" w:lineRule="auto"/>
        <w:outlineLvl w:val="1"/>
      </w:pPr>
      <w:r>
        <w:t xml:space="preserve">8.1 三种经营情景（标准店模型）</w:t>
      </w:r>
    </w:p>
    <w:p>
      <w:pPr>
        <w:spacing w:after="120" w:line="360" w:lineRule="auto"/>
        <w:jc w:val="left"/>
      </w:pPr>
      <w:r>
        <w:t xml:space="preserve">以标准内嵌店（Tier 2, 800-1,000 sqft）为基准：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000"/>
            <w:tcBorders>
              <w:top w:val="single" w:color="000000" w:sz="1"/>
              <w:left w:val="single" w:color="000000" w:sz="1"/>
              <w:bottom w:val="single" w:color="000000" w:sz="1"/>
              <w:right w:val="single" w:color="000000" w:sz="1"/>
            </w:tcBorders>
            <w:shd w:color="E8E8E8" w:val="clear"/>
          </w:tcPr>
          <w:p>
            <w:pPr>
              <w:jc w:val="center"/>
            </w:pPr>
            <w:r>
              <w:t xml:space="preserve">情景</w:t>
            </w:r>
          </w:p>
        </w:tc>
        <w:tc>
          <w:tcPr>
            <w:tcW w:type="dxa" w:w="800"/>
            <w:tcBorders>
              <w:top w:val="single" w:color="000000" w:sz="1"/>
              <w:left w:val="single" w:color="000000" w:sz="1"/>
              <w:bottom w:val="single" w:color="000000" w:sz="1"/>
              <w:right w:val="single" w:color="000000" w:sz="1"/>
            </w:tcBorders>
            <w:shd w:color="E8E8E8" w:val="clear"/>
          </w:tcPr>
          <w:p>
            <w:pPr>
              <w:jc w:val="center"/>
            </w:pPr>
            <w:r>
              <w:t xml:space="preserve">日均杯量</w:t>
            </w:r>
          </w:p>
        </w:tc>
        <w:tc>
          <w:tcPr>
            <w:tcW w:type="dxa" w:w="800"/>
            <w:tcBorders>
              <w:top w:val="single" w:color="000000" w:sz="1"/>
              <w:left w:val="single" w:color="000000" w:sz="1"/>
              <w:bottom w:val="single" w:color="000000" w:sz="1"/>
              <w:right w:val="single" w:color="000000" w:sz="1"/>
            </w:tcBorders>
            <w:shd w:color="E8E8E8" w:val="clear"/>
          </w:tcPr>
          <w:p>
            <w:pPr>
              <w:jc w:val="center"/>
            </w:pPr>
            <w:r>
              <w:t xml:space="preserve">客单价(CAD)</w:t>
            </w:r>
          </w:p>
        </w:tc>
        <w:tc>
          <w:tcPr>
            <w:tcW w:type="dxa" w:w="1000"/>
            <w:tcBorders>
              <w:top w:val="single" w:color="000000" w:sz="1"/>
              <w:left w:val="single" w:color="000000" w:sz="1"/>
              <w:bottom w:val="single" w:color="000000" w:sz="1"/>
              <w:right w:val="single" w:color="000000" w:sz="1"/>
            </w:tcBorders>
            <w:shd w:color="E8E8E8" w:val="clear"/>
          </w:tcPr>
          <w:p>
            <w:pPr>
              <w:jc w:val="center"/>
            </w:pPr>
            <w:r>
              <w:t xml:space="preserve">月营收(CAD)</w:t>
            </w:r>
          </w:p>
        </w:tc>
        <w:tc>
          <w:tcPr>
            <w:tcW w:type="dxa" w:w="800"/>
            <w:tcBorders>
              <w:top w:val="single" w:color="000000" w:sz="1"/>
              <w:left w:val="single" w:color="000000" w:sz="1"/>
              <w:bottom w:val="single" w:color="000000" w:sz="1"/>
              <w:right w:val="single" w:color="000000" w:sz="1"/>
            </w:tcBorders>
            <w:shd w:color="E8E8E8" w:val="clear"/>
          </w:tcPr>
          <w:p>
            <w:pPr>
              <w:jc w:val="center"/>
            </w:pPr>
            <w:r>
              <w:t xml:space="preserve">月净利润(CAD)</w:t>
            </w:r>
          </w:p>
        </w:tc>
        <w:tc>
          <w:tcPr>
            <w:tcW w:type="dxa" w:w="600"/>
            <w:tcBorders>
              <w:top w:val="single" w:color="000000" w:sz="1"/>
              <w:left w:val="single" w:color="000000" w:sz="1"/>
              <w:bottom w:val="single" w:color="000000" w:sz="1"/>
              <w:right w:val="single" w:color="000000" w:sz="1"/>
            </w:tcBorders>
            <w:shd w:color="E8E8E8" w:val="clear"/>
          </w:tcPr>
          <w:p>
            <w:pPr>
              <w:jc w:val="center"/>
            </w:pPr>
            <w:r>
              <w:t xml:space="preserve">净利润率</w:t>
            </w:r>
          </w:p>
        </w:tc>
        <w:tc>
          <w:tcPr>
            <w:tcW w:type="dxa" w:w="800"/>
            <w:tcBorders>
              <w:top w:val="single" w:color="000000" w:sz="1"/>
              <w:left w:val="single" w:color="000000" w:sz="1"/>
              <w:bottom w:val="single" w:color="000000" w:sz="1"/>
              <w:right w:val="single" w:color="000000" w:sz="1"/>
            </w:tcBorders>
            <w:shd w:color="E8E8E8" w:val="clear"/>
          </w:tcPr>
          <w:p>
            <w:pPr>
              <w:jc w:val="center"/>
            </w:pPr>
            <w:r>
              <w:t xml:space="preserve">年营收(CAD)</w:t>
            </w:r>
          </w:p>
        </w:tc>
      </w:tr>
      <w:tr>
        <w:tc>
          <w:tcPr>
            <w:tcW w:type="dxa" w:w="1000"/>
            <w:tcBorders>
              <w:top w:val="single" w:color="000000" w:sz="1"/>
              <w:left w:val="single" w:color="000000" w:sz="1"/>
              <w:bottom w:val="single" w:color="000000" w:sz="1"/>
              <w:right w:val="single" w:color="000000" w:sz="1"/>
            </w:tcBorders>
          </w:tcPr>
          <w:p>
            <w:pPr>
              <w:jc w:val="left"/>
            </w:pPr>
            <w:r>
              <w:t xml:space="preserve">保守情景（新品牌、郊区广场）</w:t>
            </w:r>
          </w:p>
        </w:tc>
        <w:tc>
          <w:tcPr>
            <w:tcW w:type="dxa" w:w="800"/>
            <w:tcBorders>
              <w:top w:val="single" w:color="000000" w:sz="1"/>
              <w:left w:val="single" w:color="000000" w:sz="1"/>
              <w:bottom w:val="single" w:color="000000" w:sz="1"/>
              <w:right w:val="single" w:color="000000" w:sz="1"/>
            </w:tcBorders>
          </w:tcPr>
          <w:p>
            <w:pPr>
              <w:jc w:val="left"/>
            </w:pPr>
            <w:r>
              <w:t xml:space="preserve">100-130杯</w:t>
            </w:r>
          </w:p>
        </w:tc>
        <w:tc>
          <w:tcPr>
            <w:tcW w:type="dxa" w:w="800"/>
            <w:tcBorders>
              <w:top w:val="single" w:color="000000" w:sz="1"/>
              <w:left w:val="single" w:color="000000" w:sz="1"/>
              <w:bottom w:val="single" w:color="000000" w:sz="1"/>
              <w:right w:val="single" w:color="000000" w:sz="1"/>
            </w:tcBorders>
          </w:tcPr>
          <w:p>
            <w:pPr>
              <w:jc w:val="left"/>
            </w:pPr>
            <w:r>
              <w:t xml:space="preserve">$7.00</w:t>
            </w:r>
          </w:p>
        </w:tc>
        <w:tc>
          <w:tcPr>
            <w:tcW w:type="dxa" w:w="1000"/>
            <w:tcBorders>
              <w:top w:val="single" w:color="000000" w:sz="1"/>
              <w:left w:val="single" w:color="000000" w:sz="1"/>
              <w:bottom w:val="single" w:color="000000" w:sz="1"/>
              <w:right w:val="single" w:color="000000" w:sz="1"/>
            </w:tcBorders>
          </w:tcPr>
          <w:p>
            <w:pPr>
              <w:jc w:val="left"/>
            </w:pPr>
            <w:r>
              <w:t xml:space="preserve">~$24,000</w:t>
            </w:r>
          </w:p>
        </w:tc>
        <w:tc>
          <w:tcPr>
            <w:tcW w:type="dxa" w:w="800"/>
            <w:tcBorders>
              <w:top w:val="single" w:color="000000" w:sz="1"/>
              <w:left w:val="single" w:color="000000" w:sz="1"/>
              <w:bottom w:val="single" w:color="000000" w:sz="1"/>
              <w:right w:val="single" w:color="000000" w:sz="1"/>
            </w:tcBorders>
          </w:tcPr>
          <w:p>
            <w:pPr>
              <w:jc w:val="left"/>
            </w:pPr>
            <w:r>
              <w:t xml:space="preserve">~$1,150</w:t>
            </w:r>
          </w:p>
        </w:tc>
        <w:tc>
          <w:tcPr>
            <w:tcW w:type="dxa" w:w="600"/>
            <w:tcBorders>
              <w:top w:val="single" w:color="000000" w:sz="1"/>
              <w:left w:val="single" w:color="000000" w:sz="1"/>
              <w:bottom w:val="single" w:color="000000" w:sz="1"/>
              <w:right w:val="single" w:color="000000" w:sz="1"/>
            </w:tcBorders>
          </w:tcPr>
          <w:p>
            <w:pPr>
              <w:jc w:val="left"/>
            </w:pPr>
            <w:r>
              <w:t xml:space="preserve">4.8%</w:t>
            </w:r>
          </w:p>
        </w:tc>
        <w:tc>
          <w:tcPr>
            <w:tcW w:type="dxa" w:w="800"/>
            <w:tcBorders>
              <w:top w:val="single" w:color="000000" w:sz="1"/>
              <w:left w:val="single" w:color="000000" w:sz="1"/>
              <w:bottom w:val="single" w:color="000000" w:sz="1"/>
              <w:right w:val="single" w:color="000000" w:sz="1"/>
            </w:tcBorders>
          </w:tcPr>
          <w:p>
            <w:pPr>
              <w:jc w:val="left"/>
            </w:pPr>
            <w:r>
              <w:t xml:space="preserve">~$288,000</w:t>
            </w:r>
          </w:p>
        </w:tc>
      </w:tr>
      <w:tr>
        <w:tc>
          <w:tcPr>
            <w:tcW w:type="dxa" w:w="1000"/>
            <w:tcBorders>
              <w:top w:val="single" w:color="000000" w:sz="1"/>
              <w:left w:val="single" w:color="000000" w:sz="1"/>
              <w:bottom w:val="single" w:color="000000" w:sz="1"/>
              <w:right w:val="single" w:color="000000" w:sz="1"/>
            </w:tcBorders>
          </w:tcPr>
          <w:p>
            <w:pPr>
              <w:jc w:val="left"/>
            </w:pPr>
            <w:r>
              <w:t xml:space="preserve">基准情景（中等选址，如万锦Hwy 7/北约克）</w:t>
            </w:r>
          </w:p>
        </w:tc>
        <w:tc>
          <w:tcPr>
            <w:tcW w:type="dxa" w:w="800"/>
            <w:tcBorders>
              <w:top w:val="single" w:color="000000" w:sz="1"/>
              <w:left w:val="single" w:color="000000" w:sz="1"/>
              <w:bottom w:val="single" w:color="000000" w:sz="1"/>
              <w:right w:val="single" w:color="000000" w:sz="1"/>
            </w:tcBorders>
          </w:tcPr>
          <w:p>
            <w:pPr>
              <w:jc w:val="left"/>
            </w:pPr>
            <w:r>
              <w:t xml:space="preserve">180-220杯</w:t>
            </w:r>
          </w:p>
        </w:tc>
        <w:tc>
          <w:tcPr>
            <w:tcW w:type="dxa" w:w="800"/>
            <w:tcBorders>
              <w:top w:val="single" w:color="000000" w:sz="1"/>
              <w:left w:val="single" w:color="000000" w:sz="1"/>
              <w:bottom w:val="single" w:color="000000" w:sz="1"/>
              <w:right w:val="single" w:color="000000" w:sz="1"/>
            </w:tcBorders>
          </w:tcPr>
          <w:p>
            <w:pPr>
              <w:jc w:val="left"/>
            </w:pPr>
            <w:r>
              <w:t xml:space="preserve">$7.50</w:t>
            </w:r>
          </w:p>
        </w:tc>
        <w:tc>
          <w:tcPr>
            <w:tcW w:type="dxa" w:w="1000"/>
            <w:tcBorders>
              <w:top w:val="single" w:color="000000" w:sz="1"/>
              <w:left w:val="single" w:color="000000" w:sz="1"/>
              <w:bottom w:val="single" w:color="000000" w:sz="1"/>
              <w:right w:val="single" w:color="000000" w:sz="1"/>
            </w:tcBorders>
          </w:tcPr>
          <w:p>
            <w:pPr>
              <w:jc w:val="left"/>
            </w:pPr>
            <w:r>
              <w:t xml:space="preserve">~$45,000</w:t>
            </w:r>
          </w:p>
        </w:tc>
        <w:tc>
          <w:tcPr>
            <w:tcW w:type="dxa" w:w="800"/>
            <w:tcBorders>
              <w:top w:val="single" w:color="000000" w:sz="1"/>
              <w:left w:val="single" w:color="000000" w:sz="1"/>
              <w:bottom w:val="single" w:color="000000" w:sz="1"/>
              <w:right w:val="single" w:color="000000" w:sz="1"/>
            </w:tcBorders>
          </w:tcPr>
          <w:p>
            <w:pPr>
              <w:jc w:val="left"/>
            </w:pPr>
            <w:r>
              <w:t xml:space="preserve">~$12,650</w:t>
            </w:r>
          </w:p>
        </w:tc>
        <w:tc>
          <w:tcPr>
            <w:tcW w:type="dxa" w:w="600"/>
            <w:tcBorders>
              <w:top w:val="single" w:color="000000" w:sz="1"/>
              <w:left w:val="single" w:color="000000" w:sz="1"/>
              <w:bottom w:val="single" w:color="000000" w:sz="1"/>
              <w:right w:val="single" w:color="000000" w:sz="1"/>
            </w:tcBorders>
          </w:tcPr>
          <w:p>
            <w:pPr>
              <w:jc w:val="left"/>
            </w:pPr>
            <w:r>
              <w:t xml:space="preserve">28.1%</w:t>
            </w:r>
          </w:p>
        </w:tc>
        <w:tc>
          <w:tcPr>
            <w:tcW w:type="dxa" w:w="800"/>
            <w:tcBorders>
              <w:top w:val="single" w:color="000000" w:sz="1"/>
              <w:left w:val="single" w:color="000000" w:sz="1"/>
              <w:bottom w:val="single" w:color="000000" w:sz="1"/>
              <w:right w:val="single" w:color="000000" w:sz="1"/>
            </w:tcBorders>
          </w:tcPr>
          <w:p>
            <w:pPr>
              <w:jc w:val="left"/>
            </w:pPr>
            <w:r>
              <w:t xml:space="preserve">~$540,000</w:t>
            </w:r>
          </w:p>
        </w:tc>
      </w:tr>
      <w:tr>
        <w:tc>
          <w:tcPr>
            <w:tcW w:type="dxa" w:w="1000"/>
            <w:tcBorders>
              <w:top w:val="single" w:color="000000" w:sz="1"/>
              <w:left w:val="single" w:color="000000" w:sz="1"/>
              <w:bottom w:val="single" w:color="000000" w:sz="1"/>
              <w:right w:val="single" w:color="000000" w:sz="1"/>
            </w:tcBorders>
          </w:tcPr>
          <w:p>
            <w:pPr>
              <w:jc w:val="left"/>
            </w:pPr>
            <w:r>
              <w:t xml:space="preserve">乐观情景（核心商圈/高流量商场）</w:t>
            </w:r>
          </w:p>
        </w:tc>
        <w:tc>
          <w:tcPr>
            <w:tcW w:type="dxa" w:w="800"/>
            <w:tcBorders>
              <w:top w:val="single" w:color="000000" w:sz="1"/>
              <w:left w:val="single" w:color="000000" w:sz="1"/>
              <w:bottom w:val="single" w:color="000000" w:sz="1"/>
              <w:right w:val="single" w:color="000000" w:sz="1"/>
            </w:tcBorders>
          </w:tcPr>
          <w:p>
            <w:pPr>
              <w:jc w:val="left"/>
            </w:pPr>
            <w:r>
              <w:t xml:space="preserve">300-400杯</w:t>
            </w:r>
          </w:p>
        </w:tc>
        <w:tc>
          <w:tcPr>
            <w:tcW w:type="dxa" w:w="800"/>
            <w:tcBorders>
              <w:top w:val="single" w:color="000000" w:sz="1"/>
              <w:left w:val="single" w:color="000000" w:sz="1"/>
              <w:bottom w:val="single" w:color="000000" w:sz="1"/>
              <w:right w:val="single" w:color="000000" w:sz="1"/>
            </w:tcBorders>
          </w:tcPr>
          <w:p>
            <w:pPr>
              <w:jc w:val="left"/>
            </w:pPr>
            <w:r>
              <w:t xml:space="preserve">$8.00</w:t>
            </w:r>
          </w:p>
        </w:tc>
        <w:tc>
          <w:tcPr>
            <w:tcW w:type="dxa" w:w="1000"/>
            <w:tcBorders>
              <w:top w:val="single" w:color="000000" w:sz="1"/>
              <w:left w:val="single" w:color="000000" w:sz="1"/>
              <w:bottom w:val="single" w:color="000000" w:sz="1"/>
              <w:right w:val="single" w:color="000000" w:sz="1"/>
            </w:tcBorders>
          </w:tcPr>
          <w:p>
            <w:pPr>
              <w:jc w:val="left"/>
            </w:pPr>
            <w:r>
              <w:t xml:space="preserve">~$80,000</w:t>
            </w:r>
          </w:p>
        </w:tc>
        <w:tc>
          <w:tcPr>
            <w:tcW w:type="dxa" w:w="800"/>
            <w:tcBorders>
              <w:top w:val="single" w:color="000000" w:sz="1"/>
              <w:left w:val="single" w:color="000000" w:sz="1"/>
              <w:bottom w:val="single" w:color="000000" w:sz="1"/>
              <w:right w:val="single" w:color="000000" w:sz="1"/>
            </w:tcBorders>
          </w:tcPr>
          <w:p>
            <w:pPr>
              <w:jc w:val="left"/>
            </w:pPr>
            <w:r>
              <w:t xml:space="preserve">~$20,550-$26,150</w:t>
            </w:r>
          </w:p>
        </w:tc>
        <w:tc>
          <w:tcPr>
            <w:tcW w:type="dxa" w:w="600"/>
            <w:tcBorders>
              <w:top w:val="single" w:color="000000" w:sz="1"/>
              <w:left w:val="single" w:color="000000" w:sz="1"/>
              <w:bottom w:val="single" w:color="000000" w:sz="1"/>
              <w:right w:val="single" w:color="000000" w:sz="1"/>
            </w:tcBorders>
          </w:tcPr>
          <w:p>
            <w:pPr>
              <w:jc w:val="left"/>
            </w:pPr>
            <w:r>
              <w:t xml:space="preserve">25.7-32.7%</w:t>
            </w:r>
          </w:p>
        </w:tc>
        <w:tc>
          <w:tcPr>
            <w:tcW w:type="dxa" w:w="800"/>
            <w:tcBorders>
              <w:top w:val="single" w:color="000000" w:sz="1"/>
              <w:left w:val="single" w:color="000000" w:sz="1"/>
              <w:bottom w:val="single" w:color="000000" w:sz="1"/>
              <w:right w:val="single" w:color="000000" w:sz="1"/>
            </w:tcBorders>
          </w:tcPr>
          <w:p>
            <w:pPr>
              <w:jc w:val="left"/>
            </w:pPr>
            <w:r>
              <w:t xml:space="preserve">~$960,000</w:t>
            </w:r>
          </w:p>
        </w:tc>
      </w:tr>
    </w:tbl>
    <w:p>
      <w:pPr>
        <w:spacing w:after="120" w:line="360" w:lineRule="auto"/>
        <w:jc w:val="left"/>
      </w:pPr>
      <w:r>
        <w:t xml:space="preserve">[冲突提示] 草稿二采用更高的客单价假设（12-20加元，基于复合业态），并提出在精良运营下可实现约47%的EBITDA利润率和15%-20%的净利润率，月净利稳定在$12,000时静态回本期约24-29个月。草稿一则以更审慎的8.5加元客单价和日均230单作为基准，指出行业平均利润率仅约4.1%。请决策层根据实际产品结构和定价策略选择适用的模型假设。</w:t>
      </w:r>
    </w:p>
    <w:p>
      <w:pPr>
        <w:pStyle w:val="2"/>
        <w:spacing w:after="120" w:before="240" w:line="360" w:lineRule="auto"/>
        <w:outlineLvl w:val="1"/>
      </w:pPr>
      <w:r>
        <w:t xml:space="preserve">8.2 盈亏平衡与回本分析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000000" w:sz="1"/>
              <w:left w:val="single" w:color="000000" w:sz="1"/>
              <w:bottom w:val="single" w:color="000000" w:sz="1"/>
              <w:right w:val="single" w:color="000000" w:sz="1"/>
            </w:tcBorders>
            <w:shd w:color="E8E8E8" w:val="clear"/>
          </w:tcPr>
          <w:p>
            <w:pPr>
              <w:jc w:val="center"/>
            </w:pPr>
            <w:r>
              <w:t xml:space="preserve">档位</w:t>
            </w:r>
          </w:p>
        </w:tc>
        <w:tc>
          <w:tcPr>
            <w:tcW w:type="dxa" w:w="1200"/>
            <w:tcBorders>
              <w:top w:val="single" w:color="000000" w:sz="1"/>
              <w:left w:val="single" w:color="000000" w:sz="1"/>
              <w:bottom w:val="single" w:color="000000" w:sz="1"/>
              <w:right w:val="single" w:color="000000" w:sz="1"/>
            </w:tcBorders>
            <w:shd w:color="E8E8E8" w:val="clear"/>
          </w:tcPr>
          <w:p>
            <w:pPr>
              <w:jc w:val="center"/>
            </w:pPr>
            <w:r>
              <w:t xml:space="preserve">月固定成本(CAD)</w:t>
            </w:r>
          </w:p>
        </w:tc>
        <w:tc>
          <w:tcPr>
            <w:tcW w:type="dxa" w:w="1200"/>
            <w:tcBorders>
              <w:top w:val="single" w:color="000000" w:sz="1"/>
              <w:left w:val="single" w:color="000000" w:sz="1"/>
              <w:bottom w:val="single" w:color="000000" w:sz="1"/>
              <w:right w:val="single" w:color="000000" w:sz="1"/>
            </w:tcBorders>
            <w:shd w:color="E8E8E8" w:val="clear"/>
          </w:tcPr>
          <w:p>
            <w:pPr>
              <w:jc w:val="center"/>
            </w:pPr>
            <w:r>
              <w:t xml:space="preserve">盈亏平衡点(杯/日)</w:t>
            </w:r>
          </w:p>
        </w:tc>
        <w:tc>
          <w:tcPr>
            <w:tcW w:type="dxa" w:w="1200"/>
            <w:tcBorders>
              <w:top w:val="single" w:color="000000" w:sz="1"/>
              <w:left w:val="single" w:color="000000" w:sz="1"/>
              <w:bottom w:val="single" w:color="000000" w:sz="1"/>
              <w:right w:val="single" w:color="000000" w:sz="1"/>
            </w:tcBorders>
            <w:shd w:color="E8E8E8" w:val="clear"/>
          </w:tcPr>
          <w:p>
            <w:pPr>
              <w:jc w:val="center"/>
            </w:pPr>
            <w:r>
              <w:t xml:space="preserve">盈亏平衡月营收(CAD)</w:t>
            </w:r>
          </w:p>
        </w:tc>
        <w:tc>
          <w:tcPr>
            <w:tcW w:type="dxa" w:w="1500"/>
            <w:tcBorders>
              <w:top w:val="single" w:color="000000" w:sz="1"/>
              <w:left w:val="single" w:color="000000" w:sz="1"/>
              <w:bottom w:val="single" w:color="000000" w:sz="1"/>
              <w:right w:val="single" w:color="000000" w:sz="1"/>
            </w:tcBorders>
            <w:shd w:color="E8E8E8" w:val="clear"/>
          </w:tcPr>
          <w:p>
            <w:pPr>
              <w:jc w:val="center"/>
            </w:pPr>
            <w:r>
              <w:t xml:space="preserve">静态回本期</w:t>
            </w:r>
          </w:p>
        </w:tc>
      </w:tr>
      <w:tr>
        <w:tc>
          <w:tcPr>
            <w:tcW w:type="dxa" w:w="1200"/>
            <w:tcBorders>
              <w:top w:val="single" w:color="000000" w:sz="1"/>
              <w:left w:val="single" w:color="000000" w:sz="1"/>
              <w:bottom w:val="single" w:color="000000" w:sz="1"/>
              <w:right w:val="single" w:color="000000" w:sz="1"/>
            </w:tcBorders>
          </w:tcPr>
          <w:p>
            <w:pPr>
              <w:jc w:val="left"/>
            </w:pPr>
            <w:r>
              <w:t xml:space="preserve">档位A（Kiosk）</w:t>
            </w:r>
          </w:p>
        </w:tc>
        <w:tc>
          <w:tcPr>
            <w:tcW w:type="dxa" w:w="1200"/>
            <w:tcBorders>
              <w:top w:val="single" w:color="000000" w:sz="1"/>
              <w:left w:val="single" w:color="000000" w:sz="1"/>
              <w:bottom w:val="single" w:color="000000" w:sz="1"/>
              <w:right w:val="single" w:color="000000" w:sz="1"/>
            </w:tcBorders>
          </w:tcPr>
          <w:p>
            <w:pPr>
              <w:jc w:val="left"/>
            </w:pPr>
            <w:r>
              <w:t xml:space="preserve">~$7,500</w:t>
            </w:r>
          </w:p>
        </w:tc>
        <w:tc>
          <w:tcPr>
            <w:tcW w:type="dxa" w:w="1200"/>
            <w:tcBorders>
              <w:top w:val="single" w:color="000000" w:sz="1"/>
              <w:left w:val="single" w:color="000000" w:sz="1"/>
              <w:bottom w:val="single" w:color="000000" w:sz="1"/>
              <w:right w:val="single" w:color="000000" w:sz="1"/>
            </w:tcBorders>
          </w:tcPr>
          <w:p>
            <w:pPr>
              <w:jc w:val="left"/>
            </w:pPr>
            <w:r>
              <w:t xml:space="preserve">~50杯</w:t>
            </w:r>
          </w:p>
        </w:tc>
        <w:tc>
          <w:tcPr>
            <w:tcW w:type="dxa" w:w="1200"/>
            <w:tcBorders>
              <w:top w:val="single" w:color="000000" w:sz="1"/>
              <w:left w:val="single" w:color="000000" w:sz="1"/>
              <w:bottom w:val="single" w:color="000000" w:sz="1"/>
              <w:right w:val="single" w:color="000000" w:sz="1"/>
            </w:tcBorders>
          </w:tcPr>
          <w:p>
            <w:pPr>
              <w:jc w:val="left"/>
            </w:pPr>
            <w:r>
              <w:t xml:space="preserve">~$9,750</w:t>
            </w:r>
          </w:p>
        </w:tc>
        <w:tc>
          <w:tcPr>
            <w:tcW w:type="dxa" w:w="1500"/>
            <w:tcBorders>
              <w:top w:val="single" w:color="000000" w:sz="1"/>
              <w:left w:val="single" w:color="000000" w:sz="1"/>
              <w:bottom w:val="single" w:color="000000" w:sz="1"/>
              <w:right w:val="single" w:color="000000" w:sz="1"/>
            </w:tcBorders>
          </w:tcPr>
          <w:p>
            <w:pPr>
              <w:jc w:val="left"/>
            </w:pPr>
            <w:r>
              <w:t xml:space="preserve">15-25个月</w:t>
            </w:r>
          </w:p>
        </w:tc>
      </w:tr>
      <w:tr>
        <w:tc>
          <w:tcPr>
            <w:tcW w:type="dxa" w:w="1200"/>
            <w:tcBorders>
              <w:top w:val="single" w:color="000000" w:sz="1"/>
              <w:left w:val="single" w:color="000000" w:sz="1"/>
              <w:bottom w:val="single" w:color="000000" w:sz="1"/>
              <w:right w:val="single" w:color="000000" w:sz="1"/>
            </w:tcBorders>
          </w:tcPr>
          <w:p>
            <w:pPr>
              <w:jc w:val="left"/>
            </w:pPr>
            <w:r>
              <w:t xml:space="preserve">档位B（标准店）</w:t>
            </w:r>
          </w:p>
        </w:tc>
        <w:tc>
          <w:tcPr>
            <w:tcW w:type="dxa" w:w="1200"/>
            <w:tcBorders>
              <w:top w:val="single" w:color="000000" w:sz="1"/>
              <w:left w:val="single" w:color="000000" w:sz="1"/>
              <w:bottom w:val="single" w:color="000000" w:sz="1"/>
              <w:right w:val="single" w:color="000000" w:sz="1"/>
            </w:tcBorders>
          </w:tcPr>
          <w:p>
            <w:pPr>
              <w:jc w:val="left"/>
            </w:pPr>
            <w:r>
              <w:t xml:space="preserve">~$18,000</w:t>
            </w:r>
          </w:p>
        </w:tc>
        <w:tc>
          <w:tcPr>
            <w:tcW w:type="dxa" w:w="1200"/>
            <w:tcBorders>
              <w:top w:val="single" w:color="000000" w:sz="1"/>
              <w:left w:val="single" w:color="000000" w:sz="1"/>
              <w:bottom w:val="single" w:color="000000" w:sz="1"/>
              <w:right w:val="single" w:color="000000" w:sz="1"/>
            </w:tcBorders>
          </w:tcPr>
          <w:p>
            <w:pPr>
              <w:jc w:val="left"/>
            </w:pPr>
            <w:r>
              <w:t xml:space="preserve">~107杯</w:t>
            </w:r>
          </w:p>
        </w:tc>
        <w:tc>
          <w:tcPr>
            <w:tcW w:type="dxa" w:w="1200"/>
            <w:tcBorders>
              <w:top w:val="single" w:color="000000" w:sz="1"/>
              <w:left w:val="single" w:color="000000" w:sz="1"/>
              <w:bottom w:val="single" w:color="000000" w:sz="1"/>
              <w:right w:val="single" w:color="000000" w:sz="1"/>
            </w:tcBorders>
          </w:tcPr>
          <w:p>
            <w:pPr>
              <w:jc w:val="left"/>
            </w:pPr>
            <w:r>
              <w:t xml:space="preserve">~$24,000</w:t>
            </w:r>
          </w:p>
        </w:tc>
        <w:tc>
          <w:tcPr>
            <w:tcW w:type="dxa" w:w="1500"/>
            <w:tcBorders>
              <w:top w:val="single" w:color="000000" w:sz="1"/>
              <w:left w:val="single" w:color="000000" w:sz="1"/>
              <w:bottom w:val="single" w:color="000000" w:sz="1"/>
              <w:right w:val="single" w:color="000000" w:sz="1"/>
            </w:tcBorders>
          </w:tcPr>
          <w:p>
            <w:pPr>
              <w:jc w:val="left"/>
            </w:pPr>
            <w:r>
              <w:t xml:space="preserve">17-31个月</w:t>
            </w:r>
          </w:p>
        </w:tc>
      </w:tr>
      <w:tr>
        <w:tc>
          <w:tcPr>
            <w:tcW w:type="dxa" w:w="1200"/>
            <w:tcBorders>
              <w:top w:val="single" w:color="000000" w:sz="1"/>
              <w:left w:val="single" w:color="000000" w:sz="1"/>
              <w:bottom w:val="single" w:color="000000" w:sz="1"/>
              <w:right w:val="single" w:color="000000" w:sz="1"/>
            </w:tcBorders>
          </w:tcPr>
          <w:p>
            <w:pPr>
              <w:jc w:val="left"/>
            </w:pPr>
            <w:r>
              <w:t xml:space="preserve">档位C（旗舰店）</w:t>
            </w:r>
          </w:p>
        </w:tc>
        <w:tc>
          <w:tcPr>
            <w:tcW w:type="dxa" w:w="1200"/>
            <w:tcBorders>
              <w:top w:val="single" w:color="000000" w:sz="1"/>
              <w:left w:val="single" w:color="000000" w:sz="1"/>
              <w:bottom w:val="single" w:color="000000" w:sz="1"/>
              <w:right w:val="single" w:color="000000" w:sz="1"/>
            </w:tcBorders>
          </w:tcPr>
          <w:p>
            <w:pPr>
              <w:jc w:val="left"/>
            </w:pPr>
            <w:r>
              <w:t xml:space="preserve">~$35,000</w:t>
            </w:r>
          </w:p>
        </w:tc>
        <w:tc>
          <w:tcPr>
            <w:tcW w:type="dxa" w:w="1200"/>
            <w:tcBorders>
              <w:top w:val="single" w:color="000000" w:sz="1"/>
              <w:left w:val="single" w:color="000000" w:sz="1"/>
              <w:bottom w:val="single" w:color="000000" w:sz="1"/>
              <w:right w:val="single" w:color="000000" w:sz="1"/>
            </w:tcBorders>
          </w:tcPr>
          <w:p>
            <w:pPr>
              <w:jc w:val="left"/>
            </w:pPr>
            <w:r>
              <w:t xml:space="preserve">~195杯</w:t>
            </w:r>
          </w:p>
        </w:tc>
        <w:tc>
          <w:tcPr>
            <w:tcW w:type="dxa" w:w="1200"/>
            <w:tcBorders>
              <w:top w:val="single" w:color="000000" w:sz="1"/>
              <w:left w:val="single" w:color="000000" w:sz="1"/>
              <w:bottom w:val="single" w:color="000000" w:sz="1"/>
              <w:right w:val="single" w:color="000000" w:sz="1"/>
            </w:tcBorders>
          </w:tcPr>
          <w:p>
            <w:pPr>
              <w:jc w:val="left"/>
            </w:pPr>
            <w:r>
              <w:t xml:space="preserve">~$46,700</w:t>
            </w:r>
          </w:p>
        </w:tc>
        <w:tc>
          <w:tcPr>
            <w:tcW w:type="dxa" w:w="1500"/>
            <w:tcBorders>
              <w:top w:val="single" w:color="000000" w:sz="1"/>
              <w:left w:val="single" w:color="000000" w:sz="1"/>
              <w:bottom w:val="single" w:color="000000" w:sz="1"/>
              <w:right w:val="single" w:color="000000" w:sz="1"/>
            </w:tcBorders>
          </w:tcPr>
          <w:p>
            <w:pPr>
              <w:jc w:val="left"/>
            </w:pPr>
            <w:r>
              <w:t xml:space="preserve">26-43个月</w:t>
            </w:r>
          </w:p>
        </w:tc>
      </w:tr>
    </w:tbl>
    <w:p>
      <w:pPr>
        <w:spacing w:after="120" w:line="360" w:lineRule="auto"/>
        <w:jc w:val="left"/>
      </w:pPr>
      <w:r>
        <w:t xml:space="preserve">[冲突提示] 草稿二提出在具备高客单价转化能力的"超级单店"中，回本期有可能被压缩至8-12个月。此为极度乐观情景，草稿一和草稿三均未支持这一预期。</w:t>
      </w:r>
    </w:p>
    <w:p>
      <w:pPr>
        <w:pStyle w:val="2"/>
        <w:spacing w:after="120" w:before="240" w:line="360" w:lineRule="auto"/>
        <w:outlineLvl w:val="1"/>
      </w:pPr>
      <w:r>
        <w:t xml:space="preserve">8.3 敏感性分析关键发现</w:t>
      </w:r>
    </w:p>
    <w:p>
      <w:pPr>
        <w:spacing w:after="120" w:line="360" w:lineRule="auto"/>
        <w:jc w:val="left"/>
      </w:pPr>
      <w:r>
        <w:t xml:space="preserve">草稿一的敏感性分析显示：日均订单量从约200提升到260时，在同一租金条件下回本月数会出现"断崖式改善"；净租金从40提升到70加元/平方英尺/年时，若订单量未同步上升，回本周期明显被拉长甚至无法在5年内回本。</w:t>
      </w:r>
    </w:p>
    <w:p>
      <w:pPr>
        <w:spacing w:after="120" w:line="360" w:lineRule="auto"/>
        <w:jc w:val="left"/>
      </w:pPr>
      <w:r>
        <w:t xml:space="preserve">核心结论：开店最关键的不是"选最贵的街"，而是"选能稳定达到目标订单密度的街"，并通过外带/线上下单提高高峰吞吐量（CBRE, 2025; Statistics Canada, 2026）。</w:t>
      </w:r>
    </w:p>
    <w:r>
      <w:br w:type="page"/>
    </w:r>
    <w:p>
      <w:pPr>
        <w:pStyle w:val="1"/>
        <w:spacing w:after="120" w:before="240" w:line="360" w:lineRule="auto"/>
        <w:outlineLvl w:val="0"/>
      </w:pPr>
      <w:r>
        <w:t xml:space="preserve">九、风险管控</w:t>
      </w:r>
    </w:p>
    <w:p>
      <w:pPr>
        <w:pStyle w:val="2"/>
        <w:spacing w:after="120" w:before="240" w:line="360" w:lineRule="auto"/>
        <w:outlineLvl w:val="1"/>
      </w:pPr>
      <w:r>
        <w:t xml:space="preserve">9.1 市场饱和风险（高影响）</w:t>
      </w:r>
    </w:p>
    <w:p>
      <w:pPr>
        <w:spacing w:after="120" w:line="360" w:lineRule="auto"/>
        <w:jc w:val="left"/>
      </w:pPr>
      <w:r>
        <w:t xml:space="preserve">GTA核心珍珠奶茶走廊（多伦多市中心、万锦Highway 7、北约克Yonge/Finch）竞争者密度极高。业内观察人士预期将出现洗牌整合——"当尘埃落定时，只会剩下几个大品牌"。一些以噱头和Instagram打卡为主的品牌已开始闭店。缺乏明确差异化的新进入者在这些区域面临高失败概率。</w:t>
      </w:r>
    </w:p>
    <w:p>
      <w:pPr>
        <w:spacing w:after="120" w:line="360" w:lineRule="auto"/>
        <w:jc w:val="left"/>
      </w:pPr>
      <w:r>
        <w:t xml:space="preserve">应对：坚定执行"健康标签"或"独特味觉记忆"的差异化定位；优先选择外围郊区和二线城市作为切入点。</w:t>
      </w:r>
    </w:p>
    <w:p>
      <w:pPr>
        <w:pStyle w:val="2"/>
        <w:spacing w:after="120" w:before="240" w:line="360" w:lineRule="auto"/>
        <w:outlineLvl w:val="1"/>
      </w:pPr>
      <w:r>
        <w:t xml:space="preserve">9.2 运营与人力风险（中高影响）</w:t>
      </w:r>
    </w:p>
    <w:p>
      <w:pPr>
        <w:spacing w:after="120" w:line="360" w:lineRule="auto"/>
        <w:jc w:val="left"/>
      </w:pPr>
      <w:r>
        <w:t xml:space="preserve">安大略省食品服务行业目前有约18,230个未填补职位（空缺率3.8%），48.5%的食品服务企业预期劳动力短缺将持续。自2022年以来，安大略食品成本上涨24%、劳动力成本上涨18%、保险成本上涨24%。</w:t>
      </w:r>
    </w:p>
    <w:p>
      <w:pPr>
        <w:spacing w:after="120" w:line="360" w:lineRule="auto"/>
        <w:jc w:val="left"/>
      </w:pPr>
      <w:r>
        <w:t xml:space="preserve">应对：推进设备智能化（自动果糖机、全自动萃茶机），建立去技能化的标准作业程序（SOP），使兼职员工在短时间培训后即可稳定出杯。参照Real Fruit Bubble Tea的管理经验，通过科技赋能将人工成本从传统餐饮业态的30%-35%压缩至20%（Snappy/Real Fruit Case Study, 2026）。</w:t>
      </w:r>
    </w:p>
    <w:p>
      <w:pPr>
        <w:pStyle w:val="2"/>
        <w:spacing w:after="120" w:before="240" w:line="360" w:lineRule="auto"/>
        <w:outlineLvl w:val="1"/>
      </w:pPr>
      <w:r>
        <w:t xml:space="preserve">9.3 财务环境风险（中影响）</w:t>
      </w:r>
    </w:p>
    <w:p>
      <w:pPr>
        <w:spacing w:after="120" w:line="360" w:lineRule="auto"/>
        <w:jc w:val="left"/>
      </w:pPr>
      <w:r>
        <w:t xml:space="preserve">加拿大62%的餐厅目前处于亏损或勉强持平状态（较疫情前的10%大幅上升），2023年餐厅破产率激增44%。但QSR/快餐休闲业态的首年失败率较低（约1%），且珍珠奶茶75%-88%的超高毛利率提供了比大多数餐饮品类更宽的安全垫。</w:t>
      </w:r>
    </w:p>
    <w:p>
      <w:pPr>
        <w:pStyle w:val="2"/>
        <w:spacing w:after="120" w:before="240" w:line="360" w:lineRule="auto"/>
        <w:outlineLvl w:val="1"/>
      </w:pPr>
      <w:r>
        <w:t xml:space="preserve">9.4 合规与分区风险（中影响）</w:t>
      </w:r>
    </w:p>
    <w:p>
      <w:pPr>
        <w:spacing w:after="120" w:line="360" w:lineRule="auto"/>
        <w:jc w:val="left"/>
      </w:pPr>
      <w:r>
        <w:t xml:space="preserve">不当选址引发的Zoning违规可能导致项目胎死腹中。唯一解法是在签署正式商业租约前聘请专业人士，并在租约中加入保护性条款。</w:t>
      </w:r>
    </w:p>
    <w:p>
      <w:pPr>
        <w:spacing w:after="120" w:line="360" w:lineRule="auto"/>
        <w:jc w:val="left"/>
      </w:pPr>
      <w:r>
        <w:t xml:space="preserve">目前加拿大联邦和安大略省均不存在糖税。纽芬兰省的糖税已于2025年7月废除。但主要健康组织仍持续倡导20%的全国性含糖饮料税，这将对高糖珍珠奶茶产品产生不成比例的影响。以健康为导向的低糖默认配置提供了天然对冲。</w:t>
      </w:r>
    </w:p>
    <w:p>
      <w:pPr>
        <w:pStyle w:val="2"/>
        <w:spacing w:after="120" w:before="240" w:line="360" w:lineRule="auto"/>
        <w:outlineLvl w:val="1"/>
      </w:pPr>
      <w:r>
        <w:t xml:space="preserve">9.5 供应链风险（中影响）</w:t>
      </w:r>
    </w:p>
    <w:p>
      <w:pPr>
        <w:spacing w:after="120" w:line="360" w:lineRule="auto"/>
        <w:jc w:val="left"/>
      </w:pPr>
      <w:r>
        <w:t xml:space="preserve">对亚洲进口木薯珍珠、特种茶叶和调味糖浆的依赖构成脆弱性——2021年苏伊士运河堵塞事件暴露了这一弱点。HEYTEA于2025年12月在多伦多建立专属配送中心代表了最佳实践。</w:t>
      </w:r>
    </w:p>
    <w:p>
      <w:pPr>
        <w:spacing w:after="120" w:line="360" w:lineRule="auto"/>
        <w:jc w:val="left"/>
      </w:pPr>
      <w:r>
        <w:t xml:space="preserve">应对：在安省本地建立至少2-3家稳固的一级供货网络（Primary &amp; Secondary供应商），同时在产品研发端保持模块化设计的灵活性，确保一旦某种原料断供，能迅速启用平替配方。</w:t>
      </w:r>
    </w:p>
    <w:p>
      <w:pPr>
        <w:pStyle w:val="2"/>
        <w:spacing w:after="120" w:before="240" w:line="360" w:lineRule="auto"/>
        <w:outlineLvl w:val="1"/>
      </w:pPr>
      <w:r>
        <w:t xml:space="preserve">9.6 文化适应与地缘政治风险（中影响）</w:t>
      </w:r>
    </w:p>
    <w:p>
      <w:pPr>
        <w:spacing w:after="120" w:line="360" w:lineRule="auto"/>
        <w:jc w:val="left"/>
      </w:pPr>
      <w:r>
        <w:t xml:space="preserve">霸王茶姬曾因App中的九段线地图在东南亚遭遇抵制——所有营销材料必须保持政治中立。加拿大消费者期望更低的默认甜度、透明的过敏原和热量信息以及作为标配的植物基奶选项。服务文化期望与中国有显著差异，强调友善度和个性化服务。</w:t>
      </w:r>
    </w:p>
    <w:r>
      <w:br w:type="page"/>
    </w:r>
    <w:p>
      <w:pPr>
        <w:pStyle w:val="1"/>
        <w:spacing w:after="120" w:before="240" w:line="360" w:lineRule="auto"/>
        <w:outlineLvl w:val="0"/>
      </w:pPr>
      <w:r>
        <w:t xml:space="preserve">十、关键KPI</w:t>
      </w:r>
    </w:p>
    <w:p>
      <w:pPr>
        <w:pStyle w:val="2"/>
        <w:spacing w:after="120" w:before="240" w:line="360" w:lineRule="auto"/>
        <w:outlineLvl w:val="1"/>
      </w:pPr>
      <w:r>
        <w:t xml:space="preserve">10.1 核心经营KPI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tcBorders>
              <w:top w:val="single" w:color="000000" w:sz="1"/>
              <w:left w:val="single" w:color="000000" w:sz="1"/>
              <w:bottom w:val="single" w:color="000000" w:sz="1"/>
              <w:right w:val="single" w:color="000000" w:sz="1"/>
            </w:tcBorders>
            <w:shd w:color="E8E8E8" w:val="clear"/>
          </w:tcPr>
          <w:p>
            <w:pPr>
              <w:jc w:val="center"/>
            </w:pPr>
            <w:r>
              <w:t xml:space="preserve">KPI指标</w:t>
            </w:r>
          </w:p>
        </w:tc>
        <w:tc>
          <w:tcPr>
            <w:tcW w:type="dxa" w:w="1200"/>
            <w:tcBorders>
              <w:top w:val="single" w:color="000000" w:sz="1"/>
              <w:left w:val="single" w:color="000000" w:sz="1"/>
              <w:bottom w:val="single" w:color="000000" w:sz="1"/>
              <w:right w:val="single" w:color="000000" w:sz="1"/>
            </w:tcBorders>
            <w:shd w:color="E8E8E8" w:val="clear"/>
          </w:tcPr>
          <w:p>
            <w:pPr>
              <w:jc w:val="center"/>
            </w:pPr>
            <w:r>
              <w:t xml:space="preserve">目标值/范围</w:t>
            </w:r>
          </w:p>
        </w:tc>
        <w:tc>
          <w:tcPr>
            <w:tcW w:type="dxa" w:w="2000"/>
            <w:tcBorders>
              <w:top w:val="single" w:color="000000" w:sz="1"/>
              <w:left w:val="single" w:color="000000" w:sz="1"/>
              <w:bottom w:val="single" w:color="000000" w:sz="1"/>
              <w:right w:val="single" w:color="000000" w:sz="1"/>
            </w:tcBorders>
            <w:shd w:color="E8E8E8" w:val="clear"/>
          </w:tcPr>
          <w:p>
            <w:pPr>
              <w:jc w:val="center"/>
            </w:pPr>
            <w:r>
              <w:t xml:space="preserve">说明</w:t>
            </w:r>
          </w:p>
        </w:tc>
      </w:tr>
      <w:tr>
        <w:tc>
          <w:tcPr>
            <w:tcW w:type="dxa" w:w="1500"/>
            <w:tcBorders>
              <w:top w:val="single" w:color="000000" w:sz="1"/>
              <w:left w:val="single" w:color="000000" w:sz="1"/>
              <w:bottom w:val="single" w:color="000000" w:sz="1"/>
              <w:right w:val="single" w:color="000000" w:sz="1"/>
            </w:tcBorders>
          </w:tcPr>
          <w:p>
            <w:pPr>
              <w:jc w:val="left"/>
            </w:pPr>
            <w:r>
              <w:t xml:space="preserve">日均杯量</w:t>
            </w:r>
          </w:p>
        </w:tc>
        <w:tc>
          <w:tcPr>
            <w:tcW w:type="dxa" w:w="1200"/>
            <w:tcBorders>
              <w:top w:val="single" w:color="000000" w:sz="1"/>
              <w:left w:val="single" w:color="000000" w:sz="1"/>
              <w:bottom w:val="single" w:color="000000" w:sz="1"/>
              <w:right w:val="single" w:color="000000" w:sz="1"/>
            </w:tcBorders>
          </w:tcPr>
          <w:p>
            <w:pPr>
              <w:jc w:val="left"/>
            </w:pPr>
            <w:r>
              <w:t xml:space="preserve">≥150杯（最低可行）; 200+杯（良好盈利）</w:t>
            </w:r>
          </w:p>
        </w:tc>
        <w:tc>
          <w:tcPr>
            <w:tcW w:type="dxa" w:w="2000"/>
            <w:tcBorders>
              <w:top w:val="single" w:color="000000" w:sz="1"/>
              <w:left w:val="single" w:color="000000" w:sz="1"/>
              <w:bottom w:val="single" w:color="000000" w:sz="1"/>
              <w:right w:val="single" w:color="000000" w:sz="1"/>
            </w:tcBorders>
          </w:tcPr>
          <w:p>
            <w:pPr>
              <w:jc w:val="left"/>
            </w:pPr>
            <w:r>
              <w:t xml:space="preserve">低于107杯/日即亏损（标准店）</w:t>
            </w:r>
          </w:p>
        </w:tc>
      </w:tr>
      <w:tr>
        <w:tc>
          <w:tcPr>
            <w:tcW w:type="dxa" w:w="1500"/>
            <w:tcBorders>
              <w:top w:val="single" w:color="000000" w:sz="1"/>
              <w:left w:val="single" w:color="000000" w:sz="1"/>
              <w:bottom w:val="single" w:color="000000" w:sz="1"/>
              <w:right w:val="single" w:color="000000" w:sz="1"/>
            </w:tcBorders>
          </w:tcPr>
          <w:p>
            <w:pPr>
              <w:jc w:val="left"/>
            </w:pPr>
            <w:r>
              <w:t xml:space="preserve">客单价（AOV）</w:t>
            </w:r>
          </w:p>
        </w:tc>
        <w:tc>
          <w:tcPr>
            <w:tcW w:type="dxa" w:w="1200"/>
            <w:tcBorders>
              <w:top w:val="single" w:color="000000" w:sz="1"/>
              <w:left w:val="single" w:color="000000" w:sz="1"/>
              <w:bottom w:val="single" w:color="000000" w:sz="1"/>
              <w:right w:val="single" w:color="000000" w:sz="1"/>
            </w:tcBorders>
          </w:tcPr>
          <w:p>
            <w:pPr>
              <w:jc w:val="left"/>
            </w:pPr>
            <w:r>
              <w:t xml:space="preserve">$7.50+ CAD</w:t>
            </w:r>
          </w:p>
        </w:tc>
        <w:tc>
          <w:tcPr>
            <w:tcW w:type="dxa" w:w="2000"/>
            <w:tcBorders>
              <w:top w:val="single" w:color="000000" w:sz="1"/>
              <w:left w:val="single" w:color="000000" w:sz="1"/>
              <w:bottom w:val="single" w:color="000000" w:sz="1"/>
              <w:right w:val="single" w:color="000000" w:sz="1"/>
            </w:tcBorders>
          </w:tcPr>
          <w:p>
            <w:pPr>
              <w:jc w:val="left"/>
            </w:pPr>
            <w:r>
              <w:t xml:space="preserve">追加销售小料是最高利润杠杆</w:t>
            </w:r>
          </w:p>
        </w:tc>
      </w:tr>
      <w:tr>
        <w:tc>
          <w:tcPr>
            <w:tcW w:type="dxa" w:w="1500"/>
            <w:tcBorders>
              <w:top w:val="single" w:color="000000" w:sz="1"/>
              <w:left w:val="single" w:color="000000" w:sz="1"/>
              <w:bottom w:val="single" w:color="000000" w:sz="1"/>
              <w:right w:val="single" w:color="000000" w:sz="1"/>
            </w:tcBorders>
          </w:tcPr>
          <w:p>
            <w:pPr>
              <w:jc w:val="left"/>
            </w:pPr>
            <w:r>
              <w:t xml:space="preserve">原材料成本率（COGS）</w:t>
            </w:r>
          </w:p>
        </w:tc>
        <w:tc>
          <w:tcPr>
            <w:tcW w:type="dxa" w:w="1200"/>
            <w:tcBorders>
              <w:top w:val="single" w:color="000000" w:sz="1"/>
              <w:left w:val="single" w:color="000000" w:sz="1"/>
              <w:bottom w:val="single" w:color="000000" w:sz="1"/>
              <w:right w:val="single" w:color="000000" w:sz="1"/>
            </w:tcBorders>
          </w:tcPr>
          <w:p>
            <w:pPr>
              <w:jc w:val="left"/>
            </w:pPr>
            <w:r>
              <w:t xml:space="preserve">≤25%（目标20-23%）</w:t>
            </w:r>
          </w:p>
        </w:tc>
        <w:tc>
          <w:tcPr>
            <w:tcW w:type="dxa" w:w="2000"/>
            <w:tcBorders>
              <w:top w:val="single" w:color="000000" w:sz="1"/>
              <w:left w:val="single" w:color="000000" w:sz="1"/>
              <w:bottom w:val="single" w:color="000000" w:sz="1"/>
              <w:right w:val="single" w:color="000000" w:sz="1"/>
            </w:tcBorders>
          </w:tcPr>
          <w:p>
            <w:pPr>
              <w:jc w:val="left"/>
            </w:pPr>
            <w:r>
              <w:t xml:space="preserve">低于行业均值35.9%是茶饮优势</w:t>
            </w:r>
          </w:p>
        </w:tc>
      </w:tr>
      <w:tr>
        <w:tc>
          <w:tcPr>
            <w:tcW w:type="dxa" w:w="1500"/>
            <w:tcBorders>
              <w:top w:val="single" w:color="000000" w:sz="1"/>
              <w:left w:val="single" w:color="000000" w:sz="1"/>
              <w:bottom w:val="single" w:color="000000" w:sz="1"/>
              <w:right w:val="single" w:color="000000" w:sz="1"/>
            </w:tcBorders>
          </w:tcPr>
          <w:p>
            <w:pPr>
              <w:jc w:val="left"/>
            </w:pPr>
            <w:r>
              <w:t xml:space="preserve">人工成本率</w:t>
            </w:r>
          </w:p>
        </w:tc>
        <w:tc>
          <w:tcPr>
            <w:tcW w:type="dxa" w:w="1200"/>
            <w:tcBorders>
              <w:top w:val="single" w:color="000000" w:sz="1"/>
              <w:left w:val="single" w:color="000000" w:sz="1"/>
              <w:bottom w:val="single" w:color="000000" w:sz="1"/>
              <w:right w:val="single" w:color="000000" w:sz="1"/>
            </w:tcBorders>
          </w:tcPr>
          <w:p>
            <w:pPr>
              <w:jc w:val="left"/>
            </w:pPr>
            <w:r>
              <w:t xml:space="preserve">≤25-30%</w:t>
            </w:r>
          </w:p>
        </w:tc>
        <w:tc>
          <w:tcPr>
            <w:tcW w:type="dxa" w:w="2000"/>
            <w:tcBorders>
              <w:top w:val="single" w:color="000000" w:sz="1"/>
              <w:left w:val="single" w:color="000000" w:sz="1"/>
              <w:bottom w:val="single" w:color="000000" w:sz="1"/>
              <w:right w:val="single" w:color="000000" w:sz="1"/>
            </w:tcBorders>
          </w:tcPr>
          <w:p>
            <w:pPr>
              <w:jc w:val="left"/>
            </w:pPr>
            <w:r>
              <w:t xml:space="preserve">通过排班优化和自动化压降</w:t>
            </w:r>
          </w:p>
        </w:tc>
      </w:tr>
      <w:tr>
        <w:tc>
          <w:tcPr>
            <w:tcW w:type="dxa" w:w="1500"/>
            <w:tcBorders>
              <w:top w:val="single" w:color="000000" w:sz="1"/>
              <w:left w:val="single" w:color="000000" w:sz="1"/>
              <w:bottom w:val="single" w:color="000000" w:sz="1"/>
              <w:right w:val="single" w:color="000000" w:sz="1"/>
            </w:tcBorders>
          </w:tcPr>
          <w:p>
            <w:pPr>
              <w:jc w:val="left"/>
            </w:pPr>
            <w:r>
              <w:t xml:space="preserve">毛利率</w:t>
            </w:r>
          </w:p>
        </w:tc>
        <w:tc>
          <w:tcPr>
            <w:tcW w:type="dxa" w:w="1200"/>
            <w:tcBorders>
              <w:top w:val="single" w:color="000000" w:sz="1"/>
              <w:left w:val="single" w:color="000000" w:sz="1"/>
              <w:bottom w:val="single" w:color="000000" w:sz="1"/>
              <w:right w:val="single" w:color="000000" w:sz="1"/>
            </w:tcBorders>
          </w:tcPr>
          <w:p>
            <w:pPr>
              <w:jc w:val="left"/>
            </w:pPr>
            <w:r>
              <w:t xml:space="preserve">65-80%</w:t>
            </w:r>
          </w:p>
        </w:tc>
        <w:tc>
          <w:tcPr>
            <w:tcW w:type="dxa" w:w="2000"/>
            <w:tcBorders>
              <w:top w:val="single" w:color="000000" w:sz="1"/>
              <w:left w:val="single" w:color="000000" w:sz="1"/>
              <w:bottom w:val="single" w:color="000000" w:sz="1"/>
              <w:right w:val="single" w:color="000000" w:sz="1"/>
            </w:tcBorders>
          </w:tcPr>
          <w:p>
            <w:pPr>
              <w:jc w:val="left"/>
            </w:pPr>
            <w:r>
              <w:t xml:space="preserve">低于60%信号异常</w:t>
            </w:r>
          </w:p>
        </w:tc>
      </w:tr>
      <w:tr>
        <w:tc>
          <w:tcPr>
            <w:tcW w:type="dxa" w:w="1500"/>
            <w:tcBorders>
              <w:top w:val="single" w:color="000000" w:sz="1"/>
              <w:left w:val="single" w:color="000000" w:sz="1"/>
              <w:bottom w:val="single" w:color="000000" w:sz="1"/>
              <w:right w:val="single" w:color="000000" w:sz="1"/>
            </w:tcBorders>
          </w:tcPr>
          <w:p>
            <w:pPr>
              <w:jc w:val="left"/>
            </w:pPr>
            <w:r>
              <w:t xml:space="preserve">净利润率</w:t>
            </w:r>
          </w:p>
        </w:tc>
        <w:tc>
          <w:tcPr>
            <w:tcW w:type="dxa" w:w="1200"/>
            <w:tcBorders>
              <w:top w:val="single" w:color="000000" w:sz="1"/>
              <w:left w:val="single" w:color="000000" w:sz="1"/>
              <w:bottom w:val="single" w:color="000000" w:sz="1"/>
              <w:right w:val="single" w:color="000000" w:sz="1"/>
            </w:tcBorders>
          </w:tcPr>
          <w:p>
            <w:pPr>
              <w:jc w:val="left"/>
            </w:pPr>
            <w:r>
              <w:t xml:space="preserve">10-20%（目标）</w:t>
            </w:r>
          </w:p>
        </w:tc>
        <w:tc>
          <w:tcPr>
            <w:tcW w:type="dxa" w:w="2000"/>
            <w:tcBorders>
              <w:top w:val="single" w:color="000000" w:sz="1"/>
              <w:left w:val="single" w:color="000000" w:sz="1"/>
              <w:bottom w:val="single" w:color="000000" w:sz="1"/>
              <w:right w:val="single" w:color="000000" w:sz="1"/>
            </w:tcBorders>
          </w:tcPr>
          <w:p>
            <w:pPr>
              <w:jc w:val="left"/>
            </w:pPr>
            <w:r>
              <w:t xml:space="preserve">行业均值：咖啡店~12%，QSR~6-9%</w:t>
            </w:r>
          </w:p>
        </w:tc>
      </w:tr>
      <w:tr>
        <w:tc>
          <w:tcPr>
            <w:tcW w:type="dxa" w:w="1500"/>
            <w:tcBorders>
              <w:top w:val="single" w:color="000000" w:sz="1"/>
              <w:left w:val="single" w:color="000000" w:sz="1"/>
              <w:bottom w:val="single" w:color="000000" w:sz="1"/>
              <w:right w:val="single" w:color="000000" w:sz="1"/>
            </w:tcBorders>
          </w:tcPr>
          <w:p>
            <w:pPr>
              <w:jc w:val="left"/>
            </w:pPr>
            <w:r>
              <w:t xml:space="preserve">租金占营收比</w:t>
            </w:r>
          </w:p>
        </w:tc>
        <w:tc>
          <w:tcPr>
            <w:tcW w:type="dxa" w:w="1200"/>
            <w:tcBorders>
              <w:top w:val="single" w:color="000000" w:sz="1"/>
              <w:left w:val="single" w:color="000000" w:sz="1"/>
              <w:bottom w:val="single" w:color="000000" w:sz="1"/>
              <w:right w:val="single" w:color="000000" w:sz="1"/>
            </w:tcBorders>
          </w:tcPr>
          <w:p>
            <w:pPr>
              <w:jc w:val="left"/>
            </w:pPr>
            <w:r>
              <w:t xml:space="preserve">≤10-15%</w:t>
            </w:r>
          </w:p>
        </w:tc>
        <w:tc>
          <w:tcPr>
            <w:tcW w:type="dxa" w:w="2000"/>
            <w:tcBorders>
              <w:top w:val="single" w:color="000000" w:sz="1"/>
              <w:left w:val="single" w:color="000000" w:sz="1"/>
              <w:bottom w:val="single" w:color="000000" w:sz="1"/>
              <w:right w:val="single" w:color="000000" w:sz="1"/>
            </w:tcBorders>
          </w:tcPr>
          <w:p>
            <w:pPr>
              <w:jc w:val="left"/>
            </w:pPr>
            <w:r>
              <w:t xml:space="preserve">超过15%需警惕</w:t>
            </w:r>
          </w:p>
        </w:tc>
      </w:tr>
      <w:tr>
        <w:tc>
          <w:tcPr>
            <w:tcW w:type="dxa" w:w="1500"/>
            <w:tcBorders>
              <w:top w:val="single" w:color="000000" w:sz="1"/>
              <w:left w:val="single" w:color="000000" w:sz="1"/>
              <w:bottom w:val="single" w:color="000000" w:sz="1"/>
              <w:right w:val="single" w:color="000000" w:sz="1"/>
            </w:tcBorders>
          </w:tcPr>
          <w:p>
            <w:pPr>
              <w:jc w:val="left"/>
            </w:pPr>
            <w:r>
              <w:t xml:space="preserve">坪效（年营收/sqft）</w:t>
            </w:r>
          </w:p>
        </w:tc>
        <w:tc>
          <w:tcPr>
            <w:tcW w:type="dxa" w:w="1200"/>
            <w:tcBorders>
              <w:top w:val="single" w:color="000000" w:sz="1"/>
              <w:left w:val="single" w:color="000000" w:sz="1"/>
              <w:bottom w:val="single" w:color="000000" w:sz="1"/>
              <w:right w:val="single" w:color="000000" w:sz="1"/>
            </w:tcBorders>
          </w:tcPr>
          <w:p>
            <w:pPr>
              <w:jc w:val="left"/>
            </w:pPr>
            <w:r>
              <w:t xml:space="preserve">$400-$1,000+/年</w:t>
            </w:r>
          </w:p>
        </w:tc>
        <w:tc>
          <w:tcPr>
            <w:tcW w:type="dxa" w:w="2000"/>
            <w:tcBorders>
              <w:top w:val="single" w:color="000000" w:sz="1"/>
              <w:left w:val="single" w:color="000000" w:sz="1"/>
              <w:bottom w:val="single" w:color="000000" w:sz="1"/>
              <w:right w:val="single" w:color="000000" w:sz="1"/>
            </w:tcBorders>
          </w:tcPr>
          <w:p>
            <w:pPr>
              <w:jc w:val="left"/>
            </w:pPr>
            <w:r>
              <w:t xml:space="preserve">低于$350信号不佳</w:t>
            </w:r>
          </w:p>
        </w:tc>
      </w:tr>
      <w:tr>
        <w:tc>
          <w:tcPr>
            <w:tcW w:type="dxa" w:w="1500"/>
            <w:tcBorders>
              <w:top w:val="single" w:color="000000" w:sz="1"/>
              <w:left w:val="single" w:color="000000" w:sz="1"/>
              <w:bottom w:val="single" w:color="000000" w:sz="1"/>
              <w:right w:val="single" w:color="000000" w:sz="1"/>
            </w:tcBorders>
          </w:tcPr>
          <w:p>
            <w:pPr>
              <w:jc w:val="left"/>
            </w:pPr>
            <w:r>
              <w:t xml:space="preserve">复购率</w:t>
            </w:r>
          </w:p>
        </w:tc>
        <w:tc>
          <w:tcPr>
            <w:tcW w:type="dxa" w:w="1200"/>
            <w:tcBorders>
              <w:top w:val="single" w:color="000000" w:sz="1"/>
              <w:left w:val="single" w:color="000000" w:sz="1"/>
              <w:bottom w:val="single" w:color="000000" w:sz="1"/>
              <w:right w:val="single" w:color="000000" w:sz="1"/>
            </w:tcBorders>
          </w:tcPr>
          <w:p>
            <w:pPr>
              <w:jc w:val="left"/>
            </w:pPr>
            <w:r>
              <w:t xml:space="preserve">40-60%+</w:t>
            </w:r>
          </w:p>
        </w:tc>
        <w:tc>
          <w:tcPr>
            <w:tcW w:type="dxa" w:w="2000"/>
            <w:tcBorders>
              <w:top w:val="single" w:color="000000" w:sz="1"/>
              <w:left w:val="single" w:color="000000" w:sz="1"/>
              <w:bottom w:val="single" w:color="000000" w:sz="1"/>
              <w:right w:val="single" w:color="000000" w:sz="1"/>
            </w:tcBorders>
          </w:tcPr>
          <w:p>
            <w:pPr>
              <w:jc w:val="left"/>
            </w:pPr>
            <w:r>
              <w:t xml:space="preserve">会员体系至关重要</w:t>
            </w:r>
          </w:p>
        </w:tc>
      </w:tr>
      <w:tr>
        <w:tc>
          <w:tcPr>
            <w:tcW w:type="dxa" w:w="1500"/>
            <w:tcBorders>
              <w:top w:val="single" w:color="000000" w:sz="1"/>
              <w:left w:val="single" w:color="000000" w:sz="1"/>
              <w:bottom w:val="single" w:color="000000" w:sz="1"/>
              <w:right w:val="single" w:color="000000" w:sz="1"/>
            </w:tcBorders>
          </w:tcPr>
          <w:p>
            <w:pPr>
              <w:jc w:val="left"/>
            </w:pPr>
            <w:r>
              <w:t xml:space="preserve">盈亏平衡销量</w:t>
            </w:r>
          </w:p>
        </w:tc>
        <w:tc>
          <w:tcPr>
            <w:tcW w:type="dxa" w:w="1200"/>
            <w:tcBorders>
              <w:top w:val="single" w:color="000000" w:sz="1"/>
              <w:left w:val="single" w:color="000000" w:sz="1"/>
              <w:bottom w:val="single" w:color="000000" w:sz="1"/>
              <w:right w:val="single" w:color="000000" w:sz="1"/>
            </w:tcBorders>
          </w:tcPr>
          <w:p>
            <w:pPr>
              <w:jc w:val="left"/>
            </w:pPr>
            <w:r>
              <w:t xml:space="preserve">60-107杯/日（视成本结构）</w:t>
            </w:r>
          </w:p>
        </w:tc>
        <w:tc>
          <w:tcPr>
            <w:tcW w:type="dxa" w:w="2000"/>
            <w:tcBorders>
              <w:top w:val="single" w:color="000000" w:sz="1"/>
              <w:left w:val="single" w:color="000000" w:sz="1"/>
              <w:bottom w:val="single" w:color="000000" w:sz="1"/>
              <w:right w:val="single" w:color="000000" w:sz="1"/>
            </w:tcBorders>
          </w:tcPr>
          <w:p>
            <w:pPr>
              <w:jc w:val="left"/>
            </w:pPr>
            <w:r>
              <w:t xml:space="preserve">生死线</w:t>
            </w:r>
          </w:p>
        </w:tc>
      </w:tr>
      <w:tr>
        <w:tc>
          <w:tcPr>
            <w:tcW w:type="dxa" w:w="1500"/>
            <w:tcBorders>
              <w:top w:val="single" w:color="000000" w:sz="1"/>
              <w:left w:val="single" w:color="000000" w:sz="1"/>
              <w:bottom w:val="single" w:color="000000" w:sz="1"/>
              <w:right w:val="single" w:color="000000" w:sz="1"/>
            </w:tcBorders>
          </w:tcPr>
          <w:p>
            <w:pPr>
              <w:jc w:val="left"/>
            </w:pPr>
            <w:r>
              <w:t xml:space="preserve">人效（每工时产出）</w:t>
            </w:r>
          </w:p>
        </w:tc>
        <w:tc>
          <w:tcPr>
            <w:tcW w:type="dxa" w:w="1200"/>
            <w:tcBorders>
              <w:top w:val="single" w:color="000000" w:sz="1"/>
              <w:left w:val="single" w:color="000000" w:sz="1"/>
              <w:bottom w:val="single" w:color="000000" w:sz="1"/>
              <w:right w:val="single" w:color="000000" w:sz="1"/>
            </w:tcBorders>
          </w:tcPr>
          <w:p>
            <w:pPr>
              <w:jc w:val="left"/>
            </w:pPr>
            <w:r>
              <w:t xml:space="preserve">动态排班优化</w:t>
            </w:r>
          </w:p>
        </w:tc>
        <w:tc>
          <w:tcPr>
            <w:tcW w:type="dxa" w:w="2000"/>
            <w:tcBorders>
              <w:top w:val="single" w:color="000000" w:sz="1"/>
              <w:left w:val="single" w:color="000000" w:sz="1"/>
              <w:bottom w:val="single" w:color="000000" w:sz="1"/>
              <w:right w:val="single" w:color="000000" w:sz="1"/>
            </w:tcBorders>
          </w:tcPr>
          <w:p>
            <w:pPr>
              <w:jc w:val="left"/>
            </w:pPr>
            <w:r>
              <w:t xml:space="preserve">依营收预测弹性安排</w:t>
            </w:r>
          </w:p>
        </w:tc>
      </w:tr>
    </w:tbl>
    <w:p>
      <w:pPr>
        <w:pStyle w:val="2"/>
        <w:spacing w:after="120" w:before="240" w:line="360" w:lineRule="auto"/>
        <w:outlineLvl w:val="1"/>
      </w:pPr>
      <w:r>
        <w:t xml:space="preserve">10.2 首店 投资闸门 KPI</w:t>
      </w:r>
    </w:p>
    <w:p>
      <w:pPr>
        <w:spacing w:after="120" w:line="360" w:lineRule="auto"/>
        <w:jc w:val="left"/>
      </w:pPr>
      <w:r>
        <w:t xml:space="preserve">作为"是否继续扩张"的决策依据，首店应严格追踪以下KPI：日均订单量（分工作日/周末）、客单价与毛利结构（低糖健康线占比、加料率）、7天/30天复购率与会员渗透率、人效（每工时产出）与高峰出杯速度、外卖占比与单位订单贡献（扣除平台费用后）、食品安全检查"零重大问题"（合规稳定性）。</w:t>
      </w:r>
    </w:p>
    <w:r>
      <w:br w:type="page"/>
    </w:r>
    <w:p>
      <w:pPr>
        <w:pStyle w:val="1"/>
        <w:spacing w:after="120" w:before="240" w:line="360" w:lineRule="auto"/>
        <w:outlineLvl w:val="0"/>
      </w:pPr>
      <w:r>
        <w:t xml:space="preserve">十一、扩张建议</w:t>
      </w:r>
    </w:p>
    <w:p>
      <w:pPr>
        <w:pStyle w:val="2"/>
        <w:spacing w:after="120" w:before="240" w:line="360" w:lineRule="auto"/>
        <w:outlineLvl w:val="1"/>
      </w:pPr>
      <w:r>
        <w:t xml:space="preserve">11.1 三阶段扩张路径</w:t>
      </w:r>
    </w:p>
    <w:p>
      <w:pPr>
        <w:spacing w:after="120" w:line="360" w:lineRule="auto"/>
        <w:jc w:val="left"/>
      </w:pPr>
      <w:r>
        <w:t xml:space="preserve">[冲突提示] 三份草稿在扩张节奏上存在差异，此处并列呈现：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000000" w:sz="1"/>
              <w:left w:val="single" w:color="000000" w:sz="1"/>
              <w:bottom w:val="single" w:color="000000" w:sz="1"/>
              <w:right w:val="single" w:color="000000" w:sz="1"/>
            </w:tcBorders>
            <w:shd w:color="E8E8E8" w:val="clear"/>
          </w:tcPr>
          <w:p>
            <w:pPr>
              <w:jc w:val="center"/>
            </w:pPr>
            <w:r>
              <w:t xml:space="preserve">阶段</w:t>
            </w:r>
          </w:p>
        </w:tc>
        <w:tc>
          <w:tcPr>
            <w:tcW w:type="dxa" w:w="1600"/>
            <w:tcBorders>
              <w:top w:val="single" w:color="000000" w:sz="1"/>
              <w:left w:val="single" w:color="000000" w:sz="1"/>
              <w:bottom w:val="single" w:color="000000" w:sz="1"/>
              <w:right w:val="single" w:color="000000" w:sz="1"/>
            </w:tcBorders>
            <w:shd w:color="E8E8E8" w:val="clear"/>
          </w:tcPr>
          <w:p>
            <w:pPr>
              <w:jc w:val="center"/>
            </w:pPr>
            <w:r>
              <w:t xml:space="preserve">草稿一建议</w:t>
            </w:r>
          </w:p>
        </w:tc>
        <w:tc>
          <w:tcPr>
            <w:tcW w:type="dxa" w:w="1600"/>
            <w:tcBorders>
              <w:top w:val="single" w:color="000000" w:sz="1"/>
              <w:left w:val="single" w:color="000000" w:sz="1"/>
              <w:bottom w:val="single" w:color="000000" w:sz="1"/>
              <w:right w:val="single" w:color="000000" w:sz="1"/>
            </w:tcBorders>
            <w:shd w:color="E8E8E8" w:val="clear"/>
          </w:tcPr>
          <w:p>
            <w:pPr>
              <w:jc w:val="center"/>
            </w:pPr>
            <w:r>
              <w:t xml:space="preserve">草稿二建议</w:t>
            </w:r>
          </w:p>
        </w:tc>
        <w:tc>
          <w:tcPr>
            <w:tcW w:type="dxa" w:w="1600"/>
            <w:tcBorders>
              <w:top w:val="single" w:color="000000" w:sz="1"/>
              <w:left w:val="single" w:color="000000" w:sz="1"/>
              <w:bottom w:val="single" w:color="000000" w:sz="1"/>
              <w:right w:val="single" w:color="000000" w:sz="1"/>
            </w:tcBorders>
            <w:shd w:color="E8E8E8" w:val="clear"/>
          </w:tcPr>
          <w:p>
            <w:pPr>
              <w:jc w:val="center"/>
            </w:pPr>
            <w:r>
              <w:t xml:space="preserve">草稿三建议</w:t>
            </w:r>
          </w:p>
        </w:tc>
      </w:tr>
      <w:tr>
        <w:tc>
          <w:tcPr>
            <w:tcW w:type="dxa" w:w="1200"/>
            <w:tcBorders>
              <w:top w:val="single" w:color="000000" w:sz="1"/>
              <w:left w:val="single" w:color="000000" w:sz="1"/>
              <w:bottom w:val="single" w:color="000000" w:sz="1"/>
              <w:right w:val="single" w:color="000000" w:sz="1"/>
            </w:tcBorders>
          </w:tcPr>
          <w:p>
            <w:pPr>
              <w:jc w:val="left"/>
            </w:pPr>
            <w:r>
              <w:t xml:space="preserve">第一阶段</w:t>
            </w:r>
          </w:p>
        </w:tc>
        <w:tc>
          <w:tcPr>
            <w:tcW w:type="dxa" w:w="1600"/>
            <w:tcBorders>
              <w:top w:val="single" w:color="000000" w:sz="1"/>
              <w:left w:val="single" w:color="000000" w:sz="1"/>
              <w:bottom w:val="single" w:color="000000" w:sz="1"/>
              <w:right w:val="single" w:color="000000" w:sz="1"/>
            </w:tcBorders>
          </w:tcPr>
          <w:p>
            <w:pPr>
              <w:jc w:val="left"/>
            </w:pPr>
            <w:r>
              <w:t xml:space="preserve">0-12个月：2家直营（一高租金高曝光+一低租金高回本）</w:t>
            </w:r>
          </w:p>
        </w:tc>
        <w:tc>
          <w:tcPr>
            <w:tcW w:type="dxa" w:w="1600"/>
            <w:tcBorders>
              <w:top w:val="single" w:color="000000" w:sz="1"/>
              <w:left w:val="single" w:color="000000" w:sz="1"/>
              <w:bottom w:val="single" w:color="000000" w:sz="1"/>
              <w:right w:val="single" w:color="000000" w:sz="1"/>
            </w:tcBorders>
          </w:tcPr>
          <w:p>
            <w:pPr>
              <w:jc w:val="left"/>
            </w:pPr>
            <w:r>
              <w:t xml:space="preserve">0-18个月：1-2家超级单店（万锦/市中心）</w:t>
            </w:r>
          </w:p>
        </w:tc>
        <w:tc>
          <w:tcPr>
            <w:tcW w:type="dxa" w:w="1600"/>
            <w:tcBorders>
              <w:top w:val="single" w:color="000000" w:sz="1"/>
              <w:left w:val="single" w:color="000000" w:sz="1"/>
              <w:bottom w:val="single" w:color="000000" w:sz="1"/>
              <w:right w:val="single" w:color="000000" w:sz="1"/>
            </w:tcBorders>
          </w:tcPr>
          <w:p>
            <w:pPr>
              <w:jc w:val="left"/>
            </w:pPr>
            <w:r>
              <w:t xml:space="preserve">Year 1-2：3-5家公司自营店+配送中心</w:t>
            </w:r>
          </w:p>
        </w:tc>
      </w:tr>
      <w:tr>
        <w:tc>
          <w:tcPr>
            <w:tcW w:type="dxa" w:w="1200"/>
            <w:tcBorders>
              <w:top w:val="single" w:color="000000" w:sz="1"/>
              <w:left w:val="single" w:color="000000" w:sz="1"/>
              <w:bottom w:val="single" w:color="000000" w:sz="1"/>
              <w:right w:val="single" w:color="000000" w:sz="1"/>
            </w:tcBorders>
          </w:tcPr>
          <w:p>
            <w:pPr>
              <w:jc w:val="left"/>
            </w:pPr>
            <w:r>
              <w:t xml:space="preserve">第二阶段</w:t>
            </w:r>
          </w:p>
        </w:tc>
        <w:tc>
          <w:tcPr>
            <w:tcW w:type="dxa" w:w="1600"/>
            <w:tcBorders>
              <w:top w:val="single" w:color="000000" w:sz="1"/>
              <w:left w:val="single" w:color="000000" w:sz="1"/>
              <w:bottom w:val="single" w:color="000000" w:sz="1"/>
              <w:right w:val="single" w:color="000000" w:sz="1"/>
            </w:tcBorders>
          </w:tcPr>
          <w:p>
            <w:pPr>
              <w:jc w:val="left"/>
            </w:pPr>
            <w:r>
              <w:t xml:space="preserve">12-24个月：3-5家直营（Ottawa, KW, GTA外圈）</w:t>
            </w:r>
          </w:p>
        </w:tc>
        <w:tc>
          <w:tcPr>
            <w:tcW w:type="dxa" w:w="1600"/>
            <w:tcBorders>
              <w:top w:val="single" w:color="000000" w:sz="1"/>
              <w:left w:val="single" w:color="000000" w:sz="1"/>
              <w:bottom w:val="single" w:color="000000" w:sz="1"/>
              <w:right w:val="single" w:color="000000" w:sz="1"/>
            </w:tcBorders>
          </w:tcPr>
          <w:p>
            <w:pPr>
              <w:jc w:val="left"/>
            </w:pPr>
            <w:r>
              <w:t xml:space="preserve">1.5-3年：中央厨房+极简卫星店裂变</w:t>
            </w:r>
          </w:p>
        </w:tc>
        <w:tc>
          <w:tcPr>
            <w:tcW w:type="dxa" w:w="1600"/>
            <w:tcBorders>
              <w:top w:val="single" w:color="000000" w:sz="1"/>
              <w:left w:val="single" w:color="000000" w:sz="1"/>
              <w:bottom w:val="single" w:color="000000" w:sz="1"/>
              <w:right w:val="single" w:color="000000" w:sz="1"/>
            </w:tcBorders>
          </w:tcPr>
          <w:p>
            <w:pPr>
              <w:jc w:val="left"/>
            </w:pPr>
            <w:r>
              <w:t xml:space="preserve">Year 2-3：扩展至8-12家覆盖安省</w:t>
            </w:r>
          </w:p>
        </w:tc>
      </w:tr>
      <w:tr>
        <w:tc>
          <w:tcPr>
            <w:tcW w:type="dxa" w:w="1200"/>
            <w:tcBorders>
              <w:top w:val="single" w:color="000000" w:sz="1"/>
              <w:left w:val="single" w:color="000000" w:sz="1"/>
              <w:bottom w:val="single" w:color="000000" w:sz="1"/>
              <w:right w:val="single" w:color="000000" w:sz="1"/>
            </w:tcBorders>
          </w:tcPr>
          <w:p>
            <w:pPr>
              <w:jc w:val="left"/>
            </w:pPr>
            <w:r>
              <w:t xml:space="preserve">第三阶段</w:t>
            </w:r>
          </w:p>
        </w:tc>
        <w:tc>
          <w:tcPr>
            <w:tcW w:type="dxa" w:w="1600"/>
            <w:tcBorders>
              <w:top w:val="single" w:color="000000" w:sz="1"/>
              <w:left w:val="single" w:color="000000" w:sz="1"/>
              <w:bottom w:val="single" w:color="000000" w:sz="1"/>
              <w:right w:val="single" w:color="000000" w:sz="1"/>
            </w:tcBorders>
          </w:tcPr>
          <w:p>
            <w:pPr>
              <w:jc w:val="left"/>
            </w:pPr>
            <w:r>
              <w:t xml:space="preserve">24个月+：直营+加盟混合模式</w:t>
            </w:r>
          </w:p>
        </w:tc>
        <w:tc>
          <w:tcPr>
            <w:tcW w:type="dxa" w:w="1600"/>
            <w:tcBorders>
              <w:top w:val="single" w:color="000000" w:sz="1"/>
              <w:left w:val="single" w:color="000000" w:sz="1"/>
              <w:bottom w:val="single" w:color="000000" w:sz="1"/>
              <w:right w:val="single" w:color="000000" w:sz="1"/>
            </w:tcBorders>
          </w:tcPr>
          <w:p>
            <w:pPr>
              <w:jc w:val="left"/>
            </w:pPr>
            <w:r>
              <w:t xml:space="preserve">3年+：开放特许经营/区域代理</w:t>
            </w:r>
          </w:p>
        </w:tc>
        <w:tc>
          <w:tcPr>
            <w:tcW w:type="dxa" w:w="1600"/>
            <w:tcBorders>
              <w:top w:val="single" w:color="000000" w:sz="1"/>
              <w:left w:val="single" w:color="000000" w:sz="1"/>
              <w:bottom w:val="single" w:color="000000" w:sz="1"/>
              <w:right w:val="single" w:color="000000" w:sz="1"/>
            </w:tcBorders>
          </w:tcPr>
          <w:p>
            <w:pPr>
              <w:jc w:val="left"/>
            </w:pPr>
            <w:r>
              <w:t xml:space="preserve">Year 3-5：跨省扩张（BC、AB、QC）</w:t>
            </w:r>
          </w:p>
        </w:tc>
      </w:tr>
    </w:tbl>
    <w:p>
      <w:pPr>
        <w:pStyle w:val="2"/>
        <w:spacing w:after="120" w:before="240" w:line="360" w:lineRule="auto"/>
        <w:outlineLvl w:val="1"/>
      </w:pPr>
      <w:r>
        <w:t xml:space="preserve">11.2 中央厨房与供应链建设</w:t>
      </w:r>
    </w:p>
    <w:p>
      <w:pPr>
        <w:spacing w:after="120" w:line="360" w:lineRule="auto"/>
        <w:jc w:val="left"/>
      </w:pPr>
      <w:r>
        <w:t xml:space="preserve">建议在GTA工业区（士嘉堡、万锦或密西沙加，平均工业租金约$15.25/sqft）建立配送/中央厨房设施，确保原料品质和产品一致性。中央厨房应负责制备茶浓缩液、预煮配料和管理大宗原料进口，门店仅负责最后组装以保持鲜制感。</w:t>
      </w:r>
    </w:p>
    <w:p>
      <w:pPr>
        <w:pStyle w:val="2"/>
        <w:spacing w:after="120" w:before="240" w:line="360" w:lineRule="auto"/>
        <w:outlineLvl w:val="1"/>
      </w:pPr>
      <w:r>
        <w:t xml:space="preserve">11.3 优先城市排序</w:t>
      </w:r>
    </w:p>
    <w:p>
      <w:pPr>
        <w:spacing w:after="120" w:line="360" w:lineRule="auto"/>
        <w:jc w:val="left"/>
      </w:pPr>
      <w:r>
        <w:t xml:space="preserve">GTA -&gt; 渥太华 -&gt; 基奇纳-剑桥-滑铁卢 -&gt; 汉密尔顿 -&gt; 伦敦</w:t>
      </w:r>
    </w:p>
    <w:p>
      <w:pPr>
        <w:spacing w:after="120" w:line="360" w:lineRule="auto"/>
        <w:jc w:val="left"/>
      </w:pPr>
      <w:r>
        <w:t xml:space="preserve">GTA仍是"品牌验证与产品迭代"最佳试验场；渥太华适合"稳定复购+高客单健康线"；滑铁卢适合"学生+科技从业者"的高频外带模型；汉密尔顿与伦敦适合在单店模型已验证后做"低租金复制"（CBRE, 2025; Statistics Canada, 2021）。</w:t>
      </w:r>
    </w:p>
    <w:r>
      <w:br w:type="page"/>
    </w:r>
    <w:p>
      <w:pPr>
        <w:pStyle w:val="1"/>
        <w:spacing w:after="120" w:before="240" w:line="360" w:lineRule="auto"/>
        <w:outlineLvl w:val="0"/>
      </w:pPr>
      <w:r>
        <w:t xml:space="preserve">十二、结论与执行建议</w:t>
      </w:r>
    </w:p>
    <w:p>
      <w:pPr>
        <w:spacing w:after="120" w:line="360" w:lineRule="auto"/>
        <w:jc w:val="left"/>
      </w:pPr>
      <w:r>
        <w:t xml:space="preserve">安大略省饮品市场为定位明确的中国茶品牌提供了真实的市场机遇——但并非面向通用的珍珠奶茶进入者。数据支撑商业逻辑成立：75%-88%的单杯毛利率、标准店仅需107杯/日即达盈亏平衡、市场规模预计至2033年接近翻倍。人口基础坚实，GTA拥有数十万华裔加拿大居民，且更广泛的消费趋势正朝向健康化、高端化饮品演进。</w:t>
      </w:r>
    </w:p>
    <w:p>
      <w:pPr>
        <w:spacing w:after="120" w:line="360" w:lineRule="auto"/>
        <w:jc w:val="left"/>
      </w:pPr>
      <w:r>
        <w:t xml:space="preserve">关键成功因素并非财务层面，而是战略层面：通过"健康导向、原叶鲜制"的定位开发拥挤市场中最显著的空白。公司自营店（而非加盟）应先行，以维持品质并积累数据。参照HEYTEA 2025年12月的做法，建立本地配送中心对供应链韧性至关重要。品牌必须在中国茶文化与加拿大健康价值观之间架设桥梁，同时避免任何地缘政治失误。</w:t>
      </w:r>
    </w:p>
    <w:r>
      <w:br w:type="page"/>
    </w:r>
    <w:p>
      <w:pPr>
        <w:pStyle w:val="1"/>
        <w:spacing w:after="120" w:before="240" w:line="360" w:lineRule="auto"/>
        <w:outlineLvl w:val="0"/>
      </w:pPr>
      <w:r>
        <w:t xml:space="preserve">附录A：数据冲突对照表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000000" w:sz="1"/>
              <w:left w:val="single" w:color="000000" w:sz="1"/>
              <w:bottom w:val="single" w:color="000000" w:sz="1"/>
              <w:right w:val="single" w:color="000000" w:sz="1"/>
            </w:tcBorders>
            <w:shd w:color="E8E8E8" w:val="clear"/>
          </w:tcPr>
          <w:p>
            <w:pPr>
              <w:jc w:val="center"/>
            </w:pPr>
            <w:r>
              <w:t xml:space="preserve">冲突项</w:t>
            </w:r>
          </w:p>
        </w:tc>
        <w:tc>
          <w:tcPr>
            <w:tcW w:type="dxa" w:w="1200"/>
            <w:tcBorders>
              <w:top w:val="single" w:color="000000" w:sz="1"/>
              <w:left w:val="single" w:color="000000" w:sz="1"/>
              <w:bottom w:val="single" w:color="000000" w:sz="1"/>
              <w:right w:val="single" w:color="000000" w:sz="1"/>
            </w:tcBorders>
            <w:shd w:color="E8E8E8" w:val="clear"/>
          </w:tcPr>
          <w:p>
            <w:pPr>
              <w:jc w:val="center"/>
            </w:pPr>
            <w:r>
              <w:t xml:space="preserve">草稿一数据/观点</w:t>
            </w:r>
          </w:p>
        </w:tc>
        <w:tc>
          <w:tcPr>
            <w:tcW w:type="dxa" w:w="1200"/>
            <w:tcBorders>
              <w:top w:val="single" w:color="000000" w:sz="1"/>
              <w:left w:val="single" w:color="000000" w:sz="1"/>
              <w:bottom w:val="single" w:color="000000" w:sz="1"/>
              <w:right w:val="single" w:color="000000" w:sz="1"/>
            </w:tcBorders>
            <w:shd w:color="E8E8E8" w:val="clear"/>
          </w:tcPr>
          <w:p>
            <w:pPr>
              <w:jc w:val="center"/>
            </w:pPr>
            <w:r>
              <w:t xml:space="preserve">草稿二数据/观点</w:t>
            </w:r>
          </w:p>
        </w:tc>
        <w:tc>
          <w:tcPr>
            <w:tcW w:type="dxa" w:w="1200"/>
            <w:tcBorders>
              <w:top w:val="single" w:color="000000" w:sz="1"/>
              <w:left w:val="single" w:color="000000" w:sz="1"/>
              <w:bottom w:val="single" w:color="000000" w:sz="1"/>
              <w:right w:val="single" w:color="000000" w:sz="1"/>
            </w:tcBorders>
            <w:shd w:color="E8E8E8" w:val="clear"/>
          </w:tcPr>
          <w:p>
            <w:pPr>
              <w:jc w:val="center"/>
            </w:pPr>
            <w:r>
              <w:t xml:space="preserve">草稿三数据/观点</w:t>
            </w:r>
          </w:p>
        </w:tc>
        <w:tc>
          <w:tcPr>
            <w:tcW w:type="dxa" w:w="1400"/>
            <w:tcBorders>
              <w:top w:val="single" w:color="000000" w:sz="1"/>
              <w:left w:val="single" w:color="000000" w:sz="1"/>
              <w:bottom w:val="single" w:color="000000" w:sz="1"/>
              <w:right w:val="single" w:color="000000" w:sz="1"/>
            </w:tcBorders>
            <w:shd w:color="E8E8E8" w:val="clear"/>
          </w:tcPr>
          <w:p>
            <w:pPr>
              <w:jc w:val="center"/>
            </w:pPr>
            <w:r>
              <w:t xml:space="preserve">建议处理方式</w:t>
            </w:r>
          </w:p>
        </w:tc>
      </w:tr>
      <w:tr>
        <w:tc>
          <w:tcPr>
            <w:tcW w:type="dxa" w:w="1200"/>
            <w:tcBorders>
              <w:top w:val="single" w:color="000000" w:sz="1"/>
              <w:left w:val="single" w:color="000000" w:sz="1"/>
              <w:bottom w:val="single" w:color="000000" w:sz="1"/>
              <w:right w:val="single" w:color="000000" w:sz="1"/>
            </w:tcBorders>
          </w:tcPr>
          <w:p>
            <w:pPr>
              <w:jc w:val="left"/>
            </w:pPr>
            <w:r>
              <w:t xml:space="preserve">标准店投资总额</w:t>
            </w:r>
          </w:p>
        </w:tc>
        <w:tc>
          <w:tcPr>
            <w:tcW w:type="dxa" w:w="1200"/>
            <w:tcBorders>
              <w:top w:val="single" w:color="000000" w:sz="1"/>
              <w:left w:val="single" w:color="000000" w:sz="1"/>
              <w:bottom w:val="single" w:color="000000" w:sz="1"/>
              <w:right w:val="single" w:color="000000" w:sz="1"/>
            </w:tcBorders>
          </w:tcPr>
          <w:p>
            <w:pPr>
              <w:jc w:val="left"/>
            </w:pPr>
            <w:r>
              <w:t xml:space="preserve">$28万-$40万</w:t>
            </w:r>
          </w:p>
        </w:tc>
        <w:tc>
          <w:tcPr>
            <w:tcW w:type="dxa" w:w="1200"/>
            <w:tcBorders>
              <w:top w:val="single" w:color="000000" w:sz="1"/>
              <w:left w:val="single" w:color="000000" w:sz="1"/>
              <w:bottom w:val="single" w:color="000000" w:sz="1"/>
              <w:right w:val="single" w:color="000000" w:sz="1"/>
            </w:tcBorders>
          </w:tcPr>
          <w:p>
            <w:pPr>
              <w:jc w:val="left"/>
            </w:pPr>
            <w:r>
              <w:t xml:space="preserve">$24.5万-$43.5万</w:t>
            </w:r>
          </w:p>
        </w:tc>
        <w:tc>
          <w:tcPr>
            <w:tcW w:type="dxa" w:w="1200"/>
            <w:tcBorders>
              <w:top w:val="single" w:color="000000" w:sz="1"/>
              <w:left w:val="single" w:color="000000" w:sz="1"/>
              <w:bottom w:val="single" w:color="000000" w:sz="1"/>
              <w:right w:val="single" w:color="000000" w:sz="1"/>
            </w:tcBorders>
          </w:tcPr>
          <w:p>
            <w:pPr>
              <w:jc w:val="left"/>
            </w:pPr>
            <w:r>
              <w:t xml:space="preserve">$12.95万-$38.2万</w:t>
            </w:r>
          </w:p>
        </w:tc>
        <w:tc>
          <w:tcPr>
            <w:tcW w:type="dxa" w:w="1400"/>
            <w:tcBorders>
              <w:top w:val="single" w:color="000000" w:sz="1"/>
              <w:left w:val="single" w:color="000000" w:sz="1"/>
              <w:bottom w:val="single" w:color="000000" w:sz="1"/>
              <w:right w:val="single" w:color="000000" w:sz="1"/>
            </w:tcBorders>
          </w:tcPr>
          <w:p>
            <w:pPr>
              <w:jc w:val="left"/>
            </w:pPr>
            <w:r>
              <w:t xml:space="preserve">采用$24.5万-$43.5万作为主模型</w:t>
            </w:r>
          </w:p>
        </w:tc>
      </w:tr>
      <w:tr>
        <w:tc>
          <w:tcPr>
            <w:tcW w:type="dxa" w:w="1200"/>
            <w:tcBorders>
              <w:top w:val="single" w:color="000000" w:sz="1"/>
              <w:left w:val="single" w:color="000000" w:sz="1"/>
              <w:bottom w:val="single" w:color="000000" w:sz="1"/>
              <w:right w:val="single" w:color="000000" w:sz="1"/>
            </w:tcBorders>
          </w:tcPr>
          <w:p>
            <w:pPr>
              <w:jc w:val="left"/>
            </w:pPr>
            <w:r>
              <w:t xml:space="preserve">基准客单价</w:t>
            </w:r>
          </w:p>
        </w:tc>
        <w:tc>
          <w:tcPr>
            <w:tcW w:type="dxa" w:w="1200"/>
            <w:tcBorders>
              <w:top w:val="single" w:color="000000" w:sz="1"/>
              <w:left w:val="single" w:color="000000" w:sz="1"/>
              <w:bottom w:val="single" w:color="000000" w:sz="1"/>
              <w:right w:val="single" w:color="000000" w:sz="1"/>
            </w:tcBorders>
          </w:tcPr>
          <w:p>
            <w:pPr>
              <w:jc w:val="left"/>
            </w:pPr>
            <w:r>
              <w:t xml:space="preserve">~$8.50</w:t>
            </w:r>
          </w:p>
        </w:tc>
        <w:tc>
          <w:tcPr>
            <w:tcW w:type="dxa" w:w="1200"/>
            <w:tcBorders>
              <w:top w:val="single" w:color="000000" w:sz="1"/>
              <w:left w:val="single" w:color="000000" w:sz="1"/>
              <w:bottom w:val="single" w:color="000000" w:sz="1"/>
              <w:right w:val="single" w:color="000000" w:sz="1"/>
            </w:tcBorders>
          </w:tcPr>
          <w:p>
            <w:pPr>
              <w:jc w:val="left"/>
            </w:pPr>
            <w:r>
              <w:t xml:space="preserve">$12-$20（复合业态）</w:t>
            </w:r>
          </w:p>
        </w:tc>
        <w:tc>
          <w:tcPr>
            <w:tcW w:type="dxa" w:w="1200"/>
            <w:tcBorders>
              <w:top w:val="single" w:color="000000" w:sz="1"/>
              <w:left w:val="single" w:color="000000" w:sz="1"/>
              <w:bottom w:val="single" w:color="000000" w:sz="1"/>
              <w:right w:val="single" w:color="000000" w:sz="1"/>
            </w:tcBorders>
          </w:tcPr>
          <w:p>
            <w:pPr>
              <w:jc w:val="left"/>
            </w:pPr>
            <w:r>
              <w:t xml:space="preserve">$7.00-$8.00</w:t>
            </w:r>
          </w:p>
        </w:tc>
        <w:tc>
          <w:tcPr>
            <w:tcW w:type="dxa" w:w="1400"/>
            <w:tcBorders>
              <w:top w:val="single" w:color="000000" w:sz="1"/>
              <w:left w:val="single" w:color="000000" w:sz="1"/>
              <w:bottom w:val="single" w:color="000000" w:sz="1"/>
              <w:right w:val="single" w:color="000000" w:sz="1"/>
            </w:tcBorders>
          </w:tcPr>
          <w:p>
            <w:pPr>
              <w:jc w:val="left"/>
            </w:pPr>
            <w:r>
              <w:t xml:space="preserve">纯茶饮用$7.50-$8.50；复合业态另行建模</w:t>
            </w:r>
          </w:p>
        </w:tc>
      </w:tr>
      <w:tr>
        <w:tc>
          <w:tcPr>
            <w:tcW w:type="dxa" w:w="1200"/>
            <w:tcBorders>
              <w:top w:val="single" w:color="000000" w:sz="1"/>
              <w:left w:val="single" w:color="000000" w:sz="1"/>
              <w:bottom w:val="single" w:color="000000" w:sz="1"/>
              <w:right w:val="single" w:color="000000" w:sz="1"/>
            </w:tcBorders>
          </w:tcPr>
          <w:p>
            <w:pPr>
              <w:jc w:val="left"/>
            </w:pPr>
            <w:r>
              <w:t xml:space="preserve">日均基准订单量</w:t>
            </w:r>
          </w:p>
        </w:tc>
        <w:tc>
          <w:tcPr>
            <w:tcW w:type="dxa" w:w="1200"/>
            <w:tcBorders>
              <w:top w:val="single" w:color="000000" w:sz="1"/>
              <w:left w:val="single" w:color="000000" w:sz="1"/>
              <w:bottom w:val="single" w:color="000000" w:sz="1"/>
              <w:right w:val="single" w:color="000000" w:sz="1"/>
            </w:tcBorders>
          </w:tcPr>
          <w:p>
            <w:pPr>
              <w:jc w:val="left"/>
            </w:pPr>
            <w:r>
              <w:t xml:space="preserve">~230单</w:t>
            </w:r>
          </w:p>
        </w:tc>
        <w:tc>
          <w:tcPr>
            <w:tcW w:type="dxa" w:w="1200"/>
            <w:tcBorders>
              <w:top w:val="single" w:color="000000" w:sz="1"/>
              <w:left w:val="single" w:color="000000" w:sz="1"/>
              <w:bottom w:val="single" w:color="000000" w:sz="1"/>
              <w:right w:val="single" w:color="000000" w:sz="1"/>
            </w:tcBorders>
          </w:tcPr>
          <w:p>
            <w:pPr>
              <w:jc w:val="left"/>
            </w:pPr>
            <w:r>
              <w:t xml:space="preserve">150-300杯</w:t>
            </w:r>
          </w:p>
        </w:tc>
        <w:tc>
          <w:tcPr>
            <w:tcW w:type="dxa" w:w="1200"/>
            <w:tcBorders>
              <w:top w:val="single" w:color="000000" w:sz="1"/>
              <w:left w:val="single" w:color="000000" w:sz="1"/>
              <w:bottom w:val="single" w:color="000000" w:sz="1"/>
              <w:right w:val="single" w:color="000000" w:sz="1"/>
            </w:tcBorders>
          </w:tcPr>
          <w:p>
            <w:pPr>
              <w:jc w:val="left"/>
            </w:pPr>
            <w:r>
              <w:t xml:space="preserve">100-400杯（分三情景）</w:t>
            </w:r>
          </w:p>
        </w:tc>
        <w:tc>
          <w:tcPr>
            <w:tcW w:type="dxa" w:w="1400"/>
            <w:tcBorders>
              <w:top w:val="single" w:color="000000" w:sz="1"/>
              <w:left w:val="single" w:color="000000" w:sz="1"/>
              <w:bottom w:val="single" w:color="000000" w:sz="1"/>
              <w:right w:val="single" w:color="000000" w:sz="1"/>
            </w:tcBorders>
          </w:tcPr>
          <w:p>
            <w:pPr>
              <w:jc w:val="left"/>
            </w:pPr>
            <w:r>
              <w:t xml:space="preserve">以180-220杯作为中等偏保守基准</w:t>
            </w:r>
          </w:p>
        </w:tc>
      </w:tr>
      <w:tr>
        <w:tc>
          <w:tcPr>
            <w:tcW w:type="dxa" w:w="1200"/>
            <w:tcBorders>
              <w:top w:val="single" w:color="000000" w:sz="1"/>
              <w:left w:val="single" w:color="000000" w:sz="1"/>
              <w:bottom w:val="single" w:color="000000" w:sz="1"/>
              <w:right w:val="single" w:color="000000" w:sz="1"/>
            </w:tcBorders>
          </w:tcPr>
          <w:p>
            <w:pPr>
              <w:jc w:val="left"/>
            </w:pPr>
            <w:r>
              <w:t xml:space="preserve">EBITDA/净利润率</w:t>
            </w:r>
          </w:p>
        </w:tc>
        <w:tc>
          <w:tcPr>
            <w:tcW w:type="dxa" w:w="1200"/>
            <w:tcBorders>
              <w:top w:val="single" w:color="000000" w:sz="1"/>
              <w:left w:val="single" w:color="000000" w:sz="1"/>
              <w:bottom w:val="single" w:color="000000" w:sz="1"/>
              <w:right w:val="single" w:color="000000" w:sz="1"/>
            </w:tcBorders>
          </w:tcPr>
          <w:p>
            <w:pPr>
              <w:jc w:val="left"/>
            </w:pPr>
            <w:r>
              <w:t xml:space="preserve">行业均值~4.1%</w:t>
            </w:r>
          </w:p>
        </w:tc>
        <w:tc>
          <w:tcPr>
            <w:tcW w:type="dxa" w:w="1200"/>
            <w:tcBorders>
              <w:top w:val="single" w:color="000000" w:sz="1"/>
              <w:left w:val="single" w:color="000000" w:sz="1"/>
              <w:bottom w:val="single" w:color="000000" w:sz="1"/>
              <w:right w:val="single" w:color="000000" w:sz="1"/>
            </w:tcBorders>
          </w:tcPr>
          <w:p>
            <w:pPr>
              <w:jc w:val="left"/>
            </w:pPr>
            <w:r>
              <w:t xml:space="preserve">EBITDA~47%, 净利15-20%</w:t>
            </w:r>
          </w:p>
        </w:tc>
        <w:tc>
          <w:tcPr>
            <w:tcW w:type="dxa" w:w="1200"/>
            <w:tcBorders>
              <w:top w:val="single" w:color="000000" w:sz="1"/>
              <w:left w:val="single" w:color="000000" w:sz="1"/>
              <w:bottom w:val="single" w:color="000000" w:sz="1"/>
              <w:right w:val="single" w:color="000000" w:sz="1"/>
            </w:tcBorders>
          </w:tcPr>
          <w:p>
            <w:pPr>
              <w:jc w:val="left"/>
            </w:pPr>
            <w:r>
              <w:t xml:space="preserve">4.8-32.7%（分情景）</w:t>
            </w:r>
          </w:p>
        </w:tc>
        <w:tc>
          <w:tcPr>
            <w:tcW w:type="dxa" w:w="1400"/>
            <w:tcBorders>
              <w:top w:val="single" w:color="000000" w:sz="1"/>
              <w:left w:val="single" w:color="000000" w:sz="1"/>
              <w:bottom w:val="single" w:color="000000" w:sz="1"/>
              <w:right w:val="single" w:color="000000" w:sz="1"/>
            </w:tcBorders>
          </w:tcPr>
          <w:p>
            <w:pPr>
              <w:jc w:val="left"/>
            </w:pPr>
            <w:r>
              <w:t xml:space="preserve">以10-20%净利润率为合理目标</w:t>
            </w:r>
          </w:p>
        </w:tc>
      </w:tr>
      <w:tr>
        <w:tc>
          <w:tcPr>
            <w:tcW w:type="dxa" w:w="1200"/>
            <w:tcBorders>
              <w:top w:val="single" w:color="000000" w:sz="1"/>
              <w:left w:val="single" w:color="000000" w:sz="1"/>
              <w:bottom w:val="single" w:color="000000" w:sz="1"/>
              <w:right w:val="single" w:color="000000" w:sz="1"/>
            </w:tcBorders>
          </w:tcPr>
          <w:p>
            <w:pPr>
              <w:jc w:val="left"/>
            </w:pPr>
            <w:r>
              <w:t xml:space="preserve">最快回本期</w:t>
            </w:r>
          </w:p>
        </w:tc>
        <w:tc>
          <w:tcPr>
            <w:tcW w:type="dxa" w:w="1200"/>
            <w:tcBorders>
              <w:top w:val="single" w:color="000000" w:sz="1"/>
              <w:left w:val="single" w:color="000000" w:sz="1"/>
              <w:bottom w:val="single" w:color="000000" w:sz="1"/>
              <w:right w:val="single" w:color="000000" w:sz="1"/>
            </w:tcBorders>
          </w:tcPr>
          <w:p>
            <w:pPr>
              <w:jc w:val="left"/>
            </w:pPr>
            <w:r>
              <w:t xml:space="preserve">~3年（基准IRR中高十位数）</w:t>
            </w:r>
          </w:p>
        </w:tc>
        <w:tc>
          <w:tcPr>
            <w:tcW w:type="dxa" w:w="1200"/>
            <w:tcBorders>
              <w:top w:val="single" w:color="000000" w:sz="1"/>
              <w:left w:val="single" w:color="000000" w:sz="1"/>
              <w:bottom w:val="single" w:color="000000" w:sz="1"/>
              <w:right w:val="single" w:color="000000" w:sz="1"/>
            </w:tcBorders>
          </w:tcPr>
          <w:p>
            <w:pPr>
              <w:jc w:val="left"/>
            </w:pPr>
            <w:r>
              <w:t xml:space="preserve">8-12个月（超级单店）</w:t>
            </w:r>
          </w:p>
        </w:tc>
        <w:tc>
          <w:tcPr>
            <w:tcW w:type="dxa" w:w="1200"/>
            <w:tcBorders>
              <w:top w:val="single" w:color="000000" w:sz="1"/>
              <w:left w:val="single" w:color="000000" w:sz="1"/>
              <w:bottom w:val="single" w:color="000000" w:sz="1"/>
              <w:right w:val="single" w:color="000000" w:sz="1"/>
            </w:tcBorders>
          </w:tcPr>
          <w:p>
            <w:pPr>
              <w:jc w:val="left"/>
            </w:pPr>
            <w:r>
              <w:t xml:space="preserve">17-31个月（标准店）</w:t>
            </w:r>
          </w:p>
        </w:tc>
        <w:tc>
          <w:tcPr>
            <w:tcW w:type="dxa" w:w="1400"/>
            <w:tcBorders>
              <w:top w:val="single" w:color="000000" w:sz="1"/>
              <w:left w:val="single" w:color="000000" w:sz="1"/>
              <w:bottom w:val="single" w:color="000000" w:sz="1"/>
              <w:right w:val="single" w:color="000000" w:sz="1"/>
            </w:tcBorders>
          </w:tcPr>
          <w:p>
            <w:pPr>
              <w:jc w:val="left"/>
            </w:pPr>
            <w:r>
              <w:t xml:space="preserve">以17-31个月作为现实预期</w:t>
            </w:r>
          </w:p>
        </w:tc>
      </w:tr>
      <w:tr>
        <w:tc>
          <w:tcPr>
            <w:tcW w:type="dxa" w:w="1200"/>
            <w:tcBorders>
              <w:top w:val="single" w:color="000000" w:sz="1"/>
              <w:left w:val="single" w:color="000000" w:sz="1"/>
              <w:bottom w:val="single" w:color="000000" w:sz="1"/>
              <w:right w:val="single" w:color="000000" w:sz="1"/>
            </w:tcBorders>
          </w:tcPr>
          <w:p>
            <w:pPr>
              <w:jc w:val="left"/>
            </w:pPr>
            <w:r>
              <w:t xml:space="preserve">盈亏平衡点</w:t>
            </w:r>
          </w:p>
        </w:tc>
        <w:tc>
          <w:tcPr>
            <w:tcW w:type="dxa" w:w="1200"/>
            <w:tcBorders>
              <w:top w:val="single" w:color="000000" w:sz="1"/>
              <w:left w:val="single" w:color="000000" w:sz="1"/>
              <w:bottom w:val="single" w:color="000000" w:sz="1"/>
              <w:right w:val="single" w:color="000000" w:sz="1"/>
            </w:tcBorders>
          </w:tcPr>
          <w:p>
            <w:pPr>
              <w:jc w:val="left"/>
            </w:pPr>
            <w:r>
              <w:t xml:space="preserve">未明确提出具体杯数</w:t>
            </w:r>
          </w:p>
        </w:tc>
        <w:tc>
          <w:tcPr>
            <w:tcW w:type="dxa" w:w="1200"/>
            <w:tcBorders>
              <w:top w:val="single" w:color="000000" w:sz="1"/>
              <w:left w:val="single" w:color="000000" w:sz="1"/>
              <w:bottom w:val="single" w:color="000000" w:sz="1"/>
              <w:right w:val="single" w:color="000000" w:sz="1"/>
            </w:tcBorders>
          </w:tcPr>
          <w:p>
            <w:pPr>
              <w:jc w:val="left"/>
            </w:pPr>
            <w:r>
              <w:t xml:space="preserve">60-80单/日</w:t>
            </w:r>
          </w:p>
        </w:tc>
        <w:tc>
          <w:tcPr>
            <w:tcW w:type="dxa" w:w="1200"/>
            <w:tcBorders>
              <w:top w:val="single" w:color="000000" w:sz="1"/>
              <w:left w:val="single" w:color="000000" w:sz="1"/>
              <w:bottom w:val="single" w:color="000000" w:sz="1"/>
              <w:right w:val="single" w:color="000000" w:sz="1"/>
            </w:tcBorders>
          </w:tcPr>
          <w:p>
            <w:pPr>
              <w:jc w:val="left"/>
            </w:pPr>
            <w:r>
              <w:t xml:space="preserve">107杯/日（标准店）</w:t>
            </w:r>
          </w:p>
        </w:tc>
        <w:tc>
          <w:tcPr>
            <w:tcW w:type="dxa" w:w="1400"/>
            <w:tcBorders>
              <w:top w:val="single" w:color="000000" w:sz="1"/>
              <w:left w:val="single" w:color="000000" w:sz="1"/>
              <w:bottom w:val="single" w:color="000000" w:sz="1"/>
              <w:right w:val="single" w:color="000000" w:sz="1"/>
            </w:tcBorders>
          </w:tcPr>
          <w:p>
            <w:pPr>
              <w:jc w:val="left"/>
            </w:pPr>
            <w:r>
              <w:t xml:space="preserve">以107杯/日作为标准店基准</w:t>
            </w:r>
          </w:p>
        </w:tc>
      </w:tr>
      <w:tr>
        <w:tc>
          <w:tcPr>
            <w:tcW w:type="dxa" w:w="1200"/>
            <w:tcBorders>
              <w:top w:val="single" w:color="000000" w:sz="1"/>
              <w:left w:val="single" w:color="000000" w:sz="1"/>
              <w:bottom w:val="single" w:color="000000" w:sz="1"/>
              <w:right w:val="single" w:color="000000" w:sz="1"/>
            </w:tcBorders>
          </w:tcPr>
          <w:p>
            <w:pPr>
              <w:jc w:val="left"/>
            </w:pPr>
            <w:r>
              <w:t xml:space="preserve">扩张第一阶段时长</w:t>
            </w:r>
          </w:p>
        </w:tc>
        <w:tc>
          <w:tcPr>
            <w:tcW w:type="dxa" w:w="1200"/>
            <w:tcBorders>
              <w:top w:val="single" w:color="000000" w:sz="1"/>
              <w:left w:val="single" w:color="000000" w:sz="1"/>
              <w:bottom w:val="single" w:color="000000" w:sz="1"/>
              <w:right w:val="single" w:color="000000" w:sz="1"/>
            </w:tcBorders>
          </w:tcPr>
          <w:p>
            <w:pPr>
              <w:jc w:val="left"/>
            </w:pPr>
            <w:r>
              <w:t xml:space="preserve">0-12个月</w:t>
            </w:r>
          </w:p>
        </w:tc>
        <w:tc>
          <w:tcPr>
            <w:tcW w:type="dxa" w:w="1200"/>
            <w:tcBorders>
              <w:top w:val="single" w:color="000000" w:sz="1"/>
              <w:left w:val="single" w:color="000000" w:sz="1"/>
              <w:bottom w:val="single" w:color="000000" w:sz="1"/>
              <w:right w:val="single" w:color="000000" w:sz="1"/>
            </w:tcBorders>
          </w:tcPr>
          <w:p>
            <w:pPr>
              <w:jc w:val="left"/>
            </w:pPr>
            <w:r>
              <w:t xml:space="preserve">0-18个月</w:t>
            </w:r>
          </w:p>
        </w:tc>
        <w:tc>
          <w:tcPr>
            <w:tcW w:type="dxa" w:w="1200"/>
            <w:tcBorders>
              <w:top w:val="single" w:color="000000" w:sz="1"/>
              <w:left w:val="single" w:color="000000" w:sz="1"/>
              <w:bottom w:val="single" w:color="000000" w:sz="1"/>
              <w:right w:val="single" w:color="000000" w:sz="1"/>
            </w:tcBorders>
          </w:tcPr>
          <w:p>
            <w:pPr>
              <w:jc w:val="left"/>
            </w:pPr>
            <w:r>
              <w:t xml:space="preserve">Year 1-2</w:t>
            </w:r>
          </w:p>
        </w:tc>
        <w:tc>
          <w:tcPr>
            <w:tcW w:type="dxa" w:w="1400"/>
            <w:tcBorders>
              <w:top w:val="single" w:color="000000" w:sz="1"/>
              <w:left w:val="single" w:color="000000" w:sz="1"/>
              <w:bottom w:val="single" w:color="000000" w:sz="1"/>
              <w:right w:val="single" w:color="000000" w:sz="1"/>
            </w:tcBorders>
          </w:tcPr>
          <w:p>
            <w:pPr>
              <w:jc w:val="left"/>
            </w:pPr>
            <w:r>
              <w:t xml:space="preserve">以12-18个月为宜</w:t>
            </w:r>
          </w:p>
        </w:tc>
      </w:tr>
      <w:tr>
        <w:tc>
          <w:tcPr>
            <w:tcW w:type="dxa" w:w="1200"/>
            <w:tcBorders>
              <w:top w:val="single" w:color="000000" w:sz="1"/>
              <w:left w:val="single" w:color="000000" w:sz="1"/>
              <w:bottom w:val="single" w:color="000000" w:sz="1"/>
              <w:right w:val="single" w:color="000000" w:sz="1"/>
            </w:tcBorders>
          </w:tcPr>
          <w:p>
            <w:pPr>
              <w:jc w:val="left"/>
            </w:pPr>
            <w:r>
              <w:t xml:space="preserve">产品策略重心</w:t>
            </w:r>
          </w:p>
        </w:tc>
        <w:tc>
          <w:tcPr>
            <w:tcW w:type="dxa" w:w="1200"/>
            <w:tcBorders>
              <w:top w:val="single" w:color="000000" w:sz="1"/>
              <w:left w:val="single" w:color="000000" w:sz="1"/>
              <w:bottom w:val="single" w:color="000000" w:sz="1"/>
              <w:right w:val="single" w:color="000000" w:sz="1"/>
            </w:tcBorders>
          </w:tcPr>
          <w:p>
            <w:pPr>
              <w:jc w:val="left"/>
            </w:pPr>
            <w:r>
              <w:t xml:space="preserve">咖啡+茶饮+低糖健康三线</w:t>
            </w:r>
          </w:p>
        </w:tc>
        <w:tc>
          <w:tcPr>
            <w:tcW w:type="dxa" w:w="1200"/>
            <w:tcBorders>
              <w:top w:val="single" w:color="000000" w:sz="1"/>
              <w:left w:val="single" w:color="000000" w:sz="1"/>
              <w:bottom w:val="single" w:color="000000" w:sz="1"/>
              <w:right w:val="single" w:color="000000" w:sz="1"/>
            </w:tcBorders>
          </w:tcPr>
          <w:p>
            <w:pPr>
              <w:jc w:val="left"/>
            </w:pPr>
            <w:r>
              <w:t xml:space="preserve">TCM草本差异化+复合业态</w:t>
            </w:r>
          </w:p>
        </w:tc>
        <w:tc>
          <w:tcPr>
            <w:tcW w:type="dxa" w:w="1200"/>
            <w:tcBorders>
              <w:top w:val="single" w:color="000000" w:sz="1"/>
              <w:left w:val="single" w:color="000000" w:sz="1"/>
              <w:bottom w:val="single" w:color="000000" w:sz="1"/>
              <w:right w:val="single" w:color="000000" w:sz="1"/>
            </w:tcBorders>
          </w:tcPr>
          <w:p>
            <w:pPr>
              <w:jc w:val="left"/>
            </w:pPr>
            <w:r>
              <w:t xml:space="preserve">原叶鲜制茶+健康导向</w:t>
            </w:r>
          </w:p>
        </w:tc>
        <w:tc>
          <w:tcPr>
            <w:tcW w:type="dxa" w:w="1400"/>
            <w:tcBorders>
              <w:top w:val="single" w:color="000000" w:sz="1"/>
              <w:left w:val="single" w:color="000000" w:sz="1"/>
              <w:bottom w:val="single" w:color="000000" w:sz="1"/>
              <w:right w:val="single" w:color="000000" w:sz="1"/>
            </w:tcBorders>
          </w:tcPr>
          <w:p>
            <w:pPr>
              <w:jc w:val="left"/>
            </w:pPr>
            <w:r>
              <w:t xml:space="preserve">以原叶鲜制+健康导向为主线，TCM作为差异化补充</w:t>
            </w:r>
          </w:p>
        </w:tc>
      </w:tr>
    </w:tbl>
    <w:r>
      <w:br w:type="page"/>
    </w:r>
    <w:p>
      <w:pPr>
        <w:pStyle w:val="1"/>
        <w:spacing w:after="120" w:before="240" w:line="360" w:lineRule="auto"/>
        <w:outlineLvl w:val="0"/>
      </w:pPr>
      <w:r>
        <w:t xml:space="preserve">参考文献</w:t>
      </w:r>
    </w:p>
    <w:p>
      <w:pPr>
        <w:spacing w:after="120" w:line="360" w:lineRule="auto"/>
        <w:jc w:val="left"/>
      </w:pPr>
      <w:r>
        <w:t xml:space="preserve">AM800. (2026). Non-alcoholic, health-conscious drinks still in high demand as tastes shift: report. https://www.am800cklw.com/news/non-alcoholic-health-conscious-drinks-still-in-high-demand-as-tastes-shift-report.html</w:t>
      </w:r>
    </w:p>
    <w:p>
      <w:pPr>
        <w:spacing w:after="120" w:line="360" w:lineRule="auto"/>
        <w:jc w:val="left"/>
      </w:pPr>
      <w:r>
        <w:t xml:space="preserve">Asia Food Beverages. (2026). Growing trend to incorporate TCM into beverages. https://asiafoodbeverages.com/growing-trend-to-incorporate-tcm-into-beverages/</w:t>
      </w:r>
    </w:p>
    <w:p>
      <w:pPr>
        <w:spacing w:after="120" w:line="360" w:lineRule="auto"/>
        <w:jc w:val="left"/>
      </w:pPr>
      <w:r>
        <w:t xml:space="preserve">Avison Young. (2024). Greater Toronto industrial market report, Q2 2024. https://www.avisonyoung.ca/documents/d/toronto-gta/gta-industrial-market-report-q2-2024-</w:t>
      </w:r>
    </w:p>
    <w:p>
      <w:pPr>
        <w:spacing w:after="120" w:line="360" w:lineRule="auto"/>
        <w:jc w:val="left"/>
      </w:pPr>
      <w:r>
        <w:t xml:space="preserve">Boba Tea Distribution. (2026). Boba Tea Distribution: Wholesale Boba Tea. https://bobatea.ca/</w:t>
      </w:r>
    </w:p>
    <w:p>
      <w:pPr>
        <w:spacing w:after="120" w:line="360" w:lineRule="auto"/>
        <w:jc w:val="left"/>
      </w:pPr>
      <w:r>
        <w:t xml:space="preserve">Booster Juice. (2026). Our story. https://boosterjuice.com/pages/our-story</w:t>
      </w:r>
    </w:p>
    <w:p>
      <w:pPr>
        <w:spacing w:after="120" w:line="360" w:lineRule="auto"/>
        <w:jc w:val="left"/>
      </w:pPr>
      <w:r>
        <w:t xml:space="preserve">BubbleTeaology. (2026). How much profit do bubble tea shops make? https://www.bubbleteaology.com/how-much-profit-do-bubble-tea-shops-make/</w:t>
      </w:r>
    </w:p>
    <w:p>
      <w:pPr>
        <w:spacing w:after="120" w:line="360" w:lineRule="auto"/>
        <w:jc w:val="left"/>
      </w:pPr>
      <w:r>
        <w:t xml:space="preserve">CBSA. (2026). Importing by mail or courier: Paying duty and/or taxes on imported goods. https://www.cbsa-asfc.gc.ca/import/postal-postale/dtytx-drttx-eng.html</w:t>
      </w:r>
    </w:p>
    <w:p>
      <w:pPr>
        <w:spacing w:after="120" w:line="360" w:lineRule="auto"/>
        <w:jc w:val="left"/>
      </w:pPr>
      <w:r>
        <w:t xml:space="preserve">CBRE. (2025). Canada retail rent survey, H2 2025. https://www.cbre.ca/insights/Reports/Retail-rent-survey/</w:t>
      </w:r>
    </w:p>
    <w:p>
      <w:pPr>
        <w:spacing w:after="120" w:line="360" w:lineRule="auto"/>
        <w:jc w:val="left"/>
      </w:pPr>
      <w:r>
        <w:t xml:space="preserve">Chatime Canada. (2026). Franchising. https://chatime.ca/franchising/</w:t>
      </w:r>
    </w:p>
    <w:p>
      <w:pPr>
        <w:spacing w:after="120" w:line="360" w:lineRule="auto"/>
        <w:jc w:val="left"/>
      </w:pPr>
      <w:r>
        <w:t xml:space="preserve">Chatime US. (2026). Franchise. https://chatime.com/franchise/</w:t>
      </w:r>
    </w:p>
    <w:p>
      <w:pPr>
        <w:spacing w:after="120" w:line="360" w:lineRule="auto"/>
        <w:jc w:val="left"/>
      </w:pPr>
      <w:r>
        <w:t xml:space="preserve">China.org. (2025). Across China: Herbal drinks brew new wellness trend among Chinese youth. http://www.china.org.cn/china/Off_the_Wire/2025-10/11/content_118119047.shtml</w:t>
      </w:r>
    </w:p>
    <w:p>
      <w:pPr>
        <w:spacing w:after="120" w:line="360" w:lineRule="auto"/>
        <w:jc w:val="left"/>
      </w:pPr>
      <w:r>
        <w:t xml:space="preserve">CloudKitchens. (2026). How much do food delivery apps cost restaurants? https://cloudkitchens.com/blog/delivery-app-fees</w:t>
      </w:r>
    </w:p>
    <w:p>
      <w:pPr>
        <w:spacing w:after="120" w:line="360" w:lineRule="auto"/>
        <w:jc w:val="left"/>
      </w:pPr>
      <w:r>
        <w:t xml:space="preserve">CoCo Fresh Tea &amp; Juice Canada. (2026). Locations. https://www.cocofreshtea.ca/locations/</w:t>
      </w:r>
    </w:p>
    <w:p>
      <w:pPr>
        <w:spacing w:after="120" w:line="360" w:lineRule="auto"/>
        <w:jc w:val="left"/>
      </w:pPr>
      <w:r>
        <w:t xml:space="preserve">Cushman &amp; Wakefield. (2026). Office fit-out cost guide 2026, CA. https://www.cushmanwakefield.com/en/canada/insights/office-fit-out-cost-guide</w:t>
      </w:r>
    </w:p>
    <w:p>
      <w:pPr>
        <w:spacing w:after="120" w:line="360" w:lineRule="auto"/>
        <w:jc w:val="left"/>
      </w:pPr>
      <w:r>
        <w:t xml:space="preserve">Euromonitor International. (2026). HW soft drinks in Canada: Market research report. https://www.euromonitor.com/hw-soft-drinks-in-canada/report</w:t>
      </w:r>
    </w:p>
    <w:p>
      <w:pPr>
        <w:spacing w:after="120" w:line="360" w:lineRule="auto"/>
        <w:jc w:val="left"/>
      </w:pPr>
      <w:r>
        <w:t xml:space="preserve">Fantuan. (2025). Fantuan leans on authenticity to compete in delivery space. Food On Demand. https://foodondemand.com/12092025/fantuan-leans-on-authenticity-to-compete-in-delivery-space/</w:t>
      </w:r>
    </w:p>
    <w:p>
      <w:pPr>
        <w:spacing w:after="120" w:line="360" w:lineRule="auto"/>
        <w:jc w:val="left"/>
      </w:pPr>
      <w:r>
        <w:t xml:space="preserve">Financial Models Lab. (2026). Bubble tea shop owner income: $881K to $39M. https://financialmodelslab.com/blogs/how-much-makes/bubble-tea-shop</w:t>
      </w:r>
    </w:p>
    <w:p>
      <w:pPr>
        <w:spacing w:after="120" w:line="360" w:lineRule="auto"/>
        <w:jc w:val="left"/>
      </w:pPr>
      <w:r>
        <w:t xml:space="preserve">Financial Models Lab. (2026). 7 strategies to boost bubble tea shop profit margins (47%). https://financialmodelslab.com/blogs/profitability/bubble-tea-shop</w:t>
      </w:r>
    </w:p>
    <w:p>
      <w:pPr>
        <w:spacing w:after="120" w:line="360" w:lineRule="auto"/>
        <w:jc w:val="left"/>
      </w:pPr>
      <w:r>
        <w:t xml:space="preserve">Food Guide Canada. (2026). Section 2: Foods and beverages that undermine healthy eating. https://food-guide.canada.ca/en/guidelines/section-2-foods-and-beverages-undermine-healthy-eating/</w:t>
      </w:r>
    </w:p>
    <w:p>
      <w:pPr>
        <w:spacing w:after="120" w:line="360" w:lineRule="auto"/>
        <w:jc w:val="left"/>
      </w:pPr>
      <w:r>
        <w:t xml:space="preserve">Fortune Business Insights. (2026). Canada bubble tea market size, share, analysis report [2032]. https://www.fortunebusinessinsights.com/canada-bubble-tea-market-107499</w:t>
      </w:r>
    </w:p>
    <w:p>
      <w:pPr>
        <w:spacing w:after="120" w:line="360" w:lineRule="auto"/>
        <w:jc w:val="left"/>
      </w:pPr>
      <w:r>
        <w:t xml:space="preserve">Global Affairs Chicago. (2026). How does Asian food delivery app Fantuan compete with Uber Eats and Grub Hub in Chicago? https://globalaffairs.org/commentary-and-analysis/blogs/chicagoglobal/how-does-asian-food-delivery-app-fantuan-compete-uber-eats-and-grub</w:t>
      </w:r>
    </w:p>
    <w:p>
      <w:pPr>
        <w:spacing w:after="120" w:line="360" w:lineRule="auto"/>
        <w:jc w:val="left"/>
      </w:pPr>
      <w:r>
        <w:t xml:space="preserve">Golden Panda. (2026). Canada's trusted bubble tea ingredient supplier. https://www.goldenpandafood.com/</w:t>
      </w:r>
    </w:p>
    <w:p>
      <w:pPr>
        <w:spacing w:after="120" w:line="360" w:lineRule="auto"/>
        <w:jc w:val="left"/>
      </w:pPr>
      <w:r>
        <w:t xml:space="preserve">Gong Cha Canada. (2026). Locations. https://gong-cha.ca/locations-2/</w:t>
      </w:r>
    </w:p>
    <w:p>
      <w:pPr>
        <w:spacing w:after="120" w:line="360" w:lineRule="auto"/>
        <w:jc w:val="left"/>
      </w:pPr>
      <w:r>
        <w:t xml:space="preserve">Grand View Research. (2026). Canada coffee market size &amp; outlook, 2026-2033. https://www.grandviewresearch.com/horizon/outlook/coffee-market/canada</w:t>
      </w:r>
    </w:p>
    <w:p>
      <w:pPr>
        <w:spacing w:after="120" w:line="360" w:lineRule="auto"/>
        <w:jc w:val="left"/>
      </w:pPr>
      <w:r>
        <w:t xml:space="preserve">Grand View Research. (2026). Canada tea market size &amp; outlook, 2026-2033. https://www.grandviewresearch.com/horizon/outlook/tea-market/canada</w:t>
      </w:r>
    </w:p>
    <w:p>
      <w:pPr>
        <w:spacing w:after="120" w:line="360" w:lineRule="auto"/>
        <w:jc w:val="left"/>
      </w:pPr>
      <w:r>
        <w:t xml:space="preserve">GrowthFactor.ai. (2026). Boba tea franchise: Costs, brands &amp; how to pick the right location. https://www.growthfactor.ai/resources/blog/boba-tea-franchise</w:t>
      </w:r>
    </w:p>
    <w:p>
      <w:pPr>
        <w:spacing w:after="120" w:line="360" w:lineRule="auto"/>
        <w:jc w:val="left"/>
      </w:pPr>
      <w:r>
        <w:t xml:space="preserve">Health Canada. (2026). Caffeinated energy drinks. https://www.canada.ca/en/health-canada/services/food-nutrition/supplemented-foods/caffeinated-energy-drinks.html</w:t>
      </w:r>
    </w:p>
    <w:p>
      <w:pPr>
        <w:spacing w:after="120" w:line="360" w:lineRule="auto"/>
        <w:jc w:val="left"/>
      </w:pPr>
      <w:r>
        <w:t xml:space="preserve">Health Canada. (2026). Front-of-package nutrition labelling. https://www.canada.ca/en/health-canada/services/food-nutrition/nutrition-labelling/front-package.html</w:t>
      </w:r>
    </w:p>
    <w:p>
      <w:pPr>
        <w:spacing w:after="120" w:line="360" w:lineRule="auto"/>
        <w:jc w:val="left"/>
      </w:pPr>
      <w:r>
        <w:t xml:space="preserve">Health Canada. (2026). Nutrition claims. https://www.canada.ca/en/health-canada/services/food-nutrition/nutrition-labelling/nutrition-claims.html</w:t>
      </w:r>
    </w:p>
    <w:p>
      <w:pPr>
        <w:spacing w:after="120" w:line="360" w:lineRule="auto"/>
        <w:jc w:val="left"/>
      </w:pPr>
      <w:r>
        <w:t xml:space="preserve">IFPG. (2026). Chatime franchise cost and requirements for 2026. https://www.ifpg.org/top-franchises/chatime</w:t>
      </w:r>
    </w:p>
    <w:p>
      <w:pPr>
        <w:spacing w:after="120" w:line="360" w:lineRule="auto"/>
        <w:jc w:val="left"/>
      </w:pPr>
      <w:r>
        <w:t xml:space="preserve">Immigration, Refugees and Citizenship Canada. (2024). International student population data. https://www.canada.ca/en/immigration-refugees-citizenship/corporate/transparency/committees/ollo-november-4-2024/international-student-population.html</w:t>
      </w:r>
    </w:p>
    <w:p>
      <w:pPr>
        <w:spacing w:after="120" w:line="360" w:lineRule="auto"/>
        <w:jc w:val="left"/>
      </w:pPr>
      <w:r>
        <w:t xml:space="preserve">Inspection Canada (CFIA). (2026). No added sugars nutrient content claims. https://inspection.canada.ca/en/food-labels/labelling/industry/nutrient-content/no-added-sugars</w:t>
      </w:r>
    </w:p>
    <w:p>
      <w:pPr>
        <w:spacing w:after="120" w:line="360" w:lineRule="auto"/>
        <w:jc w:val="left"/>
      </w:pPr>
      <w:r>
        <w:t xml:space="preserve">Intel Market Research. (2026). New style tea drinks market outlook 2026-2034. https://www.intelmarketresearch.com/global-new-style-tea-drinks-forecast-market-27173</w:t>
      </w:r>
    </w:p>
    <w:p>
      <w:pPr>
        <w:spacing w:after="120" w:line="360" w:lineRule="auto"/>
        <w:jc w:val="left"/>
      </w:pPr>
      <w:r>
        <w:t xml:space="preserve">Introspective Market Research. (2026). Canada coffee market overview and growth trends. https://introspectivemarketresearch.com/reports/canada-coffee-market/</w:t>
      </w:r>
    </w:p>
    <w:p>
      <w:pPr>
        <w:spacing w:after="120" w:line="360" w:lineRule="auto"/>
        <w:jc w:val="left"/>
      </w:pPr>
      <w:r>
        <w:t xml:space="preserve">Jugo Juice. (2026). Find a location. https://jugojuice.com/find-a-location/</w:t>
      </w:r>
    </w:p>
    <w:p>
      <w:pPr>
        <w:spacing w:after="120" w:line="360" w:lineRule="auto"/>
        <w:jc w:val="left"/>
      </w:pPr>
      <w:r>
        <w:t xml:space="preserve">KBD Insurance. (2026). The complete guide to business insurance costs in Ontario. https://kbdinsurance.com/blog/business-insurance-cost-ontario/</w:t>
      </w:r>
    </w:p>
    <w:p>
      <w:pPr>
        <w:spacing w:after="120" w:line="360" w:lineRule="auto"/>
        <w:jc w:val="left"/>
      </w:pPr>
      <w:r>
        <w:t xml:space="preserve">KitchenHub. (2026). What marketplaces aren't telling you: How commission models are quietly changing in 2026. https://www.trykitchenhub.com/post/what-marketplaces-arent-telling-you-how-commission-models-are-quietly-changing</w:t>
      </w:r>
    </w:p>
    <w:p>
      <w:pPr>
        <w:spacing w:after="120" w:line="360" w:lineRule="auto"/>
        <w:jc w:val="left"/>
      </w:pPr>
      <w:r>
        <w:t xml:space="preserve">Kung Fu Tea Ontario. (2026). Locations. https://www.kungfuteaontario.com/en/locations</w:t>
      </w:r>
    </w:p>
    <w:p>
      <w:pPr>
        <w:spacing w:after="120" w:line="360" w:lineRule="auto"/>
        <w:jc w:val="left"/>
      </w:pPr>
      <w:r>
        <w:t xml:space="preserve">Markham Business. (2026). The numbers make sense. https://markhambusiness.ca/why-markham/business-cost</w:t>
      </w:r>
    </w:p>
    <w:p>
      <w:pPr>
        <w:spacing w:after="120" w:line="360" w:lineRule="auto"/>
        <w:jc w:val="left"/>
      </w:pPr>
      <w:r>
        <w:t xml:space="preserve">Markham. (2024). Comprehensive Zoning By-law. https://www.markham.ca/sites/default/files/2024-06/Comprehensive%2BZoning%2BBy-law.pdf</w:t>
      </w:r>
    </w:p>
    <w:p>
      <w:pPr>
        <w:spacing w:after="120" w:line="360" w:lineRule="auto"/>
        <w:jc w:val="left"/>
      </w:pPr>
      <w:r>
        <w:t xml:space="preserve">Markham. (2026). PMIR: ZBA for Parking and TDM Standards. https://www.markham.ca/sites/default/files/2026-01/PMIR.pdf</w:t>
      </w:r>
    </w:p>
    <w:p>
      <w:pPr>
        <w:spacing w:after="120" w:line="360" w:lineRule="auto"/>
        <w:jc w:val="left"/>
      </w:pPr>
      <w:r>
        <w:t xml:space="preserve">Menusifu. (2026). 10 creative marketing ideas to attract more bubble tea customers. https://www.menusifu.com/blog/creative-bubble-tea-marketing-strategies</w:t>
      </w:r>
    </w:p>
    <w:p>
      <w:pPr>
        <w:spacing w:after="120" w:line="360" w:lineRule="auto"/>
        <w:jc w:val="left"/>
      </w:pPr>
      <w:r>
        <w:t xml:space="preserve">Mintel. (2024). Canada non-alcoholic beverages market report 2024. https://store.mintel.com/report/canada-non-alcoholic-beverages-market-report</w:t>
      </w:r>
    </w:p>
    <w:p>
      <w:pPr>
        <w:spacing w:after="120" w:line="360" w:lineRule="auto"/>
        <w:jc w:val="left"/>
      </w:pPr>
      <w:r>
        <w:t xml:space="preserve">Mobility Foresights. (2026). Canada boba tea market size and forecasts 2031. https://mobilityforesights.com/product/canada-boba-tea-market</w:t>
      </w:r>
    </w:p>
    <w:p>
      <w:pPr>
        <w:spacing w:after="120" w:line="360" w:lineRule="auto"/>
        <w:jc w:val="left"/>
      </w:pPr>
      <w:r>
        <w:t xml:space="preserve">Mustea. (2026). Tea shop ROI: When will you break even? https://mustea.com.tw/tea-shop-roi-break-even/</w:t>
      </w:r>
    </w:p>
    <w:p>
      <w:pPr>
        <w:spacing w:after="120" w:line="360" w:lineRule="auto"/>
        <w:jc w:val="left"/>
      </w:pPr>
      <w:r>
        <w:t xml:space="preserve">Newmarket Today. (2026). York Region charges Markham tea shop in public health inspection. https://www.newmarkettoday.ca/local-news/york-region-charges-markham-tea-shop-in-public-health-inspection-11626719</w:t>
      </w:r>
    </w:p>
    <w:p>
      <w:pPr>
        <w:spacing w:after="120" w:line="360" w:lineRule="auto"/>
        <w:jc w:val="left"/>
      </w:pPr>
      <w:r>
        <w:t xml:space="preserve">Ontario. (2026). Minimum wage: Your guide to the Employment Standards Act. https://www.ontario.ca/document/your-guide-employment-standards-act-0/minimum-wage</w:t>
      </w:r>
    </w:p>
    <w:p>
      <w:pPr>
        <w:spacing w:after="120" w:line="360" w:lineRule="auto"/>
        <w:jc w:val="left"/>
      </w:pPr>
      <w:r>
        <w:t xml:space="preserve">Ontario. (2017). Food Premises, O. Reg. 493/17. https://www.ontario.ca/laws/regulation/170493</w:t>
      </w:r>
    </w:p>
    <w:p>
      <w:pPr>
        <w:spacing w:after="120" w:line="360" w:lineRule="auto"/>
        <w:jc w:val="left"/>
      </w:pPr>
      <w:r>
        <w:t xml:space="preserve">Research and Markets. (2026). Canada bubble tea market size, share &amp; forecast to 2033. https://www.researchandmarkets.com/report/canada-bubble-tea-market</w:t>
      </w:r>
    </w:p>
    <w:p>
      <w:pPr>
        <w:spacing w:after="120" w:line="360" w:lineRule="auto"/>
        <w:jc w:val="left"/>
      </w:pPr>
      <w:r>
        <w:t xml:space="preserve">Restaurants Canada. (2024). Foodservice facts 2024. https://www.restaurantscanada.org/wp-content/uploads/2024/09/Foodservice-Facts-2024-TEASER.pdf</w:t>
      </w:r>
    </w:p>
    <w:p>
      <w:pPr>
        <w:spacing w:after="120" w:line="360" w:lineRule="auto"/>
        <w:jc w:val="left"/>
      </w:pPr>
      <w:r>
        <w:t xml:space="preserve">Rutman Law. (2026). A guide on minimum wage in Ontario, Canada (2024-2025). https://www.rutmanlaw.com/a-guide-on-minimum-wage-in-ontario-canada-2024-2025/</w:t>
      </w:r>
    </w:p>
    <w:p>
      <w:pPr>
        <w:spacing w:after="120" w:line="360" w:lineRule="auto"/>
        <w:jc w:val="left"/>
      </w:pPr>
      <w:r>
        <w:t xml:space="preserve">Sansa Interiors. (2026). Cafe design &amp; renovation in Toronto. https://www.sansainteriors.com/blog/cafe-renovation-costs</w:t>
      </w:r>
    </w:p>
    <w:p>
      <w:pPr>
        <w:spacing w:after="120" w:line="360" w:lineRule="auto"/>
        <w:jc w:val="left"/>
      </w:pPr>
      <w:r>
        <w:t xml:space="preserve">Sauce. (2026). How much does Uber Eats charge restaurants? https://www.getsauce.com/post/uber-eats-fees-for-restaurants</w:t>
      </w:r>
    </w:p>
    <w:p>
      <w:pPr>
        <w:spacing w:after="120" w:line="360" w:lineRule="auto"/>
        <w:jc w:val="left"/>
      </w:pPr>
      <w:r>
        <w:t xml:space="preserve">Sauce. (2026). Best ordering system for fast food restaurants. https://www.getsauce.com/post/best-fast-food-ordering-systems</w:t>
      </w:r>
    </w:p>
    <w:p>
      <w:pPr>
        <w:spacing w:after="120" w:line="360" w:lineRule="auto"/>
        <w:jc w:val="left"/>
      </w:pPr>
      <w:r>
        <w:t xml:space="preserve">Scarborough Town Centre. (2026). The Alley. https://scarboroughtowncentre.com/store/the-alley/</w:t>
      </w:r>
    </w:p>
    <w:p>
      <w:pPr>
        <w:spacing w:after="120" w:line="360" w:lineRule="auto"/>
        <w:jc w:val="left"/>
      </w:pPr>
      <w:r>
        <w:t xml:space="preserve">SciTePress. (2024). Assessment and optimization of social media marketing strategies: A case study of Xiaohongshu. https://www.scitepress.org/publishedPapers/2024/129683/pdf/index.html</w:t>
      </w:r>
    </w:p>
    <w:p>
      <w:pPr>
        <w:spacing w:after="120" w:line="360" w:lineRule="auto"/>
        <w:jc w:val="left"/>
      </w:pPr>
      <w:r>
        <w:t xml:space="preserve">ScrapeHero. (2025). Number of Chatime locations in Canada in 2025. https://www.scrapehero.com/location-reports/Chatime-Canada/</w:t>
      </w:r>
    </w:p>
    <w:p>
      <w:pPr>
        <w:spacing w:after="120" w:line="360" w:lineRule="auto"/>
        <w:jc w:val="left"/>
      </w:pPr>
      <w:r>
        <w:t xml:space="preserve">Second Cup. (2026). Find a cafe. https://secondcup.com/en/find-a-cafe/</w:t>
      </w:r>
    </w:p>
    <w:p>
      <w:pPr>
        <w:spacing w:after="120" w:line="360" w:lineRule="auto"/>
        <w:jc w:val="left"/>
      </w:pPr>
      <w:r>
        <w:t xml:space="preserve">Sharetea Canada. (2026). Canada locations. https://www.1992sharetea.com/canada-old</w:t>
      </w:r>
    </w:p>
    <w:p>
      <w:pPr>
        <w:spacing w:after="120" w:line="360" w:lineRule="auto"/>
        <w:jc w:val="left"/>
      </w:pPr>
      <w:r>
        <w:t xml:space="preserve">SkyQuest Technology. (2026). Canada bubble tea market companies. https://www.skyquestt.com/report/canada-bubble-tea-market/companies</w:t>
      </w:r>
    </w:p>
    <w:p>
      <w:pPr>
        <w:spacing w:after="120" w:line="360" w:lineRule="auto"/>
        <w:jc w:val="left"/>
      </w:pPr>
      <w:r>
        <w:t xml:space="preserve">Snappy. (2026). How Snappy helped Real Fruit increase margins &amp; streamline operations at 130+ locations. https://gosnappy.io/case-studies/real-fruit-bubble-tea.html</w:t>
      </w:r>
    </w:p>
    <w:p>
      <w:pPr>
        <w:spacing w:after="120" w:line="360" w:lineRule="auto"/>
        <w:jc w:val="left"/>
      </w:pPr>
      <w:r>
        <w:t xml:space="preserve">Snappy. (2026). Ontario's new minimum wage &amp; WSIB changes impact on restaurants. https://gosnappy.io/blog/ontarios-new-minimum-wage-wsib-premium-changes-impact-on-restaurants/</w:t>
      </w:r>
    </w:p>
    <w:p>
      <w:pPr>
        <w:spacing w:after="120" w:line="360" w:lineRule="auto"/>
        <w:jc w:val="left"/>
      </w:pPr>
      <w:r>
        <w:t xml:space="preserve">Southeast Public Health. (2026). A guide to opening a food premises. https://southeastph.ca/organizations-and-professionals/business-owners-operators-and-vendors/food-premises/a-guide-to-opening-a-food-premises/</w:t>
      </w:r>
    </w:p>
    <w:p>
      <w:pPr>
        <w:spacing w:after="120" w:line="360" w:lineRule="auto"/>
        <w:jc w:val="left"/>
      </w:pPr>
      <w:r>
        <w:t xml:space="preserve">Starbucks. (2024). Starbucks reports Q4 and full fiscal year 2024 results. https://investor.starbucks.com/news/financial-releases/news-details/2024/Starbucks-Reports-Q4-and-Full-Fiscal-Year-2024-Results/</w:t>
      </w:r>
    </w:p>
    <w:p>
      <w:pPr>
        <w:spacing w:after="120" w:line="360" w:lineRule="auto"/>
        <w:jc w:val="left"/>
      </w:pPr>
      <w:r>
        <w:t xml:space="preserve">Statistics Canada. (2021). Census of Population. Various profiles. https://www12.statcan.gc.ca/census-recensement/2021/</w:t>
      </w:r>
    </w:p>
    <w:p>
      <w:pPr>
        <w:spacing w:after="120" w:line="360" w:lineRule="auto"/>
        <w:jc w:val="left"/>
      </w:pPr>
      <w:r>
        <w:t xml:space="preserve">Statistics Canada. (2026). Annual survey of service industries: Food services and drinking places. https://www150.statcan.gc.ca/n1/daily-quotidien/260309/dq260309a-eng.htm</w:t>
      </w:r>
    </w:p>
    <w:p>
      <w:pPr>
        <w:spacing w:after="120" w:line="360" w:lineRule="auto"/>
        <w:jc w:val="left"/>
      </w:pPr>
      <w:r>
        <w:t xml:space="preserve">Statistics Canada. (2026). Components of population change. https://www150.statcan.gc.ca/n1/daily-quotidien/260114/dq260114a-eng.htm</w:t>
      </w:r>
    </w:p>
    <w:p>
      <w:pPr>
        <w:spacing w:after="120" w:line="360" w:lineRule="auto"/>
        <w:jc w:val="left"/>
      </w:pPr>
      <w:r>
        <w:t xml:space="preserve">Taipec. (2026). How many staff members do you need for a bubble tea shop? https://taipec.com/how-many-staff-members-do-you-need-for-a-bubble-tea-shop/</w:t>
      </w:r>
    </w:p>
    <w:p>
      <w:pPr>
        <w:spacing w:after="120" w:line="360" w:lineRule="auto"/>
        <w:jc w:val="left"/>
      </w:pPr>
      <w:r>
        <w:t xml:space="preserve">Taipec. (2026). How to adapt your bubble tea menu to the different seasons of the year? https://taipec.com/how-to-adapt-your-bubble-tea-menu-to-different-seasons/</w:t>
      </w:r>
    </w:p>
    <w:p>
      <w:pPr>
        <w:spacing w:after="120" w:line="360" w:lineRule="auto"/>
        <w:jc w:val="left"/>
      </w:pPr>
      <w:r>
        <w:t xml:space="preserve">Technavio. (2026). Bubble tea market growth analysis: Size and forecast 2026-2030. https://www.technavio.com/report/bubble-tea-market-industry-analysis</w:t>
      </w:r>
    </w:p>
    <w:p>
      <w:pPr>
        <w:spacing w:after="120" w:line="360" w:lineRule="auto"/>
        <w:jc w:val="left"/>
      </w:pPr>
      <w:r>
        <w:t xml:space="preserve">TechInsurance. (2026). Coffee shop and cafe business insurance costs. https://www.techinsurance.com/food-beverage-business-insurance/coffee-shop-cafe/cost</w:t>
      </w:r>
    </w:p>
    <w:p>
      <w:pPr>
        <w:spacing w:after="120" w:line="360" w:lineRule="auto"/>
        <w:jc w:val="left"/>
      </w:pPr>
      <w:r>
        <w:t xml:space="preserve">The AIM Group. (2026). How much does business liability insurance cost in Ontario? https://theaim.ca/business-liability-insurance-costs-in-ontario/</w:t>
      </w:r>
    </w:p>
    <w:p>
      <w:pPr>
        <w:spacing w:after="120" w:line="360" w:lineRule="auto"/>
        <w:jc w:val="left"/>
      </w:pPr>
      <w:r>
        <w:t xml:space="preserve">Tiger Sugar Canada. (2026). Contact/Locations. https://www.tigersugar.ca/contact</w:t>
      </w:r>
    </w:p>
    <w:p>
      <w:pPr>
        <w:spacing w:after="120" w:line="360" w:lineRule="auto"/>
        <w:jc w:val="left"/>
      </w:pPr>
      <w:r>
        <w:t xml:space="preserve">Tim Hortons. (2026). Tims for Good. https://www.timhortons.ca/tims-for-good</w:t>
      </w:r>
    </w:p>
    <w:p>
      <w:pPr>
        <w:spacing w:after="120" w:line="360" w:lineRule="auto"/>
        <w:jc w:val="left"/>
      </w:pPr>
      <w:r>
        <w:t xml:space="preserve">Toast. (2026). How much do boba shops make? (2025 data). https://pos.toasttab.com/blog/on-the-line/how-much-do-boba-shops-make</w:t>
      </w:r>
    </w:p>
    <w:p>
      <w:pPr>
        <w:spacing w:after="120" w:line="360" w:lineRule="auto"/>
        <w:jc w:val="left"/>
      </w:pPr>
      <w:r>
        <w:t xml:space="preserve">Toronto. (2026). DineSafe. https://www.toronto.ca/community-people/health-wellness-care/health-programs-advice/food-safety/dinesafe/</w:t>
      </w:r>
    </w:p>
    <w:p>
      <w:pPr>
        <w:spacing w:after="120" w:line="360" w:lineRule="auto"/>
        <w:jc w:val="left"/>
      </w:pPr>
      <w:r>
        <w:t xml:space="preserve">Toronto. (2026). Starting a food business. https://www.toronto.ca/community-people/health-wellness-care/health-programs-advice/food-safety/food-safety-for-businesses/starting-a-food-business/</w:t>
      </w:r>
    </w:p>
    <w:p>
      <w:pPr>
        <w:spacing w:after="120" w:line="360" w:lineRule="auto"/>
        <w:jc w:val="left"/>
      </w:pPr>
      <w:r>
        <w:t xml:space="preserve">Toronto Hydro. (2026). Business electricity rates. https://www.torontohydro.com/for-business/rates</w:t>
      </w:r>
    </w:p>
    <w:p>
      <w:pPr>
        <w:spacing w:after="120" w:line="360" w:lineRule="auto"/>
        <w:jc w:val="left"/>
      </w:pPr>
      <w:r>
        <w:t xml:space="preserve">Toronto Urban Retail Team. (2026). For lease archives. https://urbanretailtoronto.com/transaction-type/for-lease/</w:t>
      </w:r>
    </w:p>
    <w:p>
      <w:pPr>
        <w:spacing w:after="120" w:line="360" w:lineRule="auto"/>
        <w:jc w:val="left"/>
      </w:pPr>
      <w:r>
        <w:t xml:space="preserve">TRREB. (2026). Commercial report. https://trreb.ca/market-data/commercial-report/</w:t>
      </w:r>
    </w:p>
    <w:p>
      <w:pPr>
        <w:spacing w:after="120" w:line="360" w:lineRule="auto"/>
        <w:jc w:val="left"/>
      </w:pPr>
      <w:r>
        <w:t xml:space="preserve">Vantech Journal. (2026). Fantuan is Metro Vancouver's multimillion dollar tech secret. https://vantechjournal.com/p/fantuan-burnaby-food-delivery-tech-platform</w:t>
      </w:r>
    </w:p>
    <w:p>
      <w:pPr>
        <w:spacing w:after="120" w:line="360" w:lineRule="auto"/>
        <w:jc w:val="left"/>
      </w:pPr>
      <w:r>
        <w:t xml:space="preserve">Watercome. (2026). https://watercome.ca/</w:t>
      </w:r>
    </w:p>
    <w:p>
      <w:pPr>
        <w:spacing w:after="120" w:line="360" w:lineRule="auto"/>
        <w:jc w:val="left"/>
      </w:pPr>
      <w:r>
        <w:t xml:space="preserve">World Tea News. (2026). Winter vibes: Five ideas to engage tea customers during the holidays. https://www.worldteanews.com/retail/winter-vibes-five-ideas-engage-tea-customers-during-holidays</w:t>
      </w:r>
    </w:p>
    <w:p>
      <w:pPr>
        <w:spacing w:after="120" w:line="360" w:lineRule="auto"/>
        <w:jc w:val="left"/>
      </w:pPr>
      <w:r>
        <w:t xml:space="preserve">WSIB. (2026). WSIB reduces average premium rate for Ontario businesses. https://www.wsib.ca/en/news-release/wsib-reduces-average-premium-rate-ontario-businesses</w:t>
      </w:r>
    </w:p>
    <w:p>
      <w:pPr>
        <w:spacing w:after="120" w:line="360" w:lineRule="auto"/>
        <w:jc w:val="left"/>
      </w:pPr>
      <w:r>
        <w:t xml:space="preserve">WSIB. (2026). 2026 premium rates. https://www.wsib.ca/en/2026premiumrates</w:t>
      </w:r>
    </w:p>
    <w:p>
      <w:pPr>
        <w:spacing w:after="120" w:line="360" w:lineRule="auto"/>
        <w:jc w:val="left"/>
      </w:pPr>
      <w:r>
        <w:t xml:space="preserve">York Region. (2026). Food premises operators. https://www.york.ca/health/food-safety/food-premises-operators</w:t>
      </w:r>
    </w:p>
    <w:p>
      <w:pPr>
        <w:spacing w:after="120" w:line="360" w:lineRule="auto"/>
        <w:jc w:val="left"/>
      </w:pPr>
      <w:r>
        <w:t xml:space="preserve">York Region. (2026). YorkSafe inspection program. https://www.york.ca/health/inspections-investigations-and-monitoring/yorksafe-inspection-program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2026-04-13T00:29:25.000Z</dcterms:created>
  <dcterms:modified xsi:type="dcterms:W3CDTF">2026-04-13T00:29:25.000Z</dcterms:modified>
</cp:coreProperties>
</file>

<file path=docProps/custom.xml><?xml version="1.0" encoding="utf-8"?>
<Properties xmlns="http://schemas.openxmlformats.org/officeDocument/2006/custom-properties" xmlns:vt="http://schemas.openxmlformats.org/officeDocument/2006/docPropsVTypes"/>
</file>