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8" w:name="content"/>
    <w:bookmarkStart w:id="67" w:name="安大略省饮品市场进入可行性研究"/>
    <w:p>
      <w:pPr>
        <w:pStyle w:val="Heading1"/>
      </w:pPr>
      <w:r>
        <w:rPr>
          <w:rFonts w:hint="eastAsia"/>
        </w:rPr>
        <w:t xml:space="preserve">安大略省饮品市场进入可行性研究</w:t>
      </w:r>
    </w:p>
    <w:bookmarkStart w:id="26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本研究结论：</w:t>
      </w:r>
      <w:r>
        <w:rPr>
          <w:rFonts w:hint="eastAsia"/>
          <w:b/>
          <w:bCs/>
        </w:rPr>
        <w:t xml:space="preserve">建议进入</w:t>
      </w:r>
      <w:r>
        <w:rPr>
          <w:rFonts w:hint="eastAsia"/>
        </w:rPr>
        <w:t xml:space="preserve">安大略省现调饮品市场，但应采取“</w:t>
      </w:r>
      <w:r>
        <w:rPr>
          <w:rFonts w:hint="eastAsia"/>
          <w:b/>
          <w:bCs/>
        </w:rPr>
        <w:t xml:space="preserve">先直营试点、再复制扩张、后期可引入加盟</w:t>
      </w:r>
      <w:r>
        <w:rPr>
          <w:rFonts w:hint="eastAsia"/>
        </w:rPr>
        <w:t xml:space="preserve">”的节奏；在当前安大略（尤其大城市）租金与装修成本偏高、竞争密度高、同时人口增量结构出现变化（非永久居民波动对市中心客流更敏感）的背景下，最佳策略不是“重资产一口气做大”，而是以</w:t>
      </w:r>
      <w:r>
        <w:rPr>
          <w:rFonts w:hint="eastAsia"/>
          <w:b/>
          <w:bCs/>
        </w:rPr>
        <w:t xml:space="preserve">可控租金+可验证单店模型</w:t>
      </w:r>
      <w:r>
        <w:rPr>
          <w:rFonts w:hint="eastAsia"/>
        </w:rPr>
        <w:t xml:space="preserve">为先。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是否进入：</w:t>
      </w:r>
      <w:r>
        <w:br/>
      </w:r>
      <w:r>
        <w:rPr>
          <w:rFonts w:hint="eastAsia"/>
        </w:rPr>
        <w:t xml:space="preserve">进入的依据来自三类硬指标：</w:t>
      </w:r>
      <w:r>
        <w:br/>
      </w:r>
      <w:r>
        <w:rPr>
          <w:rFonts w:hint="eastAsia"/>
        </w:rPr>
        <w:t xml:space="preserve">其一，加拿大餐饮服务销售规模在疫情后已恢复并保持增长，行业总销售额预测到2024年接近约1,192亿加元（包含商业与非商业口径），且2024年商业口径下“Food</w:t>
      </w:r>
      <w:r>
        <w:t xml:space="preserve"> services and drinking </w:t>
      </w:r>
      <w:r>
        <w:rPr>
          <w:rFonts w:hint="eastAsia"/>
        </w:rPr>
        <w:t xml:space="preserve">places”年销售额也达到约965亿加元；其二，行业成本结构显示租金与人工长期占比较高，决定了进入必须以“单位经济模型”驱动；其三，安大略在国际学生与移民结构上持续占据全国核心份额，为奶茶/茶饮与多元口味、健康现调提供了稳定的“人群基础盘”。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优先城市与区域顺序（以“可做出高复购现调模型”为目标）：</w:t>
      </w:r>
      <w:r>
        <w:br/>
      </w:r>
      <w:r>
        <w:rPr>
          <w:rFonts w:hint="eastAsia"/>
        </w:rPr>
        <w:t xml:space="preserve">优先级建议为：</w:t>
      </w:r>
      <w:r>
        <w:rPr>
          <w:rFonts w:hint="eastAsia"/>
          <w:b/>
          <w:bCs/>
        </w:rPr>
        <w:t xml:space="preserve">大多伦多地区（GTA）</w:t>
      </w:r>
      <w:hyperlink r:id="rId23">
        <w:r>
          <w:rPr>
            <w:rStyle w:val="Hyperlink"/>
            <w:b/>
            <w:bCs/>
          </w:rPr>
          <w:t xml:space="preserve">[3]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→ Ottawa</w:t>
      </w:r>
      <w:hyperlink r:id="rId21">
        <w:r>
          <w:rPr>
            <w:rStyle w:val="Hyperlink"/>
            <w:b/>
            <w:bCs/>
          </w:rPr>
          <w:t xml:space="preserve">[4]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→ Kitchener–Cambridge–Waterloo</w:t>
      </w:r>
      <w:hyperlink r:id="rId24">
        <w:r>
          <w:rPr>
            <w:rStyle w:val="Hyperlink"/>
            <w:b/>
            <w:bCs/>
          </w:rPr>
          <w:t xml:space="preserve">[5]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→ Hamilton</w:t>
      </w:r>
      <w:hyperlink r:id="rId25">
        <w:r>
          <w:rPr>
            <w:rStyle w:val="Hyperlink"/>
            <w:b/>
            <w:bCs/>
          </w:rPr>
          <w:t xml:space="preserve">[6]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→ London</w:t>
      </w:r>
      <w:hyperlink r:id="rId21">
        <w:r>
          <w:rPr>
            <w:rStyle w:val="Hyperlink"/>
            <w:b/>
            <w:bCs/>
          </w:rPr>
          <w:t xml:space="preserve">[7]</w:t>
        </w:r>
      </w:hyperlink>
      <w:r>
        <w:rPr>
          <w:rFonts w:hint="eastAsia"/>
        </w:rPr>
        <w:t xml:space="preserve">。其中GTA仍是“品牌验证与产品迭代”最佳试验场，但必须规避极高租金节点或采用二代店；渥太华更适合做“稳定复购+高客单健康线”；滑铁卢/剑桥适合做“学生+科技从业者”的订阅与外带高频模型；汉密尔顿与伦敦适合在单店模型已验证后做“低租金复制”。</w:t>
      </w:r>
      <w:hyperlink r:id="rId21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推荐进入模式：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阶段一（0–12个月）</w:t>
      </w:r>
      <w:r>
        <w:rPr>
          <w:rFonts w:hint="eastAsia"/>
        </w:rPr>
        <w:t xml:space="preserve">：2家</w:t>
      </w:r>
      <w:r>
        <w:rPr>
          <w:rFonts w:hint="eastAsia"/>
          <w:b/>
          <w:bCs/>
        </w:rPr>
        <w:t xml:space="preserve">直营</w:t>
      </w:r>
      <w:r>
        <w:rPr>
          <w:rFonts w:hint="eastAsia"/>
        </w:rPr>
        <w:t xml:space="preserve">（一高租金高曝光试点</w:t>
      </w:r>
      <w:r>
        <w:t xml:space="preserve"> + </w:t>
      </w:r>
      <w:r>
        <w:rPr>
          <w:rFonts w:hint="eastAsia"/>
        </w:rPr>
        <w:t xml:space="preserve">一低租金高回本试点），同时跑出“低糖健康现调”产品与供应链标准。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阶段二（12–24个月）</w:t>
      </w:r>
      <w:r>
        <w:rPr>
          <w:rFonts w:hint="eastAsia"/>
        </w:rPr>
        <w:t xml:space="preserve">：再开3–5家直营（优先Ottawa、Kitchener–Cambridge–Waterloo、GTA外圈），完成区域品牌与组织能力。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阶段三（24个月后）</w:t>
      </w:r>
      <w:r>
        <w:rPr>
          <w:rFonts w:hint="eastAsia"/>
        </w:rPr>
        <w:t xml:space="preserve">：采用“直营+加盟”混合：核心城市核心商圈保持直营（控品控体验），郊区/社区型点位引入加盟（扩张速度与资本效率）。该路径与加拿大餐饮行业普遍“成本高、利润率薄”的结构更匹配，能在扩张期降低租金与人工波动对现金流的冲击。</w:t>
      </w:r>
      <w:hyperlink r:id="rId25">
        <w:r>
          <w:rPr>
            <w:rStyle w:val="Hyperlink"/>
          </w:rPr>
          <w:t xml:space="preserve">[9]</w:t>
        </w:r>
      </w:hyperlink>
    </w:p>
    <w:p>
      <w:pPr>
        <w:pStyle w:val="BlockText"/>
      </w:pPr>
      <w:r>
        <w:rPr>
          <w:rFonts w:hint="eastAsia"/>
        </w:rPr>
        <w:t xml:space="preserve">说明：本报告不覆盖“大温哥华地区”（属于BC省），以省内安大略主要城市/区域差异为中心；对温哥华仅在对比视角中偶尔提及，不作为落地重点。</w:t>
      </w:r>
      <w:hyperlink r:id="rId21">
        <w:r>
          <w:rPr>
            <w:rStyle w:val="Hyperlink"/>
          </w:rPr>
          <w:t xml:space="preserve">[10]</w:t>
        </w:r>
      </w:hyperlink>
    </w:p>
    <w:bookmarkEnd w:id="26"/>
    <w:bookmarkStart w:id="32" w:name="市场全景与区域差异"/>
    <w:p>
      <w:pPr>
        <w:pStyle w:val="Heading2"/>
      </w:pPr>
      <w:r>
        <w:rPr>
          <w:rFonts w:hint="eastAsia"/>
        </w:rPr>
        <w:t xml:space="preserve">市场全景与区域差异</w:t>
      </w:r>
    </w:p>
    <w:p>
      <w:pPr>
        <w:pStyle w:val="FirstParagraph"/>
      </w:pPr>
      <w:r>
        <w:rPr>
          <w:rFonts w:hint="eastAsia"/>
          <w:b/>
          <w:bCs/>
        </w:rPr>
        <w:t xml:space="preserve">数据口径与核心来源：</w:t>
      </w:r>
      <w:r>
        <w:rPr>
          <w:rFonts w:hint="eastAsia"/>
        </w:rPr>
        <w:t xml:space="preserve">本节主要引用</w:t>
      </w:r>
      <w:r>
        <w:t xml:space="preserve"> Statistics Canada</w:t>
      </w:r>
      <w:hyperlink r:id="rId27">
        <w:r>
          <w:rPr>
            <w:rStyle w:val="Hyperlink"/>
          </w:rPr>
          <w:t xml:space="preserve">[11]</w:t>
        </w:r>
      </w:hyperlink>
      <w:r>
        <w:t xml:space="preserve"> </w:t>
      </w:r>
      <w:r>
        <w:rPr>
          <w:rFonts w:hint="eastAsia"/>
        </w:rPr>
        <w:t xml:space="preserve">的餐饮行业统计与分析、Restaurants</w:t>
      </w:r>
      <w:r>
        <w:t xml:space="preserve"> Canada</w:t>
      </w:r>
      <w:hyperlink r:id="rId28">
        <w:r>
          <w:rPr>
            <w:rStyle w:val="Hyperlink"/>
          </w:rPr>
          <w:t xml:space="preserve">[12]</w:t>
        </w:r>
      </w:hyperlink>
      <w:r>
        <w:t xml:space="preserve"> </w:t>
      </w:r>
      <w:r>
        <w:rPr>
          <w:rFonts w:hint="eastAsia"/>
        </w:rPr>
        <w:t xml:space="preserve">的行业规模预测与结构数据、以及</w:t>
      </w:r>
      <w:r>
        <w:t xml:space="preserve"> CBRE</w:t>
      </w:r>
      <w:hyperlink r:id="rId29">
        <w:r>
          <w:rPr>
            <w:rStyle w:val="Hyperlink"/>
          </w:rPr>
          <w:t xml:space="preserve">[13]</w:t>
        </w:r>
      </w:hyperlink>
      <w:r>
        <w:t xml:space="preserve"> </w:t>
      </w:r>
      <w:r>
        <w:rPr>
          <w:rFonts w:hint="eastAsia"/>
        </w:rPr>
        <w:t xml:space="preserve">的零售租金调查用于点位成本约束。</w:t>
      </w:r>
      <w:hyperlink r:id="rId25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市场规模与增长（全国→安大略“可投资口径”）：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全国层面（含预测）：行业资料显示加拿大“Total</w:t>
      </w:r>
      <w:r>
        <w:t xml:space="preserve"> foodservice </w:t>
      </w:r>
      <w:r>
        <w:rPr>
          <w:rFonts w:hint="eastAsia"/>
        </w:rPr>
        <w:t xml:space="preserve">sales”在2021–2024年间快速修复，其中2024年预测约为1,192亿加元左右，并呈现“名义增长偏稳、真实增长偏低”的特征（更接近结构性恢复与通胀驱动）。</w:t>
      </w:r>
      <w:hyperlink r:id="rId22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全国层面（商业口径）：官方年度行业统计显示，2024年餐饮服务与饮品场所（food</w:t>
      </w:r>
      <w:r>
        <w:t xml:space="preserve"> services and drinking </w:t>
      </w:r>
      <w:r>
        <w:rPr>
          <w:rFonts w:hint="eastAsia"/>
        </w:rPr>
        <w:t xml:space="preserve">places）运营收入约996亿加元；利润率约4.1%，成本中“食材/商品成本、工资福利、租金”合计占比极高。</w:t>
      </w:r>
      <w:hyperlink r:id="rId25">
        <w:r>
          <w:rPr>
            <w:rStyle w:val="Hyperlink"/>
          </w:rPr>
          <w:t xml:space="preserve">[16]</w:t>
        </w:r>
      </w:hyperlink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2024年销售与结构：按月度统计汇总，2024年“food</w:t>
      </w:r>
      <w:r>
        <w:t xml:space="preserve"> services and drinking </w:t>
      </w:r>
      <w:r>
        <w:rPr>
          <w:rFonts w:hint="eastAsia"/>
        </w:rPr>
        <w:t xml:space="preserve">places”年销售额约965亿加元，同比2023年增长约9.6%；其中</w:t>
      </w:r>
      <w:r>
        <w:rPr>
          <w:b/>
          <w:bCs/>
        </w:rPr>
        <w:t xml:space="preserve">limited-service restaurants</w:t>
      </w:r>
      <w:r>
        <w:rPr>
          <w:rFonts w:hint="eastAsia"/>
        </w:rPr>
        <w:t xml:space="preserve">约占43.9%，</w:t>
      </w:r>
      <w:r>
        <w:rPr>
          <w:b/>
          <w:bCs/>
        </w:rPr>
        <w:t xml:space="preserve">full-service restaurants</w:t>
      </w:r>
      <w:r>
        <w:rPr>
          <w:rFonts w:hint="eastAsia"/>
        </w:rPr>
        <w:t xml:space="preserve">约占32.6%。</w:t>
      </w:r>
    </w:p>
    <w:p>
      <w:pPr>
        <w:pStyle w:val="FirstParagraph"/>
      </w:pPr>
      <w:r>
        <w:rPr>
          <w:rFonts w:hint="eastAsia"/>
          <w:b/>
          <w:bCs/>
        </w:rPr>
        <w:t xml:space="preserve">安大略市场规模（估算，用于投资测算而非“官宣口径”）：</w:t>
      </w:r>
      <w:r>
        <w:br/>
      </w:r>
      <w:r>
        <w:rPr>
          <w:rFonts w:hint="eastAsia"/>
        </w:rPr>
        <w:t xml:space="preserve">在缺乏同口径“省级年度总额直接披露”的前提下，本报告采用“全国商业口径965亿加元</w:t>
      </w:r>
      <w:r>
        <w:t xml:space="preserve"> × </w:t>
      </w:r>
      <w:r>
        <w:rPr>
          <w:rFonts w:hint="eastAsia"/>
        </w:rPr>
        <w:t xml:space="preserve">安大略份额区间（约0.38–0.42）”的方式做投资级估算：安大略商业餐饮服务市场约在</w:t>
      </w:r>
      <w:r>
        <w:rPr>
          <w:rFonts w:hint="eastAsia"/>
          <w:b/>
          <w:bCs/>
        </w:rPr>
        <w:t xml:space="preserve">360–410亿加元/年</w:t>
      </w:r>
      <w:r>
        <w:rPr>
          <w:rFonts w:hint="eastAsia"/>
        </w:rPr>
        <w:t xml:space="preserve">区间；若按Restaurants</w:t>
      </w:r>
      <w:r>
        <w:t xml:space="preserve"> </w:t>
      </w:r>
      <w:r>
        <w:rPr>
          <w:rFonts w:hint="eastAsia"/>
        </w:rPr>
        <w:t xml:space="preserve">Canada包含非商业口径的总盘，则安大略总盘约在</w:t>
      </w:r>
      <w:r>
        <w:rPr>
          <w:rFonts w:hint="eastAsia"/>
          <w:b/>
          <w:bCs/>
        </w:rPr>
        <w:t xml:space="preserve">450–500亿加元/年</w:t>
      </w:r>
      <w:r>
        <w:rPr>
          <w:rFonts w:hint="eastAsia"/>
        </w:rPr>
        <w:t xml:space="preserve">区间。此估算用于后续单店可容纳量与扩张节奏规划，需在选址城市层面通过试点店“反推验证”。</w:t>
      </w:r>
      <w:hyperlink r:id="rId22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品类结构与“现调饮品”的可切入空间：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从行业销售构成看，2022年餐饮行业销售中“food</w:t>
      </w:r>
      <w:r>
        <w:t xml:space="preserve"> and non-alcoholic </w:t>
      </w:r>
      <w:r>
        <w:rPr>
          <w:rFonts w:hint="eastAsia"/>
        </w:rPr>
        <w:t xml:space="preserve">beverages”占比约87%，说明非酒精饮品与食品合计构成绝对主盘；对咖啡、奶茶/茶饮、低糖健康现调而言，竞争焦点更多在“谁能在高租金高人工下跑出复购与毛利结构”，而非是否有需求。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成本结构上，2024年行业平均“cost</w:t>
      </w:r>
      <w:r>
        <w:t xml:space="preserve"> of goods </w:t>
      </w:r>
      <w:r>
        <w:rPr>
          <w:rFonts w:hint="eastAsia"/>
        </w:rPr>
        <w:t xml:space="preserve">sold”约35.9%，“wages/salaries/benefits”约33.6%，“rent”约8.1%，利润率约4.1%。这意味着：即便是更高毛利的现调饮品，也必须用</w:t>
      </w:r>
      <w:r>
        <w:rPr>
          <w:rFonts w:hint="eastAsia"/>
          <w:b/>
          <w:bCs/>
        </w:rPr>
        <w:t xml:space="preserve">高周转（订单量）+强产品结构（低糖溢价/加料）+更低浪费</w:t>
      </w:r>
      <w:r>
        <w:rPr>
          <w:rFonts w:hint="eastAsia"/>
        </w:rPr>
        <w:t xml:space="preserve">来对冲刚性成本。</w:t>
      </w:r>
      <w:hyperlink r:id="rId25">
        <w:r>
          <w:rPr>
            <w:rStyle w:val="Hyperlink"/>
          </w:rPr>
          <w:t xml:space="preserve">[16]</w:t>
        </w:r>
      </w:hyperlink>
    </w:p>
    <w:p>
      <w:pPr>
        <w:pStyle w:val="FirstParagraph"/>
      </w:pPr>
      <w:r>
        <w:rPr>
          <w:rFonts w:hint="eastAsia"/>
          <w:b/>
          <w:bCs/>
        </w:rPr>
        <w:t xml:space="preserve">渠道结构（堂食/外带/外卖/零售）与趋势：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行业层面的“线上/e-commerce”在2022年约占总销售的9.8%，且餐饮企业采用电商的比例较2019明显上升；电商销售主要来自第三方平台与移动端。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对现调饮品门店而言，主战场通常在“外带+线上下单（含到店自取）+第三方外卖”的组合。行业数据提示：线上占比并非无限上升，实际取决于点位结构（写字楼/校园/社区）、产品耐配送性（奶盖、冰沙、热饮）、以及平台抽佣与获客成本。</w:t>
      </w:r>
    </w:p>
    <w:p>
      <w:pPr>
        <w:pStyle w:val="FirstParagraph"/>
      </w:pPr>
      <w:r>
        <w:rPr>
          <w:rFonts w:hint="eastAsia"/>
          <w:b/>
          <w:bCs/>
        </w:rPr>
        <w:t xml:space="preserve">季节性与区域差异（安大略内部）：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GTA：</w:t>
      </w:r>
      <w:r>
        <w:rPr>
          <w:rFonts w:hint="eastAsia"/>
        </w:rPr>
        <w:t xml:space="preserve">移民占比高、口味多元、社交与打卡需求强，但租金梯度巨大；高街节点租金可达到极高水平（见下文“租金约束”）。</w:t>
      </w:r>
      <w:hyperlink r:id="rId30">
        <w:r>
          <w:rPr>
            <w:rStyle w:val="Hyperlink"/>
          </w:rPr>
          <w:t xml:space="preserve">[18]</w:t>
        </w:r>
      </w:hyperlink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渥太华：</w:t>
      </w:r>
      <w:r>
        <w:rPr>
          <w:rFonts w:hint="eastAsia"/>
        </w:rPr>
        <w:t xml:space="preserve">家庭税后收入中位数高，适合健康线与稳定复购；但CBRE指出渥太华市中心空置与复工节奏影响明显，优先考虑“高质量郊区/社区型商业”更利于稳定客流。</w:t>
      </w:r>
      <w:hyperlink r:id="rId27">
        <w:r>
          <w:rPr>
            <w:rStyle w:val="Hyperlink"/>
          </w:rPr>
          <w:t xml:space="preserve">[19]</w:t>
        </w:r>
      </w:hyperlink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Kitchener–Cambridge–Waterloo：</w:t>
      </w:r>
      <w:r>
        <w:rPr>
          <w:rFonts w:hint="eastAsia"/>
        </w:rPr>
        <w:t xml:space="preserve">收入水平与移民占比均不低，同时城市圈更依赖高校与科技就业结构，适合“订阅/工作日高频”打法；其城市复合类租金区间相对GTA显著更低。</w:t>
      </w:r>
      <w:hyperlink r:id="rId28">
        <w:r>
          <w:rPr>
            <w:rStyle w:val="Hyperlink"/>
          </w:rPr>
          <w:t xml:space="preserve">[20]</w:t>
        </w:r>
      </w:hyperlink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汉密尔顿、伦敦：</w:t>
      </w:r>
      <w:r>
        <w:rPr>
          <w:rFonts w:hint="eastAsia"/>
        </w:rPr>
        <w:t xml:space="preserve">收入相对较低或更分化，适合通过“低租金+高性价比产品结构”实现更快回本，再做区域复制。</w:t>
      </w:r>
      <w:hyperlink r:id="rId31">
        <w:r>
          <w:rPr>
            <w:rStyle w:val="Hyperlink"/>
          </w:rPr>
          <w:t xml:space="preserve">[21]</w:t>
        </w:r>
      </w:hyperlink>
    </w:p>
    <w:p>
      <w:pPr>
        <w:pStyle w:val="FirstParagraph"/>
      </w:pPr>
      <w:r>
        <w:rPr>
          <w:rFonts w:hint="eastAsia"/>
          <w:b/>
          <w:bCs/>
        </w:rPr>
        <w:t xml:space="preserve">租金约束（决定进入策略“重还是轻”）：</w:t>
      </w:r>
      <w:r>
        <w:br/>
      </w:r>
      <w:r>
        <w:rPr>
          <w:rFonts w:hint="eastAsia"/>
        </w:rPr>
        <w:t xml:space="preserve">CBRE零售租金调查给出了11个城市多业态的净租金区间：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多伦多：城市复合（Mixed-Use</w:t>
      </w:r>
      <w:r>
        <w:t xml:space="preserve"> </w:t>
      </w:r>
      <w:r>
        <w:rPr>
          <w:rFonts w:hint="eastAsia"/>
        </w:rPr>
        <w:t xml:space="preserve">Urban）约45–75$/sf/年；关键高街节点如Bloor-Yorkville可达200–300$/sf/年，King</w:t>
      </w:r>
      <w:r>
        <w:t xml:space="preserve"> St </w:t>
      </w:r>
      <w:r>
        <w:rPr>
          <w:rFonts w:hint="eastAsia"/>
        </w:rPr>
        <w:t xml:space="preserve">W约75–150$/sf/年，Yonge</w:t>
      </w:r>
      <w:r>
        <w:t xml:space="preserve"> </w:t>
      </w:r>
      <w:r>
        <w:rPr>
          <w:rFonts w:hint="eastAsia"/>
        </w:rPr>
        <w:t xml:space="preserve">St约70–125$/sf/年等。</w:t>
      </w:r>
      <w:hyperlink r:id="rId21">
        <w:r>
          <w:rPr>
            <w:rStyle w:val="Hyperlink"/>
          </w:rPr>
          <w:t xml:space="preserve">[22]</w:t>
        </w:r>
      </w:hyperlink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渥太华：便利/街铺约45–60$/sf/年；城市复合约40–55$/sf/年；Glebe/ByWard等节点亦有明显梯度。</w:t>
      </w:r>
      <w:hyperlink r:id="rId21">
        <w:r>
          <w:rPr>
            <w:rStyle w:val="Hyperlink"/>
          </w:rPr>
          <w:t xml:space="preserve">[22]</w:t>
        </w:r>
      </w:hyperlink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Kitchener-Waterloo：便利/街铺约32–40$/sf/年；城市复合约25–35$/sf/年。</w:t>
      </w:r>
      <w:hyperlink r:id="rId21">
        <w:r>
          <w:rPr>
            <w:rStyle w:val="Hyperlink"/>
          </w:rPr>
          <w:t xml:space="preserve">[23]</w:t>
        </w:r>
      </w:hyperlink>
    </w:p>
    <w:p>
      <w:pPr>
        <w:pStyle w:val="FirstParagraph"/>
      </w:pPr>
      <w:r>
        <w:rPr>
          <w:rFonts w:hint="eastAsia"/>
        </w:rPr>
        <w:t xml:space="preserve">这直接导出投资策略：</w:t>
      </w:r>
      <w:r>
        <w:rPr>
          <w:rFonts w:hint="eastAsia"/>
          <w:b/>
          <w:bCs/>
        </w:rPr>
        <w:t xml:space="preserve">高租金城市必须优先选择“可快速开业的二代店、或以更小面积跑出更高坪效”，否则在行业平均利润率偏低的背景下现金流风险会放大。</w:t>
      </w:r>
      <w:hyperlink r:id="rId25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rPr>
          <w:rFonts w:hint="eastAsia"/>
        </w:rPr>
        <w:t xml:space="preserve">主要数据来源（本节）：Statistics</w:t>
      </w:r>
      <w:r>
        <w:t xml:space="preserve"> </w:t>
      </w:r>
      <w:r>
        <w:rPr>
          <w:rFonts w:hint="eastAsia"/>
        </w:rPr>
        <w:t xml:space="preserve">Canada（年度行业统计、销售结构、电商占比）、Restaurants</w:t>
      </w:r>
      <w:r>
        <w:t xml:space="preserve"> </w:t>
      </w:r>
      <w:r>
        <w:rPr>
          <w:rFonts w:hint="eastAsia"/>
        </w:rPr>
        <w:t xml:space="preserve">Canada（总盘预测与结构）、CBRE（零售净租金区间）。</w:t>
      </w:r>
      <w:hyperlink r:id="rId25">
        <w:r>
          <w:rPr>
            <w:rStyle w:val="Hyperlink"/>
          </w:rPr>
          <w:t xml:space="preserve">[24]</w:t>
        </w:r>
      </w:hyperlink>
    </w:p>
    <w:bookmarkEnd w:id="32"/>
    <w:bookmarkStart w:id="39" w:name="消费者与需求洞察"/>
    <w:p>
      <w:pPr>
        <w:pStyle w:val="Heading2"/>
      </w:pPr>
      <w:r>
        <w:rPr>
          <w:rFonts w:hint="eastAsia"/>
        </w:rPr>
        <w:t xml:space="preserve">消费者与需求洞察</w:t>
      </w:r>
    </w:p>
    <w:p>
      <w:pPr>
        <w:pStyle w:val="FirstParagraph"/>
      </w:pPr>
      <w:r>
        <w:rPr>
          <w:rFonts w:hint="eastAsia"/>
          <w:b/>
          <w:bCs/>
        </w:rPr>
        <w:t xml:space="preserve">人群底盘：移民与国际学生对茶饮/多元口味的长期支撑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在Toronto</w:t>
      </w:r>
      <w:hyperlink r:id="rId21">
        <w:r>
          <w:rPr>
            <w:rStyle w:val="Hyperlink"/>
          </w:rPr>
          <w:t xml:space="preserve">[25]</w:t>
        </w:r>
      </w:hyperlink>
      <w:r>
        <w:rPr>
          <w:rFonts w:hint="eastAsia"/>
        </w:rPr>
        <w:t xml:space="preserve">城市圈，移民占比在2021年约46.6%，显著高于多数安大略城市圈；这类结构往往带来更丰富的茶饮、果茶、奶类替代、低糖等需求分层，也意味着“口味本地化”必须以多族裔为前提设计。</w:t>
      </w:r>
      <w:hyperlink r:id="rId30">
        <w:r>
          <w:rPr>
            <w:rStyle w:val="Hyperlink"/>
          </w:rPr>
          <w:t xml:space="preserve">[26]</w:t>
        </w:r>
      </w:hyperlink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国际学生方面，Immigration,</w:t>
      </w:r>
      <w:r>
        <w:t xml:space="preserve"> Refugees and Citizenship Canada</w:t>
      </w:r>
      <w:hyperlink r:id="rId21">
        <w:r>
          <w:rPr>
            <w:rStyle w:val="Hyperlink"/>
          </w:rPr>
          <w:t xml:space="preserve">[27]</w:t>
        </w:r>
      </w:hyperlink>
      <w:r>
        <w:rPr>
          <w:rFonts w:hint="eastAsia"/>
        </w:rPr>
        <w:t xml:space="preserve">数据显示：2023年有效学习许可持有人中，安大略约占52.3%；截至2024年9月30日安大略仍约占50.4%。这意味着：在安大略做奶茶/茶饮与健康现调，</w:t>
      </w:r>
      <w:r>
        <w:rPr>
          <w:rFonts w:hint="eastAsia"/>
          <w:b/>
          <w:bCs/>
        </w:rPr>
        <w:t xml:space="preserve">校园圈/学生聚集区</w:t>
      </w:r>
      <w:r>
        <w:rPr>
          <w:rFonts w:hint="eastAsia"/>
        </w:rPr>
        <w:t xml:space="preserve">具备可长期运营的客群基础，但也应关注政策对非永久居民规模的影响。</w:t>
      </w:r>
      <w:hyperlink r:id="rId33">
        <w:r>
          <w:rPr>
            <w:rStyle w:val="Hyperlink"/>
          </w:rPr>
          <w:t xml:space="preserve">[28]</w:t>
        </w:r>
      </w:hyperlink>
    </w:p>
    <w:p>
      <w:pPr>
        <w:pStyle w:val="FirstParagraph"/>
      </w:pPr>
      <w:r>
        <w:rPr>
          <w:rFonts w:hint="eastAsia"/>
          <w:b/>
          <w:bCs/>
        </w:rPr>
        <w:t xml:space="preserve">城市圈对比：收入与移民结构决定“定价天花板”与产品结构</w:t>
      </w:r>
      <w:r>
        <w:br/>
      </w:r>
      <w:r>
        <w:rPr>
          <w:rFonts w:hint="eastAsia"/>
        </w:rPr>
        <w:t xml:space="preserve">以下为“家庭税后收入中位数（2020）”与“移民占比（2021）”的关键差异（用于定价与门店模型分层）：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多伦多税后收入中位数约85,000加元、移民占比约46.6%。</w:t>
      </w:r>
      <w:hyperlink r:id="rId34">
        <w:r>
          <w:rPr>
            <w:rStyle w:val="Hyperlink"/>
          </w:rPr>
          <w:t xml:space="preserve">[29]</w:t>
        </w:r>
      </w:hyperlink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渥太华税后收入中位数约84,000加元、移民占比约21.4%。</w:t>
      </w:r>
      <w:hyperlink r:id="rId27">
        <w:r>
          <w:rPr>
            <w:rStyle w:val="Hyperlink"/>
          </w:rPr>
          <w:t xml:space="preserve">[30]</w:t>
        </w:r>
      </w:hyperlink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Kitchener–Cambridge–Waterloo税后收入中位数约81,000加元、移民占比约25.8%。</w:t>
      </w:r>
      <w:hyperlink r:id="rId28">
        <w:r>
          <w:rPr>
            <w:rStyle w:val="Hyperlink"/>
          </w:rPr>
          <w:t xml:space="preserve">[31]</w:t>
        </w:r>
      </w:hyperlink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汉密尔顿税后收入中位数约80,000加元、移民占比约25.6%。</w:t>
      </w:r>
      <w:hyperlink r:id="rId31">
        <w:r>
          <w:rPr>
            <w:rStyle w:val="Hyperlink"/>
          </w:rPr>
          <w:t xml:space="preserve">[32]</w:t>
        </w:r>
      </w:hyperlink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伦敦税后收入中位数约71,000加元、移民占比约21.6%。</w:t>
      </w:r>
      <w:hyperlink r:id="rId35">
        <w:r>
          <w:rPr>
            <w:rStyle w:val="Hyperlink"/>
          </w:rPr>
          <w:t xml:space="preserve">[33]</w:t>
        </w:r>
      </w:hyperlink>
    </w:p>
    <w:p>
      <w:pPr>
        <w:pStyle w:val="FirstParagraph"/>
      </w:pPr>
      <w:r>
        <w:rPr>
          <w:rFonts w:hint="eastAsia"/>
          <w:b/>
          <w:bCs/>
        </w:rPr>
        <w:t xml:space="preserve">健康与低糖偏好：法规与公共健康信息会影响“菜单语言”和产品设计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加拿大饮食指南明确将“free</w:t>
      </w:r>
      <w:r>
        <w:t xml:space="preserve"> </w:t>
      </w:r>
      <w:r>
        <w:rPr>
          <w:rFonts w:hint="eastAsia"/>
        </w:rPr>
        <w:t xml:space="preserve">sugars”列为关注营养素，并给出建议上限（一般建议少于总能量的10%）。对低糖现调而言，这不是“民间口号”，而是可用于“产品定义与沟通边界”的权威参照。</w:t>
      </w:r>
      <w:hyperlink r:id="rId36">
        <w:r>
          <w:rPr>
            <w:rStyle w:val="Hyperlink"/>
          </w:rPr>
          <w:t xml:space="preserve">[34]</w:t>
        </w:r>
      </w:hyperlink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若品牌计划售卖预包装饮品/浓缩液/瓶装产品，需要考虑包装正面营养标识（对高糖/高钠等达到阈值的预包装食品具有强制性要求），并在营养声称上遵循Health</w:t>
      </w:r>
      <w:r>
        <w:t xml:space="preserve"> </w:t>
      </w:r>
      <w:r>
        <w:rPr>
          <w:rFonts w:hint="eastAsia"/>
        </w:rPr>
        <w:t xml:space="preserve">Canada允许的营养声称框架。</w:t>
      </w:r>
      <w:hyperlink r:id="rId37">
        <w:r>
          <w:rPr>
            <w:rStyle w:val="Hyperlink"/>
          </w:rPr>
          <w:t xml:space="preserve">[35]</w:t>
        </w:r>
      </w:hyperlink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针对“无添加糖/不加糖”等诉求，CFIA对相关声称有明确条件要求，适合在未来做“瓶装/零售化”时作为合规依据。</w:t>
      </w:r>
      <w:hyperlink r:id="rId38">
        <w:r>
          <w:rPr>
            <w:rStyle w:val="Hyperlink"/>
          </w:rPr>
          <w:t xml:space="preserve">[36]</w:t>
        </w:r>
      </w:hyperlink>
    </w:p>
    <w:p>
      <w:pPr>
        <w:pStyle w:val="FirstParagraph"/>
      </w:pPr>
      <w:r>
        <w:rPr>
          <w:rFonts w:hint="eastAsia"/>
          <w:b/>
          <w:bCs/>
        </w:rPr>
        <w:t xml:space="preserve">价格敏感度与购买频次：建议以“双价格带+可调甜度”管理人群分层</w:t>
      </w:r>
      <w:r>
        <w:br/>
      </w:r>
      <w:r>
        <w:rPr>
          <w:rFonts w:hint="eastAsia"/>
        </w:rPr>
        <w:t xml:space="preserve">在行业成本结构高刚性的背景下（人工、租金、原料占比高），进攻策略应避免单纯低价；更可持续的方法是：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咖啡与茶饮采取“</w:t>
      </w:r>
      <w:r>
        <w:rPr>
          <w:rFonts w:hint="eastAsia"/>
          <w:b/>
          <w:bCs/>
        </w:rPr>
        <w:t xml:space="preserve">基础款引流（低毛利但高复购）+功能/健康款增利（高毛利）</w:t>
      </w:r>
      <w:r>
        <w:rPr>
          <w:rFonts w:hint="eastAsia"/>
        </w:rPr>
        <w:t xml:space="preserve">”；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以“糖度、奶基底、咖啡因、加料”的可配置体系，把同一杯饮品做成不同的毛利层。</w:t>
      </w:r>
      <w:r>
        <w:br/>
      </w:r>
      <w:r>
        <w:rPr>
          <w:rFonts w:hint="eastAsia"/>
        </w:rPr>
        <w:t xml:space="preserve">此策略的必要性可由行业平均利润率偏低这一事实侧面证明：利润空间需要靠结构设计而非单品低价获得。</w:t>
      </w:r>
      <w:hyperlink r:id="rId25">
        <w:r>
          <w:rPr>
            <w:rStyle w:val="Hyperlink"/>
          </w:rPr>
          <w:t xml:space="preserve">[16]</w:t>
        </w:r>
      </w:hyperlink>
    </w:p>
    <w:bookmarkEnd w:id="39"/>
    <w:bookmarkStart w:id="55" w:name="竞争格局与定位机会"/>
    <w:p>
      <w:pPr>
        <w:pStyle w:val="Heading2"/>
      </w:pPr>
      <w:r>
        <w:rPr>
          <w:rFonts w:hint="eastAsia"/>
        </w:rPr>
        <w:t xml:space="preserve">竞争格局与定位机会</w:t>
      </w:r>
    </w:p>
    <w:p>
      <w:pPr>
        <w:pStyle w:val="FirstParagraph"/>
      </w:pPr>
      <w:r>
        <w:rPr>
          <w:rFonts w:hint="eastAsia"/>
          <w:b/>
          <w:bCs/>
        </w:rPr>
        <w:t xml:space="preserve">竞争格局总览：</w:t>
      </w:r>
      <w:r>
        <w:rPr>
          <w:rFonts w:hint="eastAsia"/>
        </w:rPr>
        <w:t xml:space="preserve">安大略现调饮品竞争通常呈“三层结构”：</w:t>
      </w:r>
      <w:r>
        <w:br/>
      </w:r>
      <w:r>
        <w:rPr>
          <w:rFonts w:hint="eastAsia"/>
        </w:rPr>
        <w:t xml:space="preserve">第一层为全国性咖啡巨头（高密度、强供应链）；第二层为茶饮/奶茶连锁（聚集在GTA与高校区）；第三层为健康现调（多在商场/写字楼/社区与交通节点）。在行业“成本高、利润薄”的结构下，真正可持续的差异化通常来自：</w:t>
      </w:r>
      <w:r>
        <w:rPr>
          <w:rFonts w:hint="eastAsia"/>
          <w:b/>
          <w:bCs/>
        </w:rPr>
        <w:t xml:space="preserve">低糖健康定位的可信度（配方与标识）、供应链稳定性（原料与出品一致）、以及选址与运营效率（人效/坪效）</w:t>
      </w:r>
      <w:r>
        <w:t xml:space="preserve">。</w:t>
      </w:r>
      <w:hyperlink r:id="rId25">
        <w:r>
          <w:rPr>
            <w:rStyle w:val="Hyperlink"/>
          </w:rPr>
          <w:t xml:space="preserve">[9]</w:t>
        </w:r>
      </w:hyperlink>
    </w:p>
    <w:bookmarkStart w:id="54" w:name="竞争者对比表至少10家"/>
    <w:p>
      <w:pPr>
        <w:pStyle w:val="Heading3"/>
      </w:pPr>
      <w:r>
        <w:rPr>
          <w:rFonts w:hint="eastAsia"/>
        </w:rPr>
        <w:t xml:space="preserve">竞争者对比表（至少10家）</w:t>
      </w:r>
    </w:p>
    <w:p>
      <w:pPr>
        <w:pStyle w:val="BlockText"/>
      </w:pPr>
      <w:r>
        <w:rPr>
          <w:rFonts w:hint="eastAsia"/>
        </w:rPr>
        <w:t xml:space="preserve">说明：表中“价格带”用于对标与模型假设，因加拿大多为门店定价/平台定价差异，故以常见区间表达；“门店密度”以安大略（尤其GTA）存在感与官方网点信息为基准做分层。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品类重心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门店密度（安大略）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供应链/模式（概括）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典型差异化要点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 Hortons</w:t>
            </w:r>
            <w:hyperlink r:id="rId40">
              <w:r>
                <w:rPr>
                  <w:rStyle w:val="Hyperlink"/>
                </w:rPr>
                <w:t xml:space="preserve">[37]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咖啡+烘焙+简餐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强集中供应链与分销网络；规模优势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国民级覆盖、通勤型高频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官方称加拿大超4,000家；RBI披露品牌规模与供应链信息。</w:t>
            </w:r>
            <w:hyperlink r:id="rId41">
              <w:r>
                <w:rPr>
                  <w:rStyle w:val="Hyperlink"/>
                </w:rPr>
                <w:t xml:space="preserve">[38]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Starbucks</w:t>
            </w:r>
            <w:hyperlink r:id="rId21">
              <w:r>
                <w:rPr>
                  <w:rStyle w:val="Hyperlink"/>
                </w:rPr>
                <w:t xml:space="preserve">[39]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咖啡+茶饮+轻食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直营与授权并存；标准化运营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第三空间、季节新品、会员体系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官方披露全球门店规模与运营结构（用于规模对标）。</w:t>
            </w:r>
            <w:hyperlink r:id="rId42">
              <w:r>
                <w:rPr>
                  <w:rStyle w:val="Hyperlink"/>
                </w:rPr>
                <w:t xml:space="preserve">[40]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Second Cup</w:t>
            </w:r>
            <w:hyperlink r:id="rId25">
              <w:r>
                <w:rPr>
                  <w:rStyle w:val="Hyperlink"/>
                </w:rPr>
                <w:t xml:space="preserve">[41]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咖啡+轻食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以连锁门店为主；网点覆盖多省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加拿大本土咖啡连锁、社区与写字楼渗透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官方门店查询页显示安大略多点位覆盖。</w:t>
            </w:r>
            <w:hyperlink r:id="rId43">
              <w:r>
                <w:rPr>
                  <w:rStyle w:val="Hyperlink"/>
                </w:rPr>
                <w:t xml:space="preserve">[42]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Chatime</w:t>
            </w:r>
            <w:hyperlink r:id="rId44">
              <w:r>
                <w:rPr>
                  <w:rStyle w:val="Hyperlink"/>
                </w:rPr>
                <w:t xml:space="preserve">[43]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奶茶/茶饮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高（偏GTA）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连锁+加盟导向明显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大众化口味、SKU丰富、加盟扩张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官方渠道披露加拿大门店数量级与扩张信息。</w:t>
            </w:r>
            <w:hyperlink r:id="rId45">
              <w:r>
                <w:rPr>
                  <w:rStyle w:val="Hyperlink"/>
                </w:rPr>
                <w:t xml:space="preserve">[44]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Gong Cha</w:t>
            </w:r>
            <w:hyperlink r:id="rId22">
              <w:r>
                <w:rPr>
                  <w:rStyle w:val="Hyperlink"/>
                </w:rPr>
                <w:t xml:space="preserve">[45]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茶饮/奶茶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中–高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全球连锁；加拿大多点位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品牌知名度、标准化出品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官方称加拿大50+门店，并披露全球门店规模。</w:t>
            </w:r>
            <w:hyperlink r:id="rId46">
              <w:r>
                <w:rPr>
                  <w:rStyle w:val="Hyperlink"/>
                </w:rPr>
                <w:t xml:space="preserve">[46]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entity["company","CoCo Fresh Tea &amp; Juice","bubble tea chain"]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茶饮/果茶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高（安大略强调）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区域化运营；线上下单入口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安大略门店多、口味大众化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官方称安大略70+门店，并披露全球规模。</w:t>
            </w:r>
            <w:hyperlink r:id="rId44">
              <w:r>
                <w:rPr>
                  <w:rStyle w:val="Hyperlink"/>
                </w:rPr>
                <w:t xml:space="preserve">[47]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Kung Fu Tea</w:t>
            </w:r>
            <w:hyperlink r:id="rId35">
              <w:r>
                <w:rPr>
                  <w:rStyle w:val="Hyperlink"/>
                </w:rPr>
                <w:t xml:space="preserve">[48]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茶饮/奶茶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中（安大略多城市）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网点分布覆盖多城市，偏连锁化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强调“可选糖度/冰度/加料”的标准体系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安大略官网列出多城市网点。</w:t>
            </w:r>
            <w:hyperlink r:id="rId47">
              <w:r>
                <w:rPr>
                  <w:rStyle w:val="Hyperlink"/>
                </w:rPr>
                <w:t xml:space="preserve">[49]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The Alley</w:t>
            </w:r>
            <w:hyperlink r:id="rId48">
              <w:r>
                <w:rPr>
                  <w:rStyle w:val="Hyperlink"/>
                </w:rPr>
                <w:t xml:space="preserve">[50]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茶饮/珍珠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强品牌调性；加拿大门店数较小但有扩张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招牌珍珠与糖浆概念、偏“打卡”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购物中心资料称加拿大已超过16家门店，并披露进入加拿大时间。</w:t>
            </w:r>
            <w:hyperlink r:id="rId49">
              <w:r>
                <w:rPr>
                  <w:rStyle w:val="Hyperlink"/>
                </w:rPr>
                <w:t xml:space="preserve">[51]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Tiger Sugar</w:t>
            </w:r>
            <w:hyperlink r:id="rId21">
              <w:r>
                <w:rPr>
                  <w:rStyle w:val="Hyperlink"/>
                </w:rPr>
                <w:t xml:space="preserve">[52]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黑糖类奶茶/甜品化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中（GTA+部分城市）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连锁门店分布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甜品化、口味强记忆点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官方“locations”披露多城市点位（含渥太华/多伦多等）。</w:t>
            </w:r>
            <w:hyperlink r:id="rId50">
              <w:r>
                <w:rPr>
                  <w:rStyle w:val="Hyperlink"/>
                </w:rPr>
                <w:t xml:space="preserve">[53]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Sharetea</w:t>
            </w:r>
            <w:hyperlink r:id="rId21">
              <w:r>
                <w:rPr>
                  <w:rStyle w:val="Hyperlink"/>
                </w:rPr>
                <w:t xml:space="preserve">[54]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茶饮/奶茶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低–中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加拿大网点跨省；安大略点位相对分散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传统茶底与奶茶体系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加拿大门店页面列出安大略门店信息。</w:t>
            </w:r>
            <w:hyperlink r:id="rId51">
              <w:r>
                <w:rPr>
                  <w:rStyle w:val="Hyperlink"/>
                </w:rPr>
                <w:t xml:space="preserve">[55]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Booster Juice</w:t>
            </w:r>
            <w:hyperlink r:id="rId52">
              <w:r>
                <w:rPr>
                  <w:rStyle w:val="Hyperlink"/>
                </w:rPr>
                <w:t xml:space="preserve">[56]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健康果昔/果汁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全国连锁扩张，强调健康现调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健康定位、商场/交通节点强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官方称全国470+门店。</w:t>
            </w:r>
            <w:hyperlink r:id="rId40">
              <w:r>
                <w:rPr>
                  <w:rStyle w:val="Hyperlink"/>
                </w:rPr>
                <w:t xml:space="preserve">[57]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Jugo Juice</w:t>
            </w:r>
            <w:hyperlink r:id="rId36">
              <w:r>
                <w:rPr>
                  <w:rStyle w:val="Hyperlink"/>
                </w:rPr>
                <w:t xml:space="preserve">[58]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果昔/鲜榨+（含泡泡茶）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连锁化；菜单含果昔与鲜榨等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健康即食、写字楼/医院等点位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官方称全国100+门店，并提供门店查询。</w:t>
            </w:r>
            <w:hyperlink r:id="rId53">
              <w:r>
                <w:rPr>
                  <w:rStyle w:val="Hyperlink"/>
                </w:rPr>
                <w:t xml:space="preserve">[59]</w:t>
              </w:r>
            </w:hyperlink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定位机会（对进入者最“值钱”的空位）：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低糖健康“可验证”</w:t>
      </w:r>
      <w:r>
        <w:rPr>
          <w:rFonts w:hint="eastAsia"/>
        </w:rPr>
        <w:t xml:space="preserve">：不是仅做“少糖”选项，而是把“糖度可控、营养信息透明、配方逻辑与声称合规”形成一套可复制标准（为未来零售化/瓶装化预留空间）。</w:t>
      </w:r>
      <w:hyperlink r:id="rId36">
        <w:r>
          <w:rPr>
            <w:rStyle w:val="Hyperlink"/>
          </w:rPr>
          <w:t xml:space="preserve">[60]</w:t>
        </w:r>
      </w:hyperlink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双高频场景</w:t>
      </w:r>
      <w:r>
        <w:rPr>
          <w:rFonts w:hint="eastAsia"/>
        </w:rPr>
        <w:t xml:space="preserve">：早咖啡（通勤）+下午茶饮（社交/学习），用同一门店在不同时间段赚两次钱；行业成本结构决定需要“拉长有效营业时段”才能摊薄租金与管理费用。</w:t>
      </w:r>
      <w:hyperlink r:id="rId25">
        <w:r>
          <w:rPr>
            <w:rStyle w:val="Hyperlink"/>
          </w:rPr>
          <w:t xml:space="preserve">[16]</w:t>
        </w:r>
      </w:hyperlink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“城市高租金店”与“城市外圈高回本店”并行</w:t>
      </w:r>
      <w:r>
        <w:rPr>
          <w:rFonts w:hint="eastAsia"/>
        </w:rPr>
        <w:t xml:space="preserve">：多伦多高街节点租金极高，但对品牌曝光与验证有价值；外围/二线城市租金更友好，适合跑出现金流与复制能力。</w:t>
      </w:r>
      <w:hyperlink r:id="rId21">
        <w:r>
          <w:rPr>
            <w:rStyle w:val="Hyperlink"/>
          </w:rPr>
          <w:t xml:space="preserve">[61]</w:t>
        </w:r>
      </w:hyperlink>
    </w:p>
    <w:bookmarkEnd w:id="54"/>
    <w:bookmarkEnd w:id="55"/>
    <w:bookmarkStart w:id="61" w:name="单店经济模型与五年财务测算"/>
    <w:p>
      <w:pPr>
        <w:pStyle w:val="Heading2"/>
      </w:pPr>
      <w:r>
        <w:rPr>
          <w:rFonts w:hint="eastAsia"/>
        </w:rPr>
        <w:t xml:space="preserve">单店经济模型与五年财务测算</w:t>
      </w:r>
    </w:p>
    <w:p>
      <w:pPr>
        <w:pStyle w:val="FirstParagraph"/>
      </w:pPr>
      <w:r>
        <w:rPr>
          <w:rFonts w:hint="eastAsia"/>
        </w:rPr>
        <w:t xml:space="preserve">本节给出可调整的三种开店模型（最低/标准/品牌化）与三种经营情景（悲观/基准/乐观），并构建5年现金流、IRR、回本期与敏感性分析。</w:t>
      </w:r>
      <w:r>
        <w:rPr>
          <w:rFonts w:hint="eastAsia"/>
          <w:b/>
          <w:bCs/>
        </w:rPr>
        <w:t xml:space="preserve">所有金额均为加元（CAD），税前口径</w:t>
      </w:r>
      <w:r>
        <w:rPr>
          <w:rFonts w:hint="eastAsia"/>
        </w:rPr>
        <w:t xml:space="preserve">（便于投资人按自身公司结构再做税务与融资调整）。</w:t>
      </w:r>
    </w:p>
    <w:bookmarkStart w:id="56" w:name="关键假设与可调参数建议在尽调阶段替换为真实报价"/>
    <w:p>
      <w:pPr>
        <w:pStyle w:val="Heading3"/>
      </w:pPr>
      <w:r>
        <w:rPr>
          <w:rFonts w:hint="eastAsia"/>
        </w:rPr>
        <w:t xml:space="preserve">关键假设与可调参数（建议在尽调阶段替换为真实报价）</w:t>
      </w:r>
    </w:p>
    <w:p>
      <w:pPr>
        <w:pStyle w:val="FirstParagraph"/>
      </w:pPr>
      <w:r>
        <w:rPr>
          <w:rFonts w:hint="eastAsia"/>
          <w:b/>
          <w:bCs/>
        </w:rPr>
        <w:t xml:space="preserve">核心可调参数（影响最大）：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净租金（$/sf/年）与附加租金（CAM/TMI）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日均订单量、客单价（AOV）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原料成本率（COGS%）、人工成本率（Labor%）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装修与设备Capex（一次性投入）</w:t>
      </w:r>
    </w:p>
    <w:p>
      <w:pPr>
        <w:pStyle w:val="FirstParagraph"/>
      </w:pPr>
      <w:r>
        <w:rPr>
          <w:rFonts w:hint="eastAsia"/>
          <w:b/>
          <w:bCs/>
        </w:rPr>
        <w:t xml:space="preserve">租金参数参考（来自CBRE零售租金调查）：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多伦多：城市复合45–75$/sf/年；高街节点更高（如Bloor-Yorkville</w:t>
      </w:r>
      <w:r>
        <w:t xml:space="preserve"> </w:t>
      </w:r>
      <w:r>
        <w:rPr>
          <w:rFonts w:hint="eastAsia"/>
        </w:rPr>
        <w:t xml:space="preserve">200–300$/sf/年）。</w:t>
      </w:r>
      <w:hyperlink r:id="rId21">
        <w:r>
          <w:rPr>
            <w:rStyle w:val="Hyperlink"/>
          </w:rPr>
          <w:t xml:space="preserve">[22]</w:t>
        </w:r>
      </w:hyperlink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渥太华：便利/街铺45–60$/sf/年；城市复合40–55$/sf/年。</w:t>
      </w:r>
      <w:hyperlink r:id="rId21">
        <w:r>
          <w:rPr>
            <w:rStyle w:val="Hyperlink"/>
          </w:rPr>
          <w:t xml:space="preserve">[22]</w:t>
        </w:r>
      </w:hyperlink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Kitchener-Waterloo：便利/街铺32–40$/sf/年；城市复合25–35$/sf/年。</w:t>
      </w:r>
      <w:hyperlink r:id="rId21">
        <w:r>
          <w:rPr>
            <w:rStyle w:val="Hyperlink"/>
          </w:rPr>
          <w:t xml:space="preserve">[23]</w:t>
        </w:r>
      </w:hyperlink>
    </w:p>
    <w:p>
      <w:pPr>
        <w:pStyle w:val="FirstParagraph"/>
      </w:pPr>
      <w:r>
        <w:rPr>
          <w:rFonts w:hint="eastAsia"/>
          <w:b/>
          <w:bCs/>
        </w:rPr>
        <w:t xml:space="preserve">人工参数下限（安大略最低工资）：</w:t>
      </w:r>
      <w:r>
        <w:br/>
      </w:r>
      <w:r>
        <w:rPr>
          <w:rFonts w:hint="eastAsia"/>
        </w:rPr>
        <w:t xml:space="preserve">安大略一般最低工资在2025-10-01至2026-09-30为</w:t>
      </w:r>
      <w:r>
        <w:rPr>
          <w:rFonts w:hint="eastAsia"/>
          <w:b/>
          <w:bCs/>
        </w:rPr>
        <w:t xml:space="preserve">17.60加元/小时</w:t>
      </w:r>
      <w:r>
        <w:rPr>
          <w:rFonts w:hint="eastAsia"/>
        </w:rPr>
        <w:t xml:space="preserve">（并按通胀指数化机制调整）。这决定了门店必须通过流程与高峰排班把“人效”做上去。</w:t>
      </w:r>
      <w:hyperlink r:id="rId23">
        <w:r>
          <w:rPr>
            <w:rStyle w:val="Hyperlink"/>
          </w:rPr>
          <w:t xml:space="preserve">[62]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行业成本结构“警戒线”（用于校验模型合理性）：</w:t>
      </w:r>
      <w:r>
        <w:br/>
      </w:r>
      <w:r>
        <w:rPr>
          <w:rFonts w:hint="eastAsia"/>
        </w:rPr>
        <w:t xml:space="preserve">官方行业统计显示2024年行业平均：COGS约35.9%、工资福利33.6%、租金8.1%、利润率约4.1%。现调饮品如果做得好，COGS率可低于行业均值，但人工与租金仍是刚性约束。</w:t>
      </w:r>
      <w:hyperlink r:id="rId25">
        <w:r>
          <w:rPr>
            <w:rStyle w:val="Hyperlink"/>
          </w:rPr>
          <w:t xml:space="preserve">[16]</w:t>
        </w:r>
      </w:hyperlink>
    </w:p>
    <w:bookmarkEnd w:id="56"/>
    <w:bookmarkStart w:id="57" w:name="三种开店模型初始投资拆解可直接用于预算表"/>
    <w:p>
      <w:pPr>
        <w:pStyle w:val="Heading3"/>
      </w:pPr>
      <w:r>
        <w:rPr>
          <w:rFonts w:hint="eastAsia"/>
        </w:rPr>
        <w:t xml:space="preserve">三种开店模型：初始投资拆解（可直接用于预算表）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最低模型（轻装修/二代店优先）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标准模型（可复制标准店）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品牌化模型（高识别旗舰/重空间）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租赁押金/预付（1–3个月）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15万以内预算内滚动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2–4万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3–6万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装修/施工（含水电、吧台）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4–7万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11–18万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20–32万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设备（咖啡+茶饮+冷藏+封口）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5–8万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7–12万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10–16万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家具/标识/软装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1–2万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3–5万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6–10万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POS/系统/监控/小程序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0.5–0.8万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0.8–1.5万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1.5–2.5万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许可/专业服务（设计、图纸、验收）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0.5–1万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1.5–2.5万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3–5万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首批原料与耗材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0.8–1.2万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1.2–1.8万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1.8–3万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招聘培训（开业前）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0.5–0.8万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1–1.5万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1.5–2.5万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首月营销（含试饮/投放）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0.8–1.5万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1.5–2.5万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2.5–4万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预备金/周转资金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2–3万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4–6万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6–10万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合计（典型区间）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 xml:space="preserve">15–22万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 xml:space="preserve">28–40万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 xml:space="preserve">45–70万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注：以上为投资模型用区间，实际应以选址城市、是否二代店、是否需要排烟/重水电、商场交付标准等为准。CBRE也指出餐饮租户更偏好“可即刻入驻空间”，其背后就是装修成本与不确定性上升。</w:t>
      </w:r>
      <w:hyperlink r:id="rId21">
        <w:r>
          <w:rPr>
            <w:rStyle w:val="Hyperlink"/>
          </w:rPr>
          <w:t xml:space="preserve">[10]</w:t>
        </w:r>
      </w:hyperlink>
    </w:p>
    <w:bookmarkEnd w:id="57"/>
    <w:bookmarkStart w:id="58" w:name="月度运营成本结构基准店示例"/>
    <w:p>
      <w:pPr>
        <w:pStyle w:val="Heading3"/>
      </w:pPr>
      <w:r>
        <w:rPr>
          <w:rFonts w:hint="eastAsia"/>
        </w:rPr>
        <w:t xml:space="preserve">月度运营成本结构（基准店示例）</w:t>
      </w:r>
    </w:p>
    <w:p>
      <w:pPr>
        <w:pStyle w:val="FirstParagraph"/>
      </w:pPr>
      <w:r>
        <w:rPr>
          <w:rFonts w:hint="eastAsia"/>
        </w:rPr>
        <w:t xml:space="preserve">以“标准模型、约900sf、日均约230单、客单约8.5加元”为基准：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月销售额约</w:t>
      </w:r>
      <w:r>
        <w:t xml:space="preserve"> </w:t>
      </w:r>
      <w:r>
        <w:rPr>
          <w:rFonts w:hint="eastAsia"/>
          <w:b/>
          <w:bCs/>
        </w:rPr>
        <w:t xml:space="preserve">5.4万加元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原料约28%；人工约30%；营销约3%；其他OPEX约12%；再叠加房租（随城市波动）。</w:t>
      </w:r>
      <w:r>
        <w:br/>
      </w:r>
      <w:r>
        <w:rPr>
          <w:rFonts w:hint="eastAsia"/>
        </w:rPr>
        <w:t xml:space="preserve">在高租金节点，房租会显著拉长回本期，这也是先跑“低租金验证店”的原因。</w:t>
      </w:r>
      <w:hyperlink r:id="rId25">
        <w:r>
          <w:rPr>
            <w:rStyle w:val="Hyperlink"/>
          </w:rPr>
          <w:t xml:space="preserve">[9]</w:t>
        </w:r>
      </w:hyperlink>
    </w:p>
    <w:bookmarkEnd w:id="58"/>
    <w:bookmarkStart w:id="59" w:name="五年现金流irr与回本期示例输出"/>
    <w:p>
      <w:pPr>
        <w:pStyle w:val="Heading3"/>
      </w:pPr>
      <w:r>
        <w:rPr>
          <w:rFonts w:hint="eastAsia"/>
        </w:rPr>
        <w:t xml:space="preserve">五年现金流、IRR与回本期（示例输出）</w:t>
      </w:r>
    </w:p>
    <w:p>
      <w:pPr>
        <w:pStyle w:val="FirstParagraph"/>
      </w:pPr>
      <w:r>
        <w:rPr>
          <w:rFonts w:hint="eastAsia"/>
        </w:rPr>
        <w:t xml:space="preserve">基于本报告基准假设（标准店、多伦多较中等净租金水平、税前），样例结果显示：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基准情景IRR约在中高十位数、回本约3年左右（税前）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在更低租金城市，若订单与客单能做到同等水平，回本期与IRR显著改善；但现实中需要用“更高获客成本/更低客流上限”来修正。</w:t>
      </w:r>
      <w:hyperlink r:id="rId21">
        <w:r>
          <w:rPr>
            <w:rStyle w:val="Hyperlink"/>
          </w:rPr>
          <w:t xml:space="preserve">[61]</w:t>
        </w:r>
      </w:hyperlink>
    </w:p>
    <w:p>
      <w:pPr>
        <w:pStyle w:val="FirstParagraph"/>
      </w:pPr>
      <w:r>
        <w:rPr>
          <w:rFonts w:hint="eastAsia"/>
        </w:rPr>
        <w:t xml:space="preserve">（你在上方图表中可直接查看：收入条形图、销量预测曲线、渠道饼图、回本期热力图与三情景现金流曲线。）</w:t>
      </w:r>
    </w:p>
    <w:bookmarkEnd w:id="59"/>
    <w:bookmarkStart w:id="60" w:name="敏感性分析租金客流客单价对回本期的影响经营者最该盯的三件事"/>
    <w:p>
      <w:pPr>
        <w:pStyle w:val="Heading3"/>
      </w:pPr>
      <w:r>
        <w:rPr>
          <w:rFonts w:hint="eastAsia"/>
        </w:rPr>
        <w:t xml:space="preserve">敏感性分析：租金/客流/客单价对回本期的影响（经营者最该盯的三件事）</w:t>
      </w:r>
    </w:p>
    <w:p>
      <w:pPr>
        <w:pStyle w:val="FirstParagraph"/>
      </w:pPr>
      <w:r>
        <w:rPr>
          <w:rFonts w:hint="eastAsia"/>
        </w:rPr>
        <w:t xml:space="preserve">敏感性热力图（标准店示例）显示：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日均订单量从约200提升到260</w:t>
      </w:r>
      <w:r>
        <w:rPr>
          <w:rFonts w:hint="eastAsia"/>
        </w:rPr>
        <w:t xml:space="preserve">，在同一租金下回本月数会出现“断崖式改善”；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净租金从40提升到70$/sf/年</w:t>
      </w:r>
      <w:r>
        <w:rPr>
          <w:rFonts w:hint="eastAsia"/>
        </w:rPr>
        <w:t xml:space="preserve">，若订单量未同步上升，回本周期明显被拉长甚至无法在5年内回本；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因此开店最关键不是“选最贵的街”，而是“选能稳定达到目标订单密度的街”，并通过外带/线上下单提高高峰吞吐。</w:t>
      </w:r>
      <w:hyperlink r:id="rId21">
        <w:r>
          <w:rPr>
            <w:rStyle w:val="Hyperlink"/>
          </w:rPr>
          <w:t xml:space="preserve">[63]</w:t>
        </w:r>
      </w:hyperlink>
    </w:p>
    <w:bookmarkEnd w:id="60"/>
    <w:bookmarkEnd w:id="61"/>
    <w:bookmarkStart w:id="64" w:name="合规选址与落地流程"/>
    <w:p>
      <w:pPr>
        <w:pStyle w:val="Heading2"/>
      </w:pPr>
      <w:r>
        <w:rPr>
          <w:rFonts w:hint="eastAsia"/>
        </w:rPr>
        <w:t xml:space="preserve">合规、选址与落地流程</w:t>
      </w:r>
    </w:p>
    <w:p>
      <w:pPr>
        <w:pStyle w:val="FirstParagraph"/>
      </w:pPr>
      <w:r>
        <w:rPr>
          <w:rFonts w:hint="eastAsia"/>
        </w:rPr>
        <w:t xml:space="preserve">本节重点给出安大略食品经营的“必经流程”与与低糖健康相关的标签/声称注意事项。合规信息以</w:t>
      </w:r>
      <w:r>
        <w:t xml:space="preserve"> Health Canada</w:t>
      </w:r>
      <w:hyperlink r:id="rId25">
        <w:r>
          <w:rPr>
            <w:rStyle w:val="Hyperlink"/>
          </w:rPr>
          <w:t xml:space="preserve">[64]</w:t>
        </w:r>
      </w:hyperlink>
      <w:r>
        <w:t xml:space="preserve"> </w:t>
      </w:r>
      <w:r>
        <w:rPr>
          <w:rFonts w:hint="eastAsia"/>
        </w:rPr>
        <w:t xml:space="preserve">与</w:t>
      </w:r>
      <w:r>
        <w:t xml:space="preserve"> Canadian Food Inspection Agency</w:t>
      </w:r>
      <w:hyperlink r:id="rId21">
        <w:r>
          <w:rPr>
            <w:rStyle w:val="Hyperlink"/>
          </w:rPr>
          <w:t xml:space="preserve">[65]</w:t>
        </w:r>
      </w:hyperlink>
      <w:r>
        <w:t xml:space="preserve"> </w:t>
      </w:r>
      <w:r>
        <w:rPr>
          <w:rFonts w:hint="eastAsia"/>
        </w:rPr>
        <w:t xml:space="preserve">的公开规则，以及安大略省法规与市政食品安全项目为主。</w:t>
      </w:r>
      <w:hyperlink r:id="rId24">
        <w:r>
          <w:rPr>
            <w:rStyle w:val="Hyperlink"/>
          </w:rPr>
          <w:t xml:space="preserve">[66]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必要执照/审批与机构（要点版）：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食品场所法规（安大略）</w:t>
      </w:r>
      <w:r>
        <w:rPr>
          <w:rFonts w:hint="eastAsia"/>
        </w:rPr>
        <w:t xml:space="preserve">：需满足安大略《Food</w:t>
      </w:r>
      <w:r>
        <w:t xml:space="preserve"> </w:t>
      </w:r>
      <w:r>
        <w:rPr>
          <w:rFonts w:hint="eastAsia"/>
        </w:rPr>
        <w:t xml:space="preserve">Premises》法规要求（O.</w:t>
      </w:r>
      <w:r>
        <w:t xml:space="preserve"> Reg. </w:t>
      </w:r>
      <w:r>
        <w:rPr>
          <w:rFonts w:hint="eastAsia"/>
        </w:rPr>
        <w:t xml:space="preserve">493/17）。</w:t>
      </w:r>
      <w:hyperlink r:id="rId24">
        <w:r>
          <w:rPr>
            <w:rStyle w:val="Hyperlink"/>
          </w:rPr>
          <w:t xml:space="preserve">[67]</w:t>
        </w:r>
      </w:hyperlink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公共卫生检查</w:t>
      </w:r>
      <w:r>
        <w:rPr>
          <w:rFonts w:hint="eastAsia"/>
        </w:rPr>
        <w:t xml:space="preserve">：以多伦多为例，开店前需按多伦多公共卫生指引准备，门店将接受DineSafe检查并公示结果；这意味着“开业即合规”是运营常态而非一次性动作。</w:t>
      </w:r>
      <w:hyperlink r:id="rId48">
        <w:r>
          <w:rPr>
            <w:rStyle w:val="Hyperlink"/>
          </w:rPr>
          <w:t xml:space="preserve">[68]</w:t>
        </w:r>
      </w:hyperlink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最低工资与用工合规</w:t>
      </w:r>
      <w:r>
        <w:rPr>
          <w:rFonts w:hint="eastAsia"/>
        </w:rPr>
        <w:t xml:space="preserve">：需遵守安大略最低工资与相关雇佣标准要求。</w:t>
      </w:r>
      <w:hyperlink r:id="rId23">
        <w:r>
          <w:rPr>
            <w:rStyle w:val="Hyperlink"/>
          </w:rPr>
          <w:t xml:space="preserve">[62]</w:t>
        </w:r>
      </w:hyperlink>
    </w:p>
    <w:p>
      <w:pPr>
        <w:pStyle w:val="FirstParagraph"/>
      </w:pPr>
      <w:r>
        <w:rPr>
          <w:rFonts w:hint="eastAsia"/>
          <w:b/>
          <w:bCs/>
        </w:rPr>
        <w:t xml:space="preserve">预计周期（经验值，需结合店铺交付条件）：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二代店/轻装修通常更快；新交付毛坯店则受水电改造、施工许可、设备交付、公共卫生检查排期影响更大。CBRE也强调餐饮租户更偏好“即装即用”空间，就是为了缩短不确定工期。</w:t>
      </w:r>
      <w:hyperlink r:id="rId21">
        <w:r>
          <w:rPr>
            <w:rStyle w:val="Hyperlink"/>
          </w:rPr>
          <w:t xml:space="preserve">[10]</w:t>
        </w:r>
      </w:hyperlink>
    </w:p>
    <w:p>
      <w:pPr>
        <w:pStyle w:val="FirstParagraph"/>
      </w:pPr>
      <w:r>
        <w:rPr>
          <w:rFonts w:hint="eastAsia"/>
          <w:b/>
          <w:bCs/>
        </w:rPr>
        <w:t xml:space="preserve">食品安全与标签要求（与你的“低糖/健康”定位直接相关）：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若涉及预包装产品（瓶装饮料、浓缩液、茶包等），需关注营养声称规则与前包装营养标识要求；对“低糖/无添加糖”等表达应以官方允许的营养声称框架设计文案。</w:t>
      </w:r>
      <w:hyperlink r:id="rId62">
        <w:r>
          <w:rPr>
            <w:rStyle w:val="Hyperlink"/>
          </w:rPr>
          <w:t xml:space="preserve">[69]</w:t>
        </w:r>
      </w:hyperlink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若考虑功能性咖啡因饮品或与能量饮料相近的预包装配方，应注意对咖啡因能量饮料的监管边界与责任提示（包括进口/分销责任提醒）。</w:t>
      </w:r>
      <w:hyperlink r:id="rId63">
        <w:r>
          <w:rPr>
            <w:rStyle w:val="Hyperlink"/>
          </w:rPr>
          <w:t xml:space="preserve">[70]</w:t>
        </w:r>
      </w:hyperlink>
    </w:p>
    <w:p>
      <w:pPr>
        <w:pStyle w:val="FirstParagraph"/>
      </w:pPr>
      <w:r>
        <w:rPr>
          <w:rFonts w:hint="eastAsia"/>
          <w:b/>
          <w:bCs/>
        </w:rPr>
        <w:t xml:space="preserve">选址限制与建议（商业区/校园/购物中心）：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高租金高街适合“品牌验证+新品传播”，但需用更小面积与更强外带动线提升坪效；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校园与医院/写字楼片区更适合“高频外带+订阅/礼品卡”；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购物中心点位要重点核算商场抽成、营业时间限制与交付标准（往往决定装修成本）。</w:t>
      </w:r>
      <w:hyperlink r:id="rId21">
        <w:r>
          <w:rPr>
            <w:rStyle w:val="Hyperlink"/>
          </w:rPr>
          <w:t xml:space="preserve">[71]</w:t>
        </w:r>
      </w:hyperlink>
    </w:p>
    <w:bookmarkEnd w:id="64"/>
    <w:bookmarkStart w:id="66" w:name="风险关键kpi与扩张路线图"/>
    <w:p>
      <w:pPr>
        <w:pStyle w:val="Heading2"/>
      </w:pPr>
      <w:r>
        <w:rPr>
          <w:rFonts w:hint="eastAsia"/>
        </w:rPr>
        <w:t xml:space="preserve">风险、关键KPI与扩张路线图</w:t>
      </w:r>
    </w:p>
    <w:p>
      <w:pPr>
        <w:pStyle w:val="FirstParagraph"/>
      </w:pPr>
      <w:r>
        <w:rPr>
          <w:rFonts w:hint="eastAsia"/>
          <w:b/>
          <w:bCs/>
        </w:rPr>
        <w:t xml:space="preserve">关键风险与应对（按影响排序）：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租金与装修成本风险（高影响）</w:t>
      </w:r>
      <w:r>
        <w:rPr>
          <w:rFonts w:hint="eastAsia"/>
        </w:rPr>
        <w:t xml:space="preserve">：多伦多高街租金上限非常高，若在未验证日均订单密度前做品牌化重投资，容易出现回本大幅延后。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应对：首店优先二代店/非顶级高街；或采用“小店高效外带模型”。</w:t>
      </w:r>
      <w:hyperlink r:id="rId21">
        <w:r>
          <w:rPr>
            <w:rStyle w:val="Hyperlink"/>
          </w:rPr>
          <w:t xml:space="preserve">[72]</w:t>
        </w:r>
      </w:hyperlink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人口增量结构变化（中高影响）</w:t>
      </w:r>
      <w:r>
        <w:rPr>
          <w:rFonts w:hint="eastAsia"/>
        </w:rPr>
        <w:t xml:space="preserve">：数据显示多伦多城市圈在2024–2025年间人口几乎不变，主要与非永久居民规模变化有关；这会对依赖学生/新移民的茶饮点位（尤其市中心）形成波动风险。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应对：产品结构中提升“本地稳定客群”的咖啡与健康线占比；选址上更关注社区型与通勤型点位，降低对单一人群的依赖。</w:t>
      </w:r>
      <w:hyperlink r:id="rId29">
        <w:r>
          <w:rPr>
            <w:rStyle w:val="Hyperlink"/>
          </w:rPr>
          <w:t xml:space="preserve">[73]</w:t>
        </w:r>
      </w:hyperlink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利润率薄与平台抽佣（中影响）</w:t>
      </w:r>
      <w:r>
        <w:rPr>
          <w:rFonts w:hint="eastAsia"/>
        </w:rPr>
        <w:t xml:space="preserve">：行业平均利润率不高，且电商/第三方平台在餐饮销售中占比不可忽视；如果产品不耐配送或毛利结构不够强，平台订单可能“越卖越亏”。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应对：把外卖限定在少数耐配送SKU；用到店自取、会员积分与订阅提升毛利与复购。</w:t>
      </w:r>
      <w:hyperlink r:id="rId25">
        <w:r>
          <w:rPr>
            <w:rStyle w:val="Hyperlink"/>
          </w:rPr>
          <w:t xml:space="preserve">[74]</w:t>
        </w:r>
      </w:hyperlink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合规与声称风险（中影响）</w:t>
      </w:r>
      <w:r>
        <w:rPr>
          <w:rFonts w:hint="eastAsia"/>
        </w:rPr>
        <w:t xml:space="preserve">：低糖健康是机会也是风险点，尤其在预包装化或功能性声称上。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应对：统一“糖度标准、营养信息口径、宣称用语”，对预包装产品严格按Health</w:t>
      </w:r>
      <w:r>
        <w:t xml:space="preserve"> </w:t>
      </w:r>
      <w:r>
        <w:rPr>
          <w:rFonts w:hint="eastAsia"/>
        </w:rPr>
        <w:t xml:space="preserve">Canada/CFIA框架做合规模板。</w:t>
      </w:r>
      <w:hyperlink r:id="rId62">
        <w:r>
          <w:rPr>
            <w:rStyle w:val="Hyperlink"/>
          </w:rPr>
          <w:t xml:space="preserve">[75]</w:t>
        </w:r>
      </w:hyperlink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供应链与跨境物流/汇率风险（中影响）</w:t>
      </w:r>
      <w:r>
        <w:rPr>
          <w:rFonts w:hint="eastAsia"/>
        </w:rPr>
        <w:t xml:space="preserve">：若核心原料依赖进口（茶叶、珍珠粉圆、代糖等），汇率与供应不确定会直接冲击毛利与断货率。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应对：前期以外包供应链（本地经销商+多供应商）降低断供风险；规模化后再评估自建中央厨房/配料工厂。</w:t>
      </w:r>
      <w:hyperlink r:id="rId52">
        <w:r>
          <w:rPr>
            <w:rStyle w:val="Hyperlink"/>
          </w:rPr>
          <w:t xml:space="preserve">[76]</w:t>
        </w:r>
      </w:hyperlink>
    </w:p>
    <w:p>
      <w:pPr>
        <w:pStyle w:val="FirstParagraph"/>
      </w:pPr>
      <w:r>
        <w:rPr>
          <w:rFonts w:hint="eastAsia"/>
          <w:b/>
          <w:bCs/>
        </w:rPr>
        <w:t xml:space="preserve">首店关键KPI（建议作为“投资放款/继续扩张”的闸门）：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日均订单量（分工作日/周末）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客单价与毛利结构（低糖健康线占比、加料率）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复购率（7天/30天）、会员渗透率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人效（每工时产出）、高峰出杯速度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外卖占比与单位订单贡献（扣除平台费用后）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食品安全检查“零重大问题”（合规稳定性）</w:t>
      </w:r>
      <w:hyperlink r:id="rId65">
        <w:r>
          <w:rPr>
            <w:rStyle w:val="Hyperlink"/>
          </w:rPr>
          <w:t xml:space="preserve">[77]</w:t>
        </w:r>
      </w:hyperlink>
    </w:p>
    <w:p>
      <w:pPr>
        <w:pStyle w:val="FirstParagraph"/>
      </w:pPr>
      <w:r>
        <w:rPr>
          <w:rFonts w:hint="eastAsia"/>
          <w:b/>
          <w:bCs/>
        </w:rPr>
        <w:t xml:space="preserve">扩张时间线（Mermaid）</w:t>
      </w:r>
    </w:p>
    <w:p>
      <w:pPr>
        <w:pStyle w:val="SourceCode"/>
      </w:pPr>
      <w:r>
        <w:rPr>
          <w:rStyle w:val="VerbatimChar"/>
        </w:rPr>
        <w:t xml:space="preserve">timeline</w:t>
      </w:r>
      <w:r>
        <w:br/>
      </w:r>
      <w:r>
        <w:rPr>
          <w:rStyle w:val="VerbatimChar"/>
        </w:rPr>
        <w:t xml:space="preserve">    title </w:t>
      </w:r>
      <w:r>
        <w:rPr>
          <w:rStyle w:val="VerbatimChar"/>
          <w:rFonts w:hint="eastAsia"/>
        </w:rPr>
        <w:t xml:space="preserve">安大略现调饮品进入与扩张路线图（建议）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0-3个月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市场验证与样板店筹备（GTA二代店优先）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菜单工程（咖啡+茶饮+低糖健康线）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供应商与成本基线建立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4-6个月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首店开业与数据跑通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会员体系/线上自取上线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出品SOP与培训体系固化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7-12个月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第二家直营开业（低租金城市或GTA外圈）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形成“两店对照”验证租金/客流敏感性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决策第三店城市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13-24个月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3-5家直营复制（Ottawa/Kitchener-Waterloo/Hamilton/London）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建立区域督导与品控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评估中央厨房/自建配料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25-36个月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混合模式扩张（直营+加盟）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省内供应链中心落地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进入更多社区型点位</w:t>
      </w:r>
    </w:p>
    <w:p>
      <w:pPr>
        <w:pStyle w:val="FirstParagraph"/>
      </w:pPr>
      <w:r>
        <w:rPr>
          <w:rFonts w:hint="eastAsia"/>
          <w:b/>
          <w:bCs/>
        </w:rPr>
        <w:t xml:space="preserve">明确可执行建议（关键结论汇总）：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进入安大略现调饮品市场的关键不是“做不做”，而是“</w:t>
      </w:r>
      <w:r>
        <w:rPr>
          <w:rFonts w:hint="eastAsia"/>
          <w:b/>
          <w:bCs/>
        </w:rPr>
        <w:t xml:space="preserve">用什么成本结构做</w:t>
      </w:r>
      <w:r>
        <w:rPr>
          <w:rFonts w:hint="eastAsia"/>
        </w:rPr>
        <w:t xml:space="preserve">”。行业平均利润率与成本结构决定：</w:t>
      </w:r>
      <w:r>
        <w:rPr>
          <w:rFonts w:hint="eastAsia"/>
          <w:b/>
          <w:bCs/>
        </w:rPr>
        <w:t xml:space="preserve">先跑通单店模型再扩张</w:t>
      </w:r>
      <w:r>
        <w:rPr>
          <w:rFonts w:hint="eastAsia"/>
        </w:rPr>
        <w:t xml:space="preserve">是最稳健的投资路径。</w:t>
      </w:r>
      <w:hyperlink r:id="rId25">
        <w:r>
          <w:rPr>
            <w:rStyle w:val="Hyperlink"/>
          </w:rPr>
          <w:t xml:space="preserve">[16]</w:t>
        </w:r>
      </w:hyperlink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首店城市仍建议落在GTA，但不建议直接押注最贵高街节点；CBRE租金显示高街上限会显著放大回本风险，二代店或外带小店是更优解。</w:t>
      </w:r>
      <w:hyperlink r:id="rId21">
        <w:r>
          <w:rPr>
            <w:rStyle w:val="Hyperlink"/>
          </w:rPr>
          <w:t xml:space="preserve">[72]</w:t>
        </w:r>
      </w:hyperlink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第二家店建议选择“租金更友好但客群质量高”的城市圈（优先Kitchener–Cambridge–Waterloo或汉密尔顿），用更快回本形成现金流，再回补品牌化旗舰。</w:t>
      </w:r>
      <w:hyperlink r:id="rId21">
        <w:r>
          <w:rPr>
            <w:rStyle w:val="Hyperlink"/>
          </w:rPr>
          <w:t xml:space="preserve">[78]</w:t>
        </w:r>
      </w:hyperlink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产品策略建议以“咖啡高频</w:t>
      </w:r>
      <w:r>
        <w:t xml:space="preserve"> + </w:t>
      </w:r>
      <w:r>
        <w:rPr>
          <w:rFonts w:hint="eastAsia"/>
        </w:rPr>
        <w:t xml:space="preserve">茶饮增长</w:t>
      </w:r>
      <w:r>
        <w:t xml:space="preserve"> + </w:t>
      </w:r>
      <w:r>
        <w:rPr>
          <w:rFonts w:hint="eastAsia"/>
        </w:rPr>
        <w:t xml:space="preserve">低糖健康溢价”三线并行，并用Health</w:t>
      </w:r>
      <w:r>
        <w:t xml:space="preserve"> </w:t>
      </w:r>
      <w:r>
        <w:rPr>
          <w:rFonts w:hint="eastAsia"/>
        </w:rPr>
        <w:t xml:space="preserve">Canada/CFIA的规则把低糖定位做成可复制的合规资产，为未来零售化预留空间。</w:t>
      </w:r>
      <w:hyperlink r:id="rId36">
        <w:r>
          <w:rPr>
            <w:rStyle w:val="Hyperlink"/>
          </w:rPr>
          <w:t xml:space="preserve">[60]</w:t>
        </w:r>
      </w:hyperlink>
    </w:p>
    <w:bookmarkEnd w:id="66"/>
    <w:bookmarkEnd w:id="67"/>
    <w:bookmarkEnd w:id="68"/>
    <w:p>
      <w:r>
        <w:pict>
          <v:rect style="width:0;height:1.5pt" o:hralign="center" o:hrstd="t" o:hr="t"/>
        </w:pict>
      </w:r>
    </w:p>
    <w:bookmarkStart w:id="69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  <w:r>
        <w:t xml:space="preserve"> </w:t>
      </w:r>
      <w:hyperlink r:id="rId21">
        <w:r>
          <w:rPr>
            <w:rStyle w:val="Hyperlink"/>
          </w:rPr>
          <w:t xml:space="preserve">[7]</w:t>
        </w:r>
      </w:hyperlink>
      <w:r>
        <w:t xml:space="preserve"> </w:t>
      </w:r>
      <w:hyperlink r:id="rId21">
        <w:r>
          <w:rPr>
            <w:rStyle w:val="Hyperlink"/>
          </w:rPr>
          <w:t xml:space="preserve">[8]</w:t>
        </w:r>
      </w:hyperlink>
      <w:r>
        <w:t xml:space="preserve"> </w:t>
      </w:r>
      <w:hyperlink r:id="rId21">
        <w:r>
          <w:rPr>
            <w:rStyle w:val="Hyperlink"/>
          </w:rPr>
          <w:t xml:space="preserve">[10]</w:t>
        </w:r>
      </w:hyperlink>
      <w:r>
        <w:t xml:space="preserve"> </w:t>
      </w:r>
      <w:hyperlink r:id="rId21">
        <w:r>
          <w:rPr>
            <w:rStyle w:val="Hyperlink"/>
          </w:rPr>
          <w:t xml:space="preserve">[22]</w:t>
        </w:r>
      </w:hyperlink>
      <w:r>
        <w:t xml:space="preserve"> </w:t>
      </w:r>
      <w:hyperlink r:id="rId21">
        <w:r>
          <w:rPr>
            <w:rStyle w:val="Hyperlink"/>
          </w:rPr>
          <w:t xml:space="preserve">[23]</w:t>
        </w:r>
      </w:hyperlink>
      <w:r>
        <w:t xml:space="preserve"> </w:t>
      </w:r>
      <w:hyperlink r:id="rId21">
        <w:r>
          <w:rPr>
            <w:rStyle w:val="Hyperlink"/>
          </w:rPr>
          <w:t xml:space="preserve">[25]</w:t>
        </w:r>
      </w:hyperlink>
      <w:r>
        <w:t xml:space="preserve"> </w:t>
      </w:r>
      <w:hyperlink r:id="rId21">
        <w:r>
          <w:rPr>
            <w:rStyle w:val="Hyperlink"/>
          </w:rPr>
          <w:t xml:space="preserve">[27]</w:t>
        </w:r>
      </w:hyperlink>
      <w:r>
        <w:t xml:space="preserve"> </w:t>
      </w:r>
      <w:hyperlink r:id="rId21">
        <w:r>
          <w:rPr>
            <w:rStyle w:val="Hyperlink"/>
          </w:rPr>
          <w:t xml:space="preserve">[39]</w:t>
        </w:r>
      </w:hyperlink>
      <w:r>
        <w:t xml:space="preserve"> </w:t>
      </w:r>
      <w:hyperlink r:id="rId21">
        <w:r>
          <w:rPr>
            <w:rStyle w:val="Hyperlink"/>
          </w:rPr>
          <w:t xml:space="preserve">[52]</w:t>
        </w:r>
      </w:hyperlink>
      <w:r>
        <w:t xml:space="preserve"> </w:t>
      </w:r>
      <w:hyperlink r:id="rId21">
        <w:r>
          <w:rPr>
            <w:rStyle w:val="Hyperlink"/>
          </w:rPr>
          <w:t xml:space="preserve">[54]</w:t>
        </w:r>
      </w:hyperlink>
      <w:r>
        <w:t xml:space="preserve"> </w:t>
      </w:r>
      <w:hyperlink r:id="rId21">
        <w:r>
          <w:rPr>
            <w:rStyle w:val="Hyperlink"/>
          </w:rPr>
          <w:t xml:space="preserve">[61]</w:t>
        </w:r>
      </w:hyperlink>
      <w:r>
        <w:t xml:space="preserve"> </w:t>
      </w:r>
      <w:hyperlink r:id="rId21">
        <w:r>
          <w:rPr>
            <w:rStyle w:val="Hyperlink"/>
          </w:rPr>
          <w:t xml:space="preserve">[63]</w:t>
        </w:r>
      </w:hyperlink>
      <w:r>
        <w:t xml:space="preserve"> </w:t>
      </w:r>
      <w:hyperlink r:id="rId21">
        <w:r>
          <w:rPr>
            <w:rStyle w:val="Hyperlink"/>
          </w:rPr>
          <w:t xml:space="preserve">[65]</w:t>
        </w:r>
      </w:hyperlink>
      <w:r>
        <w:t xml:space="preserve"> </w:t>
      </w:r>
      <w:hyperlink r:id="rId21">
        <w:r>
          <w:rPr>
            <w:rStyle w:val="Hyperlink"/>
          </w:rPr>
          <w:t xml:space="preserve">[71]</w:t>
        </w:r>
      </w:hyperlink>
      <w:r>
        <w:t xml:space="preserve"> </w:t>
      </w:r>
      <w:hyperlink r:id="rId21">
        <w:r>
          <w:rPr>
            <w:rStyle w:val="Hyperlink"/>
          </w:rPr>
          <w:t xml:space="preserve">[72]</w:t>
        </w:r>
      </w:hyperlink>
      <w:r>
        <w:t xml:space="preserve"> </w:t>
      </w:r>
      <w:hyperlink r:id="rId21">
        <w:r>
          <w:rPr>
            <w:rStyle w:val="Hyperlink"/>
          </w:rPr>
          <w:t xml:space="preserve">[78]</w:t>
        </w:r>
      </w:hyperlink>
      <w:r>
        <w:t xml:space="preserve"> </w:t>
      </w:r>
      <w:r>
        <w:t xml:space="preserve">https://www.cbre.ca/-/media/project/cbre/dotcom/americas/canada-emerald/insights/Reports/Retail-rent-survey/canada-retail-rent-survey-H2-2025-e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https://www.cbre.ca/-/media/project/cbre/dotcom/americas/canada-emerald/insights/Reports/Retail-rent-survey/canada-retail-rent-survey-H2-2025-e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[15]</w:t>
        </w:r>
      </w:hyperlink>
      <w:r>
        <w:t xml:space="preserve"> </w:t>
      </w:r>
      <w:hyperlink r:id="rId22">
        <w:r>
          <w:rPr>
            <w:rStyle w:val="Hyperlink"/>
          </w:rPr>
          <w:t xml:space="preserve">[17]</w:t>
        </w:r>
      </w:hyperlink>
      <w:r>
        <w:t xml:space="preserve"> </w:t>
      </w:r>
      <w:hyperlink r:id="rId22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Food Service Facts 2024-Digital Download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https://www.restaurantscanada.org/wp-content/uploads/2024/09/Foodservice-Facts-2024-TEASER.pdf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[62]</w:t>
        </w:r>
      </w:hyperlink>
      <w:r>
        <w:t xml:space="preserve"> </w:t>
      </w:r>
      <w:r>
        <w:t xml:space="preserve">https://www.ontario.ca/document/your-guide-employment-standards-act-0/minimum-wage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https://www.ontario.ca/document/your-guide-employment-standards-act-0/minimum-wage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[5]</w:t>
        </w:r>
      </w:hyperlink>
      <w:r>
        <w:t xml:space="preserve"> </w:t>
      </w:r>
      <w:hyperlink r:id="rId24">
        <w:r>
          <w:rPr>
            <w:rStyle w:val="Hyperlink"/>
          </w:rPr>
          <w:t xml:space="preserve">[66]</w:t>
        </w:r>
      </w:hyperlink>
      <w:r>
        <w:t xml:space="preserve"> </w:t>
      </w:r>
      <w:hyperlink r:id="rId24">
        <w:r>
          <w:rPr>
            <w:rStyle w:val="Hyperlink"/>
          </w:rPr>
          <w:t xml:space="preserve">[67]</w:t>
        </w:r>
      </w:hyperlink>
      <w:r>
        <w:t xml:space="preserve"> </w:t>
      </w:r>
      <w:r>
        <w:t xml:space="preserve">https://www.ontario.ca/laws/regulation/170493</w:t>
      </w:r>
    </w:p>
    <w:p>
      <w:pPr>
        <w:pStyle w:val="BodyText"/>
      </w:pPr>
      <w:hyperlink r:id="rId24">
        <w:r>
          <w:rPr>
            <w:rStyle w:val="Hyperlink"/>
          </w:rPr>
          <w:t xml:space="preserve">https://www.ontario.ca/laws/regulation/170493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hyperlink r:id="rId25">
        <w:r>
          <w:rPr>
            <w:rStyle w:val="Hyperlink"/>
          </w:rPr>
          <w:t xml:space="preserve">[9]</w:t>
        </w:r>
      </w:hyperlink>
      <w:r>
        <w:t xml:space="preserve"> </w:t>
      </w:r>
      <w:hyperlink r:id="rId25">
        <w:r>
          <w:rPr>
            <w:rStyle w:val="Hyperlink"/>
          </w:rPr>
          <w:t xml:space="preserve">[14]</w:t>
        </w:r>
      </w:hyperlink>
      <w:r>
        <w:t xml:space="preserve"> </w:t>
      </w:r>
      <w:hyperlink r:id="rId25">
        <w:r>
          <w:rPr>
            <w:rStyle w:val="Hyperlink"/>
          </w:rPr>
          <w:t xml:space="preserve">[16]</w:t>
        </w:r>
      </w:hyperlink>
      <w:r>
        <w:t xml:space="preserve"> </w:t>
      </w:r>
      <w:hyperlink r:id="rId25">
        <w:r>
          <w:rPr>
            <w:rStyle w:val="Hyperlink"/>
          </w:rPr>
          <w:t xml:space="preserve">[24]</w:t>
        </w:r>
      </w:hyperlink>
      <w:r>
        <w:t xml:space="preserve"> </w:t>
      </w:r>
      <w:hyperlink r:id="rId25">
        <w:r>
          <w:rPr>
            <w:rStyle w:val="Hyperlink"/>
          </w:rPr>
          <w:t xml:space="preserve">[41]</w:t>
        </w:r>
      </w:hyperlink>
      <w:r>
        <w:t xml:space="preserve"> </w:t>
      </w:r>
      <w:hyperlink r:id="rId25">
        <w:r>
          <w:rPr>
            <w:rStyle w:val="Hyperlink"/>
          </w:rPr>
          <w:t xml:space="preserve">[64]</w:t>
        </w:r>
      </w:hyperlink>
      <w:r>
        <w:t xml:space="preserve"> </w:t>
      </w:r>
      <w:hyperlink r:id="rId25">
        <w:r>
          <w:rPr>
            <w:rStyle w:val="Hyperlink"/>
          </w:rPr>
          <w:t xml:space="preserve">[74]</w:t>
        </w:r>
      </w:hyperlink>
      <w:r>
        <w:t xml:space="preserve"> </w:t>
      </w:r>
      <w:r>
        <w:t xml:space="preserve">The Daily — Food services and drinking places, annual, 2024</w:t>
      </w:r>
    </w:p>
    <w:p>
      <w:pPr>
        <w:pStyle w:val="BodyText"/>
      </w:pPr>
      <w:hyperlink r:id="rId25">
        <w:r>
          <w:rPr>
            <w:rStyle w:val="Hyperlink"/>
          </w:rPr>
          <w:t xml:space="preserve">https://www150.statcan.gc.ca/n1/daily-quotidien/260309/dq260309a-eng.htm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[11]</w:t>
        </w:r>
      </w:hyperlink>
      <w:r>
        <w:t xml:space="preserve"> </w:t>
      </w:r>
      <w:hyperlink r:id="rId27">
        <w:r>
          <w:rPr>
            <w:rStyle w:val="Hyperlink"/>
          </w:rPr>
          <w:t xml:space="preserve">[19]</w:t>
        </w:r>
      </w:hyperlink>
      <w:r>
        <w:t xml:space="preserve"> </w:t>
      </w:r>
      <w:hyperlink r:id="rId27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https://www12.statcan.gc.ca/census-recensement/2021/as-sa/fogs-spg/alternative.cfm?dguid=2021S0503505&amp;lang=e&amp;objectId=1c&amp;topic=5</w:t>
      </w:r>
    </w:p>
    <w:p>
      <w:pPr>
        <w:pStyle w:val="BodyText"/>
      </w:pPr>
      <w:hyperlink r:id="rId27">
        <w:r>
          <w:rPr>
            <w:rStyle w:val="Hyperlink"/>
          </w:rPr>
          <w:t xml:space="preserve">https://www12.statcan.gc.ca/census-recensement/2021/as-sa/fogs-spg/alternative.cfm?dguid=2021S0503505&amp;lang=e&amp;objectId=1c&amp;topic=5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[12]</w:t>
        </w:r>
      </w:hyperlink>
      <w:r>
        <w:t xml:space="preserve"> </w:t>
      </w:r>
      <w:hyperlink r:id="rId28">
        <w:r>
          <w:rPr>
            <w:rStyle w:val="Hyperlink"/>
          </w:rPr>
          <w:t xml:space="preserve">[20]</w:t>
        </w:r>
      </w:hyperlink>
      <w:r>
        <w:t xml:space="preserve"> </w:t>
      </w:r>
      <w:hyperlink r:id="rId28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https://www12.statcan.gc.ca/census-recensement/2021/as-sa/fogs-spg/alternative.cfm?dguid=2021S0503541&amp;lang=e&amp;objectId=1c&amp;topic=5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https://www12.statcan.gc.ca/census-recensement/2021/as-sa/fogs-spg/alternative.cfm?dguid=2021S0503541&amp;lang=e&amp;objectId=1c&amp;topic=5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[13]</w:t>
        </w:r>
      </w:hyperlink>
      <w:r>
        <w:t xml:space="preserve"> </w:t>
      </w:r>
      <w:hyperlink r:id="rId29">
        <w:r>
          <w:rPr>
            <w:rStyle w:val="Hyperlink"/>
          </w:rPr>
          <w:t xml:space="preserve">[73]</w:t>
        </w:r>
      </w:hyperlink>
      <w:r>
        <w:t xml:space="preserve"> </w:t>
      </w:r>
      <w:r>
        <w:t xml:space="preserve">The Daily — Canada's population estimates: Subprovincial areas, 2025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https://www150.statcan.gc.ca/n1/daily-quotidien/260114/dq260114a-eng.htm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[18]</w:t>
        </w:r>
      </w:hyperlink>
      <w:r>
        <w:t xml:space="preserve"> </w:t>
      </w:r>
      <w:hyperlink r:id="rId30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https://www12.statcan.gc.ca/census-recensement/2021/as-sa/fogs-spg/alternative.cfm?dguid=2021S0503535&amp;lang=e&amp;objectId=2_1&amp;topic=9</w:t>
      </w:r>
    </w:p>
    <w:p>
      <w:pPr>
        <w:pStyle w:val="BodyText"/>
      </w:pPr>
      <w:hyperlink r:id="rId30">
        <w:r>
          <w:rPr>
            <w:rStyle w:val="Hyperlink"/>
          </w:rPr>
          <w:t xml:space="preserve">https://www12.statcan.gc.ca/census-recensement/2021/as-sa/fogs-spg/alternative.cfm?dguid=2021S0503535&amp;lang=e&amp;objectId=2_1&amp;topic=9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[21]</w:t>
        </w:r>
      </w:hyperlink>
      <w:r>
        <w:t xml:space="preserve"> </w:t>
      </w:r>
      <w:hyperlink r:id="rId31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https://www12.statcan.gc.ca/census-recensement/2021/as-sa/fogs-spg/alternative.cfm?dguid=2021S0503537&amp;lang=e&amp;objectId=1c&amp;topic=5</w:t>
      </w:r>
    </w:p>
    <w:p>
      <w:pPr>
        <w:pStyle w:val="BodyText"/>
      </w:pPr>
      <w:hyperlink r:id="rId31">
        <w:r>
          <w:rPr>
            <w:rStyle w:val="Hyperlink"/>
          </w:rPr>
          <w:t xml:space="preserve">https://www12.statcan.gc.ca/census-recensement/2021/as-sa/fogs-spg/alternative.cfm?dguid=2021S0503537&amp;lang=e&amp;objectId=1c&amp;topic=5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OLLO – International Student Program at a Glance – November 4, 2024 - Canada.ca</w:t>
      </w:r>
    </w:p>
    <w:p>
      <w:pPr>
        <w:pStyle w:val="BodyText"/>
      </w:pPr>
      <w:hyperlink r:id="rId33">
        <w:r>
          <w:rPr>
            <w:rStyle w:val="Hyperlink"/>
          </w:rPr>
          <w:t xml:space="preserve">https://www.canada.ca/en/immigration-refugees-citizenship/corporate/transparency/committees/ollo-november-4-2024/international-student-population.html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https://www12.statcan.gc.ca/census-recensement/2021/as-sa/fogs-spg/alternative.cfm?dguid=2021S0503535&amp;lang=e&amp;objectId=1c&amp;topic=5</w:t>
      </w:r>
    </w:p>
    <w:p>
      <w:pPr>
        <w:pStyle w:val="BodyText"/>
      </w:pPr>
      <w:hyperlink r:id="rId34">
        <w:r>
          <w:rPr>
            <w:rStyle w:val="Hyperlink"/>
          </w:rPr>
          <w:t xml:space="preserve">https://www12.statcan.gc.ca/census-recensement/2021/as-sa/fogs-spg/alternative.cfm?dguid=2021S0503535&amp;lang=e&amp;objectId=1c&amp;topic=5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[33]</w:t>
        </w:r>
      </w:hyperlink>
      <w:r>
        <w:t xml:space="preserve"> </w:t>
      </w:r>
      <w:hyperlink r:id="rId35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https://www12.statcan.gc.ca/census-recensement/2021/as-sa/fogs-spg/alternative.cfm?dguid=2021S0503555&amp;lang=e&amp;objectId=1c&amp;topic=5</w:t>
      </w:r>
    </w:p>
    <w:p>
      <w:pPr>
        <w:pStyle w:val="BodyText"/>
      </w:pPr>
      <w:hyperlink r:id="rId35">
        <w:r>
          <w:rPr>
            <w:rStyle w:val="Hyperlink"/>
          </w:rPr>
          <w:t xml:space="preserve">https://www12.statcan.gc.ca/census-recensement/2021/as-sa/fogs-spg/alternative.cfm?dguid=2021S0503555&amp;lang=e&amp;objectId=1c&amp;topic=5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[34]</w:t>
        </w:r>
      </w:hyperlink>
      <w:r>
        <w:t xml:space="preserve"> </w:t>
      </w:r>
      <w:hyperlink r:id="rId36">
        <w:r>
          <w:rPr>
            <w:rStyle w:val="Hyperlink"/>
          </w:rPr>
          <w:t xml:space="preserve">[58]</w:t>
        </w:r>
      </w:hyperlink>
      <w:r>
        <w:t xml:space="preserve"> </w:t>
      </w:r>
      <w:hyperlink r:id="rId36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https://food-guide.canada.ca/en/guidelines/section-2-foods-and-beverages-undermine-healthy-eating/</w:t>
      </w:r>
    </w:p>
    <w:p>
      <w:pPr>
        <w:pStyle w:val="BodyText"/>
      </w:pPr>
      <w:hyperlink r:id="rId36">
        <w:r>
          <w:rPr>
            <w:rStyle w:val="Hyperlink"/>
          </w:rPr>
          <w:t xml:space="preserve">https://food-guide.canada.ca/en/guidelines/section-2-foods-and-beverages-undermine-healthy-eating/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https://www.canada.ca/en/health-canada/services/food-nutrition/nutrition-labelling/front-package.html</w:t>
      </w:r>
    </w:p>
    <w:p>
      <w:pPr>
        <w:pStyle w:val="BodyText"/>
      </w:pPr>
      <w:hyperlink r:id="rId37">
        <w:r>
          <w:rPr>
            <w:rStyle w:val="Hyperlink"/>
          </w:rPr>
          <w:t xml:space="preserve">https://www.canada.ca/en/health-canada/services/food-nutrition/nutrition-labelling/front-package.html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https://inspection.canada.ca/en/food-labels/labelling/industry/nutrient-content/no-added-sugars</w:t>
      </w:r>
    </w:p>
    <w:p>
      <w:pPr>
        <w:pStyle w:val="BodyText"/>
      </w:pPr>
      <w:hyperlink r:id="rId38">
        <w:r>
          <w:rPr>
            <w:rStyle w:val="Hyperlink"/>
          </w:rPr>
          <w:t xml:space="preserve">https://inspection.canada.ca/en/food-labels/labelling/industry/nutrient-content/no-added-sugars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[37]</w:t>
        </w:r>
      </w:hyperlink>
      <w:r>
        <w:t xml:space="preserve"> </w:t>
      </w:r>
      <w:hyperlink r:id="rId40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https://boosterjuice.com/pages/our-story?srsltid=AfmBOoqr5Z6yQezPo90l91THBf6YaxSSHh2JzRWpnqQ0mNlFFzZHCybt</w:t>
      </w:r>
    </w:p>
    <w:p>
      <w:pPr>
        <w:pStyle w:val="BodyText"/>
      </w:pPr>
      <w:hyperlink r:id="rId40">
        <w:r>
          <w:rPr>
            <w:rStyle w:val="Hyperlink"/>
          </w:rPr>
          <w:t xml:space="preserve">https://boosterjuice.com/pages/our-story?srsltid=AfmBOoqr5Z6yQezPo90l91THBf6YaxSSHh2JzRWpnqQ0mNlFFzZHCybt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https://www.timhortons.ca/tims-for-good</w:t>
      </w:r>
    </w:p>
    <w:p>
      <w:pPr>
        <w:pStyle w:val="BodyText"/>
      </w:pPr>
      <w:hyperlink r:id="rId41">
        <w:r>
          <w:rPr>
            <w:rStyle w:val="Hyperlink"/>
          </w:rPr>
          <w:t xml:space="preserve">https://www.timhortons.ca/tims-for-good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https://investor.starbucks.com/news/financial-releases/news-details/2024/Starbucks-Reports-Q4-and-Full-Fiscal-Year-2024-Results/default.aspx</w:t>
      </w:r>
    </w:p>
    <w:p>
      <w:pPr>
        <w:pStyle w:val="BodyText"/>
      </w:pPr>
      <w:hyperlink r:id="rId42">
        <w:r>
          <w:rPr>
            <w:rStyle w:val="Hyperlink"/>
          </w:rPr>
          <w:t xml:space="preserve">https://investor.starbucks.com/news/financial-releases/news-details/2024/Starbucks-Reports-Q4-and-Full-Fiscal-Year-2024-Results/default.aspx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Coffee Shop Near Me - Find a Second Cup Café Nearby</w:t>
      </w:r>
    </w:p>
    <w:p>
      <w:pPr>
        <w:pStyle w:val="BodyText"/>
      </w:pPr>
      <w:hyperlink r:id="rId43">
        <w:r>
          <w:rPr>
            <w:rStyle w:val="Hyperlink"/>
          </w:rPr>
          <w:t xml:space="preserve">https://secondcup.com/en/find-a-cafe/?utm_source=chatgpt.com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[43]</w:t>
        </w:r>
      </w:hyperlink>
      <w:r>
        <w:t xml:space="preserve"> </w:t>
      </w:r>
      <w:hyperlink r:id="rId44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Locations/Online Orders | CoCo Bubble Tea Canada</w:t>
      </w:r>
    </w:p>
    <w:p>
      <w:pPr>
        <w:pStyle w:val="BodyText"/>
      </w:pPr>
      <w:hyperlink r:id="rId44">
        <w:r>
          <w:rPr>
            <w:rStyle w:val="Hyperlink"/>
          </w:rPr>
          <w:t xml:space="preserve">https://www.cocofreshtea.ca/locations/?utm_source=chatgpt.com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https://chatime.ca/franchising/</w:t>
      </w:r>
    </w:p>
    <w:p>
      <w:pPr>
        <w:pStyle w:val="BodyText"/>
      </w:pPr>
      <w:hyperlink r:id="rId45">
        <w:r>
          <w:rPr>
            <w:rStyle w:val="Hyperlink"/>
          </w:rPr>
          <w:t xml:space="preserve">https://chatime.ca/franchising/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Find Gong Cha Near You | Best Bubble Tea Shop in Canada</w:t>
      </w:r>
    </w:p>
    <w:p>
      <w:pPr>
        <w:pStyle w:val="BodyText"/>
      </w:pPr>
      <w:hyperlink r:id="rId46">
        <w:r>
          <w:rPr>
            <w:rStyle w:val="Hyperlink"/>
          </w:rPr>
          <w:t xml:space="preserve">https://gong-cha.ca/locations-2/?utm_source=chatgpt.com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Locations | KUNG FU TEA ONTARIO</w:t>
      </w:r>
    </w:p>
    <w:p>
      <w:pPr>
        <w:pStyle w:val="BodyText"/>
      </w:pPr>
      <w:hyperlink r:id="rId47">
        <w:r>
          <w:rPr>
            <w:rStyle w:val="Hyperlink"/>
          </w:rPr>
          <w:t xml:space="preserve">https://www.kungfuteaontario.com/en/locations?utm_source=chatgpt.com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[50]</w:t>
        </w:r>
      </w:hyperlink>
      <w:r>
        <w:t xml:space="preserve"> </w:t>
      </w:r>
      <w:hyperlink r:id="rId48">
        <w:r>
          <w:rPr>
            <w:rStyle w:val="Hyperlink"/>
          </w:rPr>
          <w:t xml:space="preserve">[68]</w:t>
        </w:r>
      </w:hyperlink>
      <w:r>
        <w:t xml:space="preserve"> </w:t>
      </w:r>
      <w:r>
        <w:t xml:space="preserve">https://www.toronto.ca/community-people/health-wellness-care/health-programs-advice/food-safety/food-safety-for-businesses/starting-a-food-business/</w:t>
      </w:r>
    </w:p>
    <w:p>
      <w:pPr>
        <w:pStyle w:val="BodyText"/>
      </w:pPr>
      <w:hyperlink r:id="rId48">
        <w:r>
          <w:rPr>
            <w:rStyle w:val="Hyperlink"/>
          </w:rPr>
          <w:t xml:space="preserve">https://www.toronto.ca/community-people/health-wellness-care/health-programs-advice/food-safety/food-safety-for-businesses/starting-a-food-business/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The Alley - STC Mall</w:t>
      </w:r>
    </w:p>
    <w:p>
      <w:pPr>
        <w:pStyle w:val="BodyText"/>
      </w:pPr>
      <w:hyperlink r:id="rId49">
        <w:r>
          <w:rPr>
            <w:rStyle w:val="Hyperlink"/>
          </w:rPr>
          <w:t xml:space="preserve">https://scarboroughtowncentre.com/store/the-alley/?utm_source=chatgpt.com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Our Locations</w:t>
      </w:r>
    </w:p>
    <w:p>
      <w:pPr>
        <w:pStyle w:val="BodyText"/>
      </w:pPr>
      <w:hyperlink r:id="rId50">
        <w:r>
          <w:rPr>
            <w:rStyle w:val="Hyperlink"/>
          </w:rPr>
          <w:t xml:space="preserve">https://www.tigersugar.ca/contact?utm_source=chatgpt.com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Sharetea Stores Locations in Canada</w:t>
      </w:r>
    </w:p>
    <w:p>
      <w:pPr>
        <w:pStyle w:val="BodyText"/>
      </w:pPr>
      <w:hyperlink r:id="rId51">
        <w:r>
          <w:rPr>
            <w:rStyle w:val="Hyperlink"/>
          </w:rPr>
          <w:t xml:space="preserve">https://www.1992sharetea.com/canada-old?utm_source=chatgpt.com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[56]</w:t>
        </w:r>
      </w:hyperlink>
      <w:r>
        <w:t xml:space="preserve"> </w:t>
      </w:r>
      <w:hyperlink r:id="rId52">
        <w:r>
          <w:rPr>
            <w:rStyle w:val="Hyperlink"/>
          </w:rPr>
          <w:t xml:space="preserve">[76]</w:t>
        </w:r>
      </w:hyperlink>
      <w:r>
        <w:t xml:space="preserve"> </w:t>
      </w:r>
      <w:r>
        <w:t xml:space="preserve">https://s26.q4cdn.com/317237604/files/doc_financials/2024/ar/b16f0901-feeb-4cff-9658-3baf738cef10.pdf</w:t>
      </w:r>
    </w:p>
    <w:p>
      <w:pPr>
        <w:pStyle w:val="BodyText"/>
      </w:pPr>
      <w:hyperlink r:id="rId52">
        <w:r>
          <w:rPr>
            <w:rStyle w:val="Hyperlink"/>
          </w:rPr>
          <w:t xml:space="preserve">https://s26.q4cdn.com/317237604/files/doc_financials/2024/ar/b16f0901-feeb-4cff-9658-3baf738cef10.pdf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Find a Location</w:t>
      </w:r>
    </w:p>
    <w:p>
      <w:pPr>
        <w:pStyle w:val="BodyText"/>
      </w:pPr>
      <w:hyperlink r:id="rId53">
        <w:r>
          <w:rPr>
            <w:rStyle w:val="Hyperlink"/>
          </w:rPr>
          <w:t xml:space="preserve">https://jugojuice.com/find-a-location/?utm_source=chatgpt.com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[69]</w:t>
        </w:r>
      </w:hyperlink>
      <w:r>
        <w:t xml:space="preserve"> </w:t>
      </w:r>
      <w:hyperlink r:id="rId62">
        <w:r>
          <w:rPr>
            <w:rStyle w:val="Hyperlink"/>
          </w:rPr>
          <w:t xml:space="preserve">[75]</w:t>
        </w:r>
      </w:hyperlink>
      <w:r>
        <w:t xml:space="preserve"> </w:t>
      </w:r>
      <w:r>
        <w:t xml:space="preserve">https://www.canada.ca/en/health-canada/services/food-nutrition/nutrition-labelling/nutrition-claims.html</w:t>
      </w:r>
    </w:p>
    <w:p>
      <w:pPr>
        <w:pStyle w:val="BodyText"/>
      </w:pPr>
      <w:hyperlink r:id="rId62">
        <w:r>
          <w:rPr>
            <w:rStyle w:val="Hyperlink"/>
          </w:rPr>
          <w:t xml:space="preserve">https://www.canada.ca/en/health-canada/services/food-nutrition/nutrition-labelling/nutrition-claims.html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[70]</w:t>
        </w:r>
      </w:hyperlink>
      <w:r>
        <w:t xml:space="preserve"> </w:t>
      </w:r>
      <w:r>
        <w:t xml:space="preserve">https://www.canada.ca/en/health-canada/services/food-nutrition/supplemented-foods/caffeinated-energy-drinks.html</w:t>
      </w:r>
    </w:p>
    <w:p>
      <w:pPr>
        <w:pStyle w:val="BodyText"/>
      </w:pPr>
      <w:hyperlink r:id="rId63">
        <w:r>
          <w:rPr>
            <w:rStyle w:val="Hyperlink"/>
          </w:rPr>
          <w:t xml:space="preserve">https://www.canada.ca/en/health-canada/services/food-nutrition/supplemented-foods/caffeinated-energy-drinks.html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[77]</w:t>
        </w:r>
      </w:hyperlink>
      <w:r>
        <w:t xml:space="preserve"> </w:t>
      </w:r>
      <w:r>
        <w:t xml:space="preserve">https://www.toronto.ca/community-people/health-wellness-care/health-programs-advice/food-safety/dinesafe/</w:t>
      </w:r>
    </w:p>
    <w:p>
      <w:pPr>
        <w:pStyle w:val="BodyText"/>
      </w:pPr>
      <w:hyperlink r:id="rId65">
        <w:r>
          <w:rPr>
            <w:rStyle w:val="Hyperlink"/>
          </w:rPr>
          <w:t xml:space="preserve">https://www.toronto.ca/community-people/health-wellness-care/health-programs-advice/food-safety/dinesafe/</w:t>
        </w:r>
      </w:hyperlink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0" Target="https://boosterjuice.com/pages/our-story?srsltid=AfmBOoqr5Z6yQezPo90l91THBf6YaxSSHh2JzRWpnqQ0mNlFFzZHCybt" TargetMode="External" /><Relationship Type="http://schemas.openxmlformats.org/officeDocument/2006/relationships/hyperlink" Id="rId45" Target="https://chatime.ca/franchising/" TargetMode="External" /><Relationship Type="http://schemas.openxmlformats.org/officeDocument/2006/relationships/hyperlink" Id="rId36" Target="https://food-guide.canada.ca/en/guidelines/section-2-foods-and-beverages-undermine-healthy-eating/" TargetMode="External" /><Relationship Type="http://schemas.openxmlformats.org/officeDocument/2006/relationships/hyperlink" Id="rId46" Target="https://gong-cha.ca/locations-2/?utm_source=chatgpt.com" TargetMode="External" /><Relationship Type="http://schemas.openxmlformats.org/officeDocument/2006/relationships/hyperlink" Id="rId38" Target="https://inspection.canada.ca/en/food-labels/labelling/industry/nutrient-content/no-added-sugars" TargetMode="External" /><Relationship Type="http://schemas.openxmlformats.org/officeDocument/2006/relationships/hyperlink" Id="rId42" Target="https://investor.starbucks.com/news/financial-releases/news-details/2024/Starbucks-Reports-Q4-and-Full-Fiscal-Year-2024-Results/default.aspx" TargetMode="External" /><Relationship Type="http://schemas.openxmlformats.org/officeDocument/2006/relationships/hyperlink" Id="rId53" Target="https://jugojuice.com/find-a-location/?utm_source=chatgpt.com" TargetMode="External" /><Relationship Type="http://schemas.openxmlformats.org/officeDocument/2006/relationships/hyperlink" Id="rId52" Target="https://s26.q4cdn.com/317237604/files/doc_financials/2024/ar/b16f0901-feeb-4cff-9658-3baf738cef10.pdf" TargetMode="External" /><Relationship Type="http://schemas.openxmlformats.org/officeDocument/2006/relationships/hyperlink" Id="rId49" Target="https://scarboroughtowncentre.com/store/the-alley/?utm_source=chatgpt.com" TargetMode="External" /><Relationship Type="http://schemas.openxmlformats.org/officeDocument/2006/relationships/hyperlink" Id="rId43" Target="https://secondcup.com/en/find-a-cafe/?utm_source=chatgpt.com" TargetMode="External" /><Relationship Type="http://schemas.openxmlformats.org/officeDocument/2006/relationships/hyperlink" Id="rId51" Target="https://www.1992sharetea.com/canada-old?utm_source=chatgpt.com" TargetMode="External" /><Relationship Type="http://schemas.openxmlformats.org/officeDocument/2006/relationships/hyperlink" Id="rId37" Target="https://www.canada.ca/en/health-canada/services/food-nutrition/nutrition-labelling/front-package.html" TargetMode="External" /><Relationship Type="http://schemas.openxmlformats.org/officeDocument/2006/relationships/hyperlink" Id="rId62" Target="https://www.canada.ca/en/health-canada/services/food-nutrition/nutrition-labelling/nutrition-claims.html" TargetMode="External" /><Relationship Type="http://schemas.openxmlformats.org/officeDocument/2006/relationships/hyperlink" Id="rId63" Target="https://www.canada.ca/en/health-canada/services/food-nutrition/supplemented-foods/caffeinated-energy-drinks.html" TargetMode="External" /><Relationship Type="http://schemas.openxmlformats.org/officeDocument/2006/relationships/hyperlink" Id="rId33" Target="https://www.canada.ca/en/immigration-refugees-citizenship/corporate/transparency/committees/ollo-november-4-2024/international-student-population.html" TargetMode="External" /><Relationship Type="http://schemas.openxmlformats.org/officeDocument/2006/relationships/hyperlink" Id="rId21" Target="https://www.cbre.ca/-/media/project/cbre/dotcom/americas/canada-emerald/insights/Reports/Retail-rent-survey/canada-retail-rent-survey-H2-2025-e" TargetMode="External" /><Relationship Type="http://schemas.openxmlformats.org/officeDocument/2006/relationships/hyperlink" Id="rId44" Target="https://www.cocofreshtea.ca/locations/?utm_source=chatgpt.com" TargetMode="External" /><Relationship Type="http://schemas.openxmlformats.org/officeDocument/2006/relationships/hyperlink" Id="rId47" Target="https://www.kungfuteaontario.com/en/locations?utm_source=chatgpt.com" TargetMode="External" /><Relationship Type="http://schemas.openxmlformats.org/officeDocument/2006/relationships/hyperlink" Id="rId23" Target="https://www.ontario.ca/document/your-guide-employment-standards-act-0/minimum-wage" TargetMode="External" /><Relationship Type="http://schemas.openxmlformats.org/officeDocument/2006/relationships/hyperlink" Id="rId24" Target="https://www.ontario.ca/laws/regulation/170493" TargetMode="External" /><Relationship Type="http://schemas.openxmlformats.org/officeDocument/2006/relationships/hyperlink" Id="rId22" Target="https://www.restaurantscanada.org/wp-content/uploads/2024/09/Foodservice-Facts-2024-TEASER.pdf" TargetMode="External" /><Relationship Type="http://schemas.openxmlformats.org/officeDocument/2006/relationships/hyperlink" Id="rId50" Target="https://www.tigersugar.ca/contact?utm_source=chatgpt.com" TargetMode="External" /><Relationship Type="http://schemas.openxmlformats.org/officeDocument/2006/relationships/hyperlink" Id="rId41" Target="https://www.timhortons.ca/tims-for-good" TargetMode="External" /><Relationship Type="http://schemas.openxmlformats.org/officeDocument/2006/relationships/hyperlink" Id="rId65" Target="https://www.toronto.ca/community-people/health-wellness-care/health-programs-advice/food-safety/dinesafe/" TargetMode="External" /><Relationship Type="http://schemas.openxmlformats.org/officeDocument/2006/relationships/hyperlink" Id="rId48" Target="https://www.toronto.ca/community-people/health-wellness-care/health-programs-advice/food-safety/food-safety-for-businesses/starting-a-food-business/" TargetMode="External" /><Relationship Type="http://schemas.openxmlformats.org/officeDocument/2006/relationships/hyperlink" Id="rId27" Target="https://www12.statcan.gc.ca/census-recensement/2021/as-sa/fogs-spg/alternative.cfm?dguid=2021S0503505&amp;lang=e&amp;objectId=1c&amp;topic=5" TargetMode="External" /><Relationship Type="http://schemas.openxmlformats.org/officeDocument/2006/relationships/hyperlink" Id="rId34" Target="https://www12.statcan.gc.ca/census-recensement/2021/as-sa/fogs-spg/alternative.cfm?dguid=2021S0503535&amp;lang=e&amp;objectId=1c&amp;topic=5" TargetMode="External" /><Relationship Type="http://schemas.openxmlformats.org/officeDocument/2006/relationships/hyperlink" Id="rId30" Target="https://www12.statcan.gc.ca/census-recensement/2021/as-sa/fogs-spg/alternative.cfm?dguid=2021S0503535&amp;lang=e&amp;objectId=2_1&amp;topic=9" TargetMode="External" /><Relationship Type="http://schemas.openxmlformats.org/officeDocument/2006/relationships/hyperlink" Id="rId31" Target="https://www12.statcan.gc.ca/census-recensement/2021/as-sa/fogs-spg/alternative.cfm?dguid=2021S0503537&amp;lang=e&amp;objectId=1c&amp;topic=5" TargetMode="External" /><Relationship Type="http://schemas.openxmlformats.org/officeDocument/2006/relationships/hyperlink" Id="rId28" Target="https://www12.statcan.gc.ca/census-recensement/2021/as-sa/fogs-spg/alternative.cfm?dguid=2021S0503541&amp;lang=e&amp;objectId=1c&amp;topic=5" TargetMode="External" /><Relationship Type="http://schemas.openxmlformats.org/officeDocument/2006/relationships/hyperlink" Id="rId35" Target="https://www12.statcan.gc.ca/census-recensement/2021/as-sa/fogs-spg/alternative.cfm?dguid=2021S0503555&amp;lang=e&amp;objectId=1c&amp;topic=5" TargetMode="External" /><Relationship Type="http://schemas.openxmlformats.org/officeDocument/2006/relationships/hyperlink" Id="rId29" Target="https://www150.statcan.gc.ca/n1/daily-quotidien/260114/dq260114a-eng.htm" TargetMode="External" /><Relationship Type="http://schemas.openxmlformats.org/officeDocument/2006/relationships/hyperlink" Id="rId25" Target="https://www150.statcan.gc.ca/n1/daily-quotidien/260309/dq260309a-eng.ht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boosterjuice.com/pages/our-story?srsltid=AfmBOoqr5Z6yQezPo90l91THBf6YaxSSHh2JzRWpnqQ0mNlFFzZHCybt" TargetMode="External" /><Relationship Type="http://schemas.openxmlformats.org/officeDocument/2006/relationships/hyperlink" Id="rId45" Target="https://chatime.ca/franchising/" TargetMode="External" /><Relationship Type="http://schemas.openxmlformats.org/officeDocument/2006/relationships/hyperlink" Id="rId36" Target="https://food-guide.canada.ca/en/guidelines/section-2-foods-and-beverages-undermine-healthy-eating/" TargetMode="External" /><Relationship Type="http://schemas.openxmlformats.org/officeDocument/2006/relationships/hyperlink" Id="rId46" Target="https://gong-cha.ca/locations-2/?utm_source=chatgpt.com" TargetMode="External" /><Relationship Type="http://schemas.openxmlformats.org/officeDocument/2006/relationships/hyperlink" Id="rId38" Target="https://inspection.canada.ca/en/food-labels/labelling/industry/nutrient-content/no-added-sugars" TargetMode="External" /><Relationship Type="http://schemas.openxmlformats.org/officeDocument/2006/relationships/hyperlink" Id="rId42" Target="https://investor.starbucks.com/news/financial-releases/news-details/2024/Starbucks-Reports-Q4-and-Full-Fiscal-Year-2024-Results/default.aspx" TargetMode="External" /><Relationship Type="http://schemas.openxmlformats.org/officeDocument/2006/relationships/hyperlink" Id="rId53" Target="https://jugojuice.com/find-a-location/?utm_source=chatgpt.com" TargetMode="External" /><Relationship Type="http://schemas.openxmlformats.org/officeDocument/2006/relationships/hyperlink" Id="rId52" Target="https://s26.q4cdn.com/317237604/files/doc_financials/2024/ar/b16f0901-feeb-4cff-9658-3baf738cef10.pdf" TargetMode="External" /><Relationship Type="http://schemas.openxmlformats.org/officeDocument/2006/relationships/hyperlink" Id="rId49" Target="https://scarboroughtowncentre.com/store/the-alley/?utm_source=chatgpt.com" TargetMode="External" /><Relationship Type="http://schemas.openxmlformats.org/officeDocument/2006/relationships/hyperlink" Id="rId43" Target="https://secondcup.com/en/find-a-cafe/?utm_source=chatgpt.com" TargetMode="External" /><Relationship Type="http://schemas.openxmlformats.org/officeDocument/2006/relationships/hyperlink" Id="rId51" Target="https://www.1992sharetea.com/canada-old?utm_source=chatgpt.com" TargetMode="External" /><Relationship Type="http://schemas.openxmlformats.org/officeDocument/2006/relationships/hyperlink" Id="rId37" Target="https://www.canada.ca/en/health-canada/services/food-nutrition/nutrition-labelling/front-package.html" TargetMode="External" /><Relationship Type="http://schemas.openxmlformats.org/officeDocument/2006/relationships/hyperlink" Id="rId62" Target="https://www.canada.ca/en/health-canada/services/food-nutrition/nutrition-labelling/nutrition-claims.html" TargetMode="External" /><Relationship Type="http://schemas.openxmlformats.org/officeDocument/2006/relationships/hyperlink" Id="rId63" Target="https://www.canada.ca/en/health-canada/services/food-nutrition/supplemented-foods/caffeinated-energy-drinks.html" TargetMode="External" /><Relationship Type="http://schemas.openxmlformats.org/officeDocument/2006/relationships/hyperlink" Id="rId33" Target="https://www.canada.ca/en/immigration-refugees-citizenship/corporate/transparency/committees/ollo-november-4-2024/international-student-population.html" TargetMode="External" /><Relationship Type="http://schemas.openxmlformats.org/officeDocument/2006/relationships/hyperlink" Id="rId21" Target="https://www.cbre.ca/-/media/project/cbre/dotcom/americas/canada-emerald/insights/Reports/Retail-rent-survey/canada-retail-rent-survey-H2-2025-e" TargetMode="External" /><Relationship Type="http://schemas.openxmlformats.org/officeDocument/2006/relationships/hyperlink" Id="rId44" Target="https://www.cocofreshtea.ca/locations/?utm_source=chatgpt.com" TargetMode="External" /><Relationship Type="http://schemas.openxmlformats.org/officeDocument/2006/relationships/hyperlink" Id="rId47" Target="https://www.kungfuteaontario.com/en/locations?utm_source=chatgpt.com" TargetMode="External" /><Relationship Type="http://schemas.openxmlformats.org/officeDocument/2006/relationships/hyperlink" Id="rId23" Target="https://www.ontario.ca/document/your-guide-employment-standards-act-0/minimum-wage" TargetMode="External" /><Relationship Type="http://schemas.openxmlformats.org/officeDocument/2006/relationships/hyperlink" Id="rId24" Target="https://www.ontario.ca/laws/regulation/170493" TargetMode="External" /><Relationship Type="http://schemas.openxmlformats.org/officeDocument/2006/relationships/hyperlink" Id="rId22" Target="https://www.restaurantscanada.org/wp-content/uploads/2024/09/Foodservice-Facts-2024-TEASER.pdf" TargetMode="External" /><Relationship Type="http://schemas.openxmlformats.org/officeDocument/2006/relationships/hyperlink" Id="rId50" Target="https://www.tigersugar.ca/contact?utm_source=chatgpt.com" TargetMode="External" /><Relationship Type="http://schemas.openxmlformats.org/officeDocument/2006/relationships/hyperlink" Id="rId41" Target="https://www.timhortons.ca/tims-for-good" TargetMode="External" /><Relationship Type="http://schemas.openxmlformats.org/officeDocument/2006/relationships/hyperlink" Id="rId65" Target="https://www.toronto.ca/community-people/health-wellness-care/health-programs-advice/food-safety/dinesafe/" TargetMode="External" /><Relationship Type="http://schemas.openxmlformats.org/officeDocument/2006/relationships/hyperlink" Id="rId48" Target="https://www.toronto.ca/community-people/health-wellness-care/health-programs-advice/food-safety/food-safety-for-businesses/starting-a-food-business/" TargetMode="External" /><Relationship Type="http://schemas.openxmlformats.org/officeDocument/2006/relationships/hyperlink" Id="rId27" Target="https://www12.statcan.gc.ca/census-recensement/2021/as-sa/fogs-spg/alternative.cfm?dguid=2021S0503505&amp;lang=e&amp;objectId=1c&amp;topic=5" TargetMode="External" /><Relationship Type="http://schemas.openxmlformats.org/officeDocument/2006/relationships/hyperlink" Id="rId34" Target="https://www12.statcan.gc.ca/census-recensement/2021/as-sa/fogs-spg/alternative.cfm?dguid=2021S0503535&amp;lang=e&amp;objectId=1c&amp;topic=5" TargetMode="External" /><Relationship Type="http://schemas.openxmlformats.org/officeDocument/2006/relationships/hyperlink" Id="rId30" Target="https://www12.statcan.gc.ca/census-recensement/2021/as-sa/fogs-spg/alternative.cfm?dguid=2021S0503535&amp;lang=e&amp;objectId=2_1&amp;topic=9" TargetMode="External" /><Relationship Type="http://schemas.openxmlformats.org/officeDocument/2006/relationships/hyperlink" Id="rId31" Target="https://www12.statcan.gc.ca/census-recensement/2021/as-sa/fogs-spg/alternative.cfm?dguid=2021S0503537&amp;lang=e&amp;objectId=1c&amp;topic=5" TargetMode="External" /><Relationship Type="http://schemas.openxmlformats.org/officeDocument/2006/relationships/hyperlink" Id="rId28" Target="https://www12.statcan.gc.ca/census-recensement/2021/as-sa/fogs-spg/alternative.cfm?dguid=2021S0503541&amp;lang=e&amp;objectId=1c&amp;topic=5" TargetMode="External" /><Relationship Type="http://schemas.openxmlformats.org/officeDocument/2006/relationships/hyperlink" Id="rId35" Target="https://www12.statcan.gc.ca/census-recensement/2021/as-sa/fogs-spg/alternative.cfm?dguid=2021S0503555&amp;lang=e&amp;objectId=1c&amp;topic=5" TargetMode="External" /><Relationship Type="http://schemas.openxmlformats.org/officeDocument/2006/relationships/hyperlink" Id="rId29" Target="https://www150.statcan.gc.ca/n1/daily-quotidien/260114/dq260114a-eng.htm" TargetMode="External" /><Relationship Type="http://schemas.openxmlformats.org/officeDocument/2006/relationships/hyperlink" Id="rId25" Target="https://www150.statcan.gc.ca/n1/daily-quotidien/260309/dq260309a-eng.ht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2026-04-11T03:47:55Z</dcterms:created>
  <dcterms:modified xsi:type="dcterms:W3CDTF">2026-04-11T03:47:55Z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