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C3DE0" w14:textId="77777777" w:rsidR="00292079" w:rsidRPr="00292079" w:rsidRDefault="00292079" w:rsidP="00292079">
      <w:pPr>
        <w:pStyle w:val="Heading1"/>
        <w:rPr>
          <w:lang w:val="es-MX"/>
        </w:rPr>
      </w:pPr>
      <w:r w:rsidRPr="00292079">
        <w:rPr>
          <w:lang w:val="es-MX"/>
        </w:rPr>
        <w:t>Métodos</w:t>
      </w:r>
    </w:p>
    <w:p w14:paraId="02EE8B87" w14:textId="77777777" w:rsidR="00292079" w:rsidRPr="00292079" w:rsidRDefault="00292079" w:rsidP="00292079">
      <w:pPr>
        <w:pStyle w:val="Heading2"/>
        <w:rPr>
          <w:lang w:val="es-MX"/>
        </w:rPr>
      </w:pPr>
      <w:r w:rsidRPr="00292079">
        <w:rPr>
          <w:lang w:val="es-MX"/>
        </w:rPr>
        <w:t>Diseño de estudio</w:t>
      </w:r>
    </w:p>
    <w:p w14:paraId="146B62A8" w14:textId="77777777" w:rsidR="00292079" w:rsidRPr="00292079" w:rsidRDefault="00292079" w:rsidP="00292079">
      <w:pPr>
        <w:rPr>
          <w:lang w:val="es-MX"/>
        </w:rPr>
      </w:pPr>
      <w:r w:rsidRPr="00292079">
        <w:rPr>
          <w:lang w:val="es-MX"/>
        </w:rPr>
        <w:t xml:space="preserve">Estudio secundario en el </w:t>
      </w:r>
      <w:proofErr w:type="spellStart"/>
      <w:r w:rsidRPr="00292079">
        <w:rPr>
          <w:lang w:val="es-MX"/>
        </w:rPr>
        <w:t>cuál</w:t>
      </w:r>
      <w:proofErr w:type="spellEnd"/>
      <w:r w:rsidRPr="00292079">
        <w:rPr>
          <w:lang w:val="es-MX"/>
        </w:rPr>
        <w:t xml:space="preserve"> se analizó un piloto de la Encuesta Nacional de Satisfacción del personal de salud de hospitales del Ministerio de Salud y Gobiernos Regionales en el Sistema de Salud Peruano (ENSUSALUD 2024).</w:t>
      </w:r>
    </w:p>
    <w:p w14:paraId="76B48BBD" w14:textId="77777777" w:rsidR="00292079" w:rsidRPr="00292079" w:rsidRDefault="00292079" w:rsidP="00292079">
      <w:pPr>
        <w:rPr>
          <w:lang w:val="es-MX"/>
        </w:rPr>
      </w:pPr>
      <w:r w:rsidRPr="00292079">
        <w:rPr>
          <w:lang w:val="es-MX"/>
        </w:rPr>
        <w:t>Esta encuesta tuvo un diseño transversal y fue realizada en profesionales de salud que trabajan en hospitales públicos adscritos al Ministerio de Salud (MINSA) y los Gobiernos Regionales (</w:t>
      </w:r>
      <w:proofErr w:type="spellStart"/>
      <w:r w:rsidRPr="00292079">
        <w:rPr>
          <w:lang w:val="es-MX"/>
        </w:rPr>
        <w:t>GOREs</w:t>
      </w:r>
      <w:proofErr w:type="spellEnd"/>
      <w:r w:rsidRPr="00292079">
        <w:rPr>
          <w:lang w:val="es-MX"/>
        </w:rPr>
        <w:t>) en Perú durante el primer semestre del año 2024.</w:t>
      </w:r>
    </w:p>
    <w:p w14:paraId="0761D829" w14:textId="2A4B17E2" w:rsidR="00292079" w:rsidRPr="00292079" w:rsidRDefault="00AB6710" w:rsidP="00292079">
      <w:pPr>
        <w:pStyle w:val="Heading2"/>
        <w:rPr>
          <w:lang w:val="es-MX"/>
        </w:rPr>
      </w:pPr>
      <w:r>
        <w:rPr>
          <w:lang w:val="es-MX"/>
        </w:rPr>
        <w:t>Participantes</w:t>
      </w:r>
    </w:p>
    <w:p w14:paraId="6D931B14" w14:textId="0D991061" w:rsidR="00292079" w:rsidRPr="00292079" w:rsidRDefault="00292079" w:rsidP="00292079">
      <w:pPr>
        <w:rPr>
          <w:lang w:val="es-MX"/>
        </w:rPr>
      </w:pPr>
      <w:r w:rsidRPr="00292079">
        <w:rPr>
          <w:lang w:val="es-MX"/>
        </w:rPr>
        <w:t xml:space="preserve">Se incluyó a profesionales </w:t>
      </w:r>
      <w:proofErr w:type="spellStart"/>
      <w:r w:rsidRPr="00292079">
        <w:rPr>
          <w:lang w:val="es-MX"/>
        </w:rPr>
        <w:t>profesionales</w:t>
      </w:r>
      <w:proofErr w:type="spellEnd"/>
      <w:r w:rsidRPr="00292079">
        <w:rPr>
          <w:lang w:val="es-MX"/>
        </w:rPr>
        <w:t xml:space="preserve"> de medicina, enfermería u </w:t>
      </w:r>
      <w:proofErr w:type="spellStart"/>
      <w:r w:rsidRPr="00292079">
        <w:rPr>
          <w:lang w:val="es-MX"/>
        </w:rPr>
        <w:t>obstreticia</w:t>
      </w:r>
      <w:proofErr w:type="spellEnd"/>
      <w:r w:rsidRPr="00292079">
        <w:rPr>
          <w:lang w:val="es-MX"/>
        </w:rPr>
        <w:t xml:space="preserve"> en las IPRESS seleccionados por al menos 12 meses continuos en la IPRESS. Se excluyó a aquellos que no puedan responder debido a un accidente cerebro vascular con secuelas, aquellos que no desean participar o que no firmen el consentimiento informado. Además, se excluyó a aquellos que realicen exclusivamente teletrabajo.</w:t>
      </w:r>
      <w:r>
        <w:rPr>
          <w:lang w:val="es-MX"/>
        </w:rPr>
        <w:t xml:space="preserve"> </w:t>
      </w:r>
      <w:r w:rsidRPr="00292079">
        <w:rPr>
          <w:lang w:val="es-MX"/>
        </w:rPr>
        <w:t>Se eliminó de la base de datos a aquellos que no completaron el cuestionario por completo.</w:t>
      </w:r>
    </w:p>
    <w:p w14:paraId="355AAD8E" w14:textId="061957E9" w:rsidR="003F5494" w:rsidRPr="00292079" w:rsidRDefault="00292079" w:rsidP="00292079">
      <w:pPr>
        <w:rPr>
          <w:lang w:val="es-MX"/>
        </w:rPr>
      </w:pPr>
      <w:r w:rsidRPr="00292079">
        <w:rPr>
          <w:lang w:val="es-MX"/>
        </w:rPr>
        <w:t>Se realizó un muestreo por conveniencia. El personal de campo buscó entrevistar profesionales de salud en los establecimientos de salud.</w:t>
      </w:r>
      <w:r w:rsidR="001165AF">
        <w:rPr>
          <w:lang w:val="es-MX"/>
        </w:rPr>
        <w:t xml:space="preserve"> </w:t>
      </w:r>
    </w:p>
    <w:p w14:paraId="1C30D09A" w14:textId="77777777" w:rsidR="00292079" w:rsidRPr="00292079" w:rsidRDefault="00292079" w:rsidP="00292079">
      <w:pPr>
        <w:pStyle w:val="Heading2"/>
        <w:rPr>
          <w:lang w:val="es-MX"/>
        </w:rPr>
      </w:pPr>
      <w:r w:rsidRPr="00292079">
        <w:rPr>
          <w:lang w:val="es-MX"/>
        </w:rPr>
        <w:t>Variables y medición</w:t>
      </w:r>
    </w:p>
    <w:p w14:paraId="170E60BA" w14:textId="559CC21C" w:rsidR="00AB6710" w:rsidRPr="00AB6710" w:rsidRDefault="00AB6710" w:rsidP="00AB6710">
      <w:pPr>
        <w:rPr>
          <w:lang w:val="es-MX"/>
        </w:rPr>
      </w:pPr>
      <w:r w:rsidRPr="00AB6710">
        <w:rPr>
          <w:b/>
          <w:bCs/>
          <w:lang w:val="es-MX"/>
        </w:rPr>
        <w:t>Covar</w:t>
      </w:r>
      <w:r>
        <w:rPr>
          <w:b/>
          <w:bCs/>
          <w:lang w:val="es-MX"/>
        </w:rPr>
        <w:t>i</w:t>
      </w:r>
      <w:r w:rsidRPr="00AB6710">
        <w:rPr>
          <w:b/>
          <w:bCs/>
          <w:lang w:val="es-MX"/>
        </w:rPr>
        <w:t>ables:</w:t>
      </w:r>
      <w:r>
        <w:rPr>
          <w:lang w:val="es-MX"/>
        </w:rPr>
        <w:t xml:space="preserve"> </w:t>
      </w:r>
      <w:r w:rsidRPr="00AB6710">
        <w:rPr>
          <w:lang w:val="es-MX"/>
        </w:rPr>
        <w:t>Se consideraron variables sociodemográficas como la edad en años, profesión (enfermería, obstetricia, medicina), sexo (mujer/hombre), estado civil (casado/a o conviviente, divorciado/a o separado/a, soltero/a, viudo/a), tipo de vivienda (propia, alquilada, casa familiar, otros), número de personas dependientes del participante y si tuvo que dejar a su familia por motivos laborales.</w:t>
      </w:r>
    </w:p>
    <w:p w14:paraId="56CFD922" w14:textId="7E34D45E" w:rsidR="00AB6710" w:rsidRPr="00AB6710" w:rsidRDefault="00AB6710" w:rsidP="00AB6710">
      <w:pPr>
        <w:rPr>
          <w:lang w:val="es-MX"/>
        </w:rPr>
      </w:pPr>
      <w:r w:rsidRPr="00AB6710">
        <w:rPr>
          <w:b/>
          <w:bCs/>
          <w:lang w:val="es-MX"/>
        </w:rPr>
        <w:t>Violencia:</w:t>
      </w:r>
      <w:r w:rsidRPr="00AB6710">
        <w:rPr>
          <w:lang w:val="es-MX"/>
        </w:rPr>
        <w:t xml:space="preserve"> Se evaluó si los participantes habían experimentado alguno de los cuatro tipos de violencia: agresión física, insultos, amenazas y acoso. Cada tipo de violencia se registró de manera dicotómica, es decir, como presencia o ausencia.</w:t>
      </w:r>
    </w:p>
    <w:p w14:paraId="1E86AD7E" w14:textId="52279104" w:rsidR="00AB6710" w:rsidRPr="00AB6710" w:rsidRDefault="00AB6710" w:rsidP="00AB6710">
      <w:pPr>
        <w:rPr>
          <w:lang w:val="es-MX"/>
        </w:rPr>
      </w:pPr>
      <w:r w:rsidRPr="00AB6710">
        <w:rPr>
          <w:b/>
          <w:bCs/>
          <w:lang w:val="es-MX"/>
        </w:rPr>
        <w:t>Percepción de corrupción</w:t>
      </w:r>
      <w:r w:rsidRPr="00AB6710">
        <w:rPr>
          <w:lang w:val="es-MX"/>
        </w:rPr>
        <w:t>: Esta variable se midió a través de una única pregunta sobre el nivel de corrupción percibido en el sistema de salud del Perú, utilizando una escala de Likert que iba de 1 (muy alto) a 5 (muy bajo).</w:t>
      </w:r>
    </w:p>
    <w:p w14:paraId="43586BCD" w14:textId="211A86E0" w:rsidR="00AB6710" w:rsidRDefault="00AB6710" w:rsidP="00AB6710">
      <w:pPr>
        <w:rPr>
          <w:lang w:val="es-MX"/>
        </w:rPr>
      </w:pPr>
      <w:r w:rsidRPr="00AB6710">
        <w:rPr>
          <w:b/>
          <w:bCs/>
          <w:lang w:val="es-MX"/>
        </w:rPr>
        <w:t>Percepción de discriminación:</w:t>
      </w:r>
      <w:r w:rsidRPr="00AB6710">
        <w:rPr>
          <w:lang w:val="es-MX"/>
        </w:rPr>
        <w:t xml:space="preserve"> La discriminación se evaluó mediante una pregunta que indagaba si en los últimos 12 meses el participante había sido </w:t>
      </w:r>
      <w:r w:rsidRPr="00AB6710">
        <w:rPr>
          <w:lang w:val="es-MX"/>
        </w:rPr>
        <w:lastRenderedPageBreak/>
        <w:t>víctima de algún acto de discriminación en el sistema de salud peruano. Se utilizó una escala dicotómica para determinar la percepción de discriminación.</w:t>
      </w:r>
    </w:p>
    <w:p w14:paraId="1BDE6D18" w14:textId="283247BC" w:rsidR="001165AF" w:rsidRPr="00461FEA" w:rsidRDefault="001165AF" w:rsidP="001165AF">
      <w:pPr>
        <w:rPr>
          <w:lang w:val="es-MX"/>
        </w:rPr>
      </w:pPr>
      <w:commentRangeStart w:id="0"/>
      <w:r w:rsidRPr="0099280D">
        <w:rPr>
          <w:b/>
          <w:bCs/>
          <w:lang w:val="es-MX"/>
        </w:rPr>
        <w:t xml:space="preserve">Síntomas depresivos: </w:t>
      </w:r>
      <w:commentRangeEnd w:id="0"/>
      <w:r>
        <w:rPr>
          <w:rStyle w:val="CommentReference"/>
        </w:rPr>
        <w:commentReference w:id="0"/>
      </w:r>
      <w:r>
        <w:rPr>
          <w:lang w:val="es-MX"/>
        </w:rPr>
        <w:t xml:space="preserve">Se utilizó el </w:t>
      </w:r>
      <w:proofErr w:type="spellStart"/>
      <w:r w:rsidRPr="0099280D">
        <w:rPr>
          <w:lang w:val="es-MX"/>
        </w:rPr>
        <w:t>El</w:t>
      </w:r>
      <w:proofErr w:type="spellEnd"/>
      <w:r w:rsidRPr="0099280D">
        <w:rPr>
          <w:lang w:val="es-MX"/>
        </w:rPr>
        <w:t xml:space="preserve"> PHQ-2 </w:t>
      </w:r>
      <w:r>
        <w:rPr>
          <w:lang w:val="es-MX"/>
        </w:rPr>
        <w:t xml:space="preserve">que es una </w:t>
      </w:r>
      <w:r w:rsidRPr="0099280D">
        <w:rPr>
          <w:lang w:val="es-MX"/>
        </w:rPr>
        <w:t>versión abreviada del PHQ-9 con solo dos ítems</w:t>
      </w:r>
      <w:r>
        <w:rPr>
          <w:lang w:val="es-MX"/>
        </w:rPr>
        <w:t xml:space="preserve"> </w:t>
      </w:r>
      <w:r>
        <w:rPr>
          <w:lang w:val="es-MX"/>
        </w:rPr>
        <w:fldChar w:fldCharType="begin"/>
      </w:r>
      <w:r w:rsidR="003F5494">
        <w:rPr>
          <w:lang w:val="es-MX"/>
        </w:rPr>
        <w:instrText xml:space="preserve"> ADDIN ZOTERO_ITEM CSL_CITATION {"citationID":"lvzMXk7P","properties":{"formattedCitation":"(Spitzer et al., 1999)","plainCitation":"(Spitzer et al., 1999)","noteIndex":0},"citationItems":[{"id":14638,"uris":["http://zotero.org/groups/5408693/items/A3LV2SAU"],"itemData":{"id":14638,"type":"article-journal","abstract":"CONTEXT: The Primary Care Evaluation of Mental Disorders (PRIME-MD) was developed as a screening instrument but its administration time has limited its clinical usefulness.\nOBJECTIVE: To determine if the self-administered PRIME-MD Patient Health Questionnaire (PHQ) has validity and utility for diagnosing mental disorders in primary care comparable to the original clinician-administered PRIME-MD.\nDESIGN: Criterion standard study undertaken between May 1997 and November 1998.\nSETTING: Eight primary care clinics in the United States.\nPARTICIPANTS: Of a total of 3000 adult patients (selected by site-specific methods to avoid sampling bias) assessed by 62 primary care physicians (21 general internal medicine, 41 family practice), 585 patients had an interview with a mental health professional within 48 hours of completing the PHQ.\nMAIN OUTCOME MEASURES: Patient Health Questionnaire diagnoses compared with independent diagnoses made by mental health professionals; functional status measures; disability days; health care use; and treatment/referral decisions.\nRESULTS: A total of 825 (28%) of the 3000 individuals and 170 (29%) of the 585 had a PHQ diagnosis. There was good agreement between PHQ diagnoses and those of independent mental health professionals (for the diagnosis of any 1 or more PHQ disorder, kappa = 0.65; overall accuracy, 85%; sensitivity, 75%; specificity, 90%), similar to the original PRIME-MD. Patients with PHQ diagnoses had more functional impairment, disability days, and health care use than did patients without PHQ diagnoses (for all group main effects, P&lt;.001). The average time required of the physician to review the PHQ was far less than to administer the original PRIME-MD (&lt;3 minutes for 85% vs 16% of the cases). Although 80% of the physicians reported that routine use of the PHQ would be useful, new management actions were initiated or planned for only 117 (32%) of the 363 patients with 1 or more PHQ diagnoses not previously recognized.\nCONCLUSION: Our study suggests that the PHQ has diagnostic validity comparable to the original clinician-administered PRIME-MD, and is more efficient to use.","container-title":"JAMA","DOI":"10.1001/jama.282.18.1737","ISSN":"0098-7484","issue":"18","journalAbbreviation":"JAMA","language":"eng","note":"PMID: 10568646","page":"1737-1744","source":"PubMed","title":"Validation and utility of a self-report version of PRIME-MD: the PHQ primary care study. Primary Care Evaluation of Mental Disorders. Patient Health Questionnaire","title-short":"Validation and utility of a self-report version of PRIME-MD","volume":"282","author":[{"family":"Spitzer","given":"R. L."},{"family":"Kroenke","given":"K."},{"family":"Williams","given":"J. B."}],"issued":{"date-parts":[["1999",11,10]]}}}],"schema":"https://github.com/citation-style-language/schema/raw/master/csl-citation.json"} </w:instrText>
      </w:r>
      <w:r>
        <w:rPr>
          <w:lang w:val="es-MX"/>
        </w:rPr>
        <w:fldChar w:fldCharType="separate"/>
      </w:r>
      <w:r w:rsidR="003F5494" w:rsidRPr="003F5494">
        <w:rPr>
          <w:rFonts w:ascii="Aptos" w:hAnsi="Aptos"/>
          <w:lang w:val="es-MX"/>
        </w:rPr>
        <w:t>(Spitzer et al., 1999)</w:t>
      </w:r>
      <w:r>
        <w:rPr>
          <w:lang w:val="es-MX"/>
        </w:rPr>
        <w:fldChar w:fldCharType="end"/>
      </w:r>
      <w:r w:rsidRPr="0099280D">
        <w:rPr>
          <w:lang w:val="es-MX"/>
        </w:rPr>
        <w:t xml:space="preserve">, centrándose en los dos primeros ítems relacionados con los síntomas centrales de la depresión (anhedonia y estado de ánimo depresivo) y proporcionando puntuaciones entre 0 y 6. El PHQ-2 fue validado en Perú, mostró niveles adecuados de consistencia interna y óptimos </w:t>
      </w:r>
      <w:r w:rsidRPr="00461FEA">
        <w:rPr>
          <w:lang w:val="es-MX"/>
        </w:rPr>
        <w:t xml:space="preserve">valores de sensibilidad y especificidad con un punto de cohorte de </w:t>
      </w:r>
      <w:r w:rsidRPr="001165AF">
        <w:rPr>
          <w:lang w:val="es-MX"/>
        </w:rPr>
        <w:t xml:space="preserve">≥2 puntos </w:t>
      </w:r>
      <w:r w:rsidRPr="00461FEA">
        <w:fldChar w:fldCharType="begin"/>
      </w:r>
      <w:r w:rsidR="003F5494">
        <w:rPr>
          <w:lang w:val="es-MX"/>
        </w:rPr>
        <w:instrText xml:space="preserve"> ADDIN ZOTERO_ITEM CSL_CITATION {"citationID":"L6O5Ygs0","properties":{"formattedCitation":"(Villarreal-Zegarra et al., 2023)","plainCitation":"(Villarreal-Zegarra et al., 2023)","noteIndex":0},"citationItems":[{"id":14636,"uris":["http://zotero.org/groups/5408693/items/N2E5SAG2"],"itemData":{"id":14636,"type":"article-journal","abstract":"OBJECTIVES: The Patient Health Questionnaire (PHQ) and Generalised Anxiety Disorder Scale (GAD) are widely used screening tools, but their sensitivity and specificity in low-income and middle-income countries are lower than in high-income countries. We conducted a study to determine the sensitivity and specificity of different versions of these scales in a Peruvian hospital population.\nDESIGN: Our study has a cross-sectional design.\nSETTING: Our participants are hospitalised patients in a Peruvian hospital. The gold standard was a clinical psychiatric interview following ICD-10 criteria for depression (F32.0, F32.1, F32.2 and F32.3) and anxiety (F41.0 and F41.1).\nPARTICIPANTS: The sample included 1347 participants. A total of 334 participants (24.8%) were diagnosed with depression, and 28 participants (2.1%) were diagnosed with anxiety.\nRESULTS: The PHQ-9's≥7 cut-off point showed the highest simultaneous sensitivity and specificity when contrasted against a psychiatric diagnosis of depression. For a similar contrast against the gold standard, the other optimal cut-off points were: ≥7 for the PHQ-8 and ≥2 for the PHQ-2. In particular, the cut-off point ≥8 had good performance for GAD-7 with sensitivity and specificity, and cut-off point ≥10 had lower levels of sensitivity, but higher levels of specificity, compared with the cut-off point of ≥8. Also, we present the sensitivity and specificity values of each cut-off point in PHQ-9, PHQ-8, PHQ-2, GAD-7 and GAD-2. We confirmed the adequacy of a one-dimensional model for the PHQ-9, PHQ-8 and GAD-7, while all PHQ and GAD scales showed good reliability.\nCONCLUSIONS: The PHQ and GAD have adequate measurement properties in their different versions. We present specific cut-offs for each version.","container-title":"BMJ open","DOI":"10.1136/bmjopen-2023-076193","ISSN":"2044-6055","issue":"9","journalAbbreviation":"BMJ Open","language":"eng","note":"PMID: 37714674\nPMCID: PMC10510859","page":"e076193","source":"PubMed","title":"Sensitivity and specificity of the Patient Health Questionnaire (PHQ-9, PHQ-8, PHQ-2) and General Anxiety Disorder scale (GAD-7, GAD-2) for depression and anxiety diagnosis: a cross-sectional study in a Peruvian hospital population","title-short":"Sensitivity and specificity of the Patient Health Questionnaire (PHQ-9, PHQ-8, PHQ-2) and General Anxiety Disorder scale (GAD-7, GAD-2) for depression and anxiety diagnosis","volume":"13","author":[{"family":"Villarreal-Zegarra","given":"David"},{"family":"Barrera-Begazo","given":"Juan"},{"family":"Otazú-Alfaro","given":"Sharlyn"},{"family":"Mayo-Puchoc","given":"Nikol"},{"family":"Bazo-Alvarez","given":"Juan Carlos"},{"family":"Huarcaya-Victoria","given":"Jeff"}],"issued":{"date-parts":[["2023",9,15]]}}}],"schema":"https://github.com/citation-style-language/schema/raw/master/csl-citation.json"} </w:instrText>
      </w:r>
      <w:r w:rsidRPr="00461FEA">
        <w:fldChar w:fldCharType="separate"/>
      </w:r>
      <w:r w:rsidR="003F5494" w:rsidRPr="003F5494">
        <w:rPr>
          <w:rFonts w:ascii="Aptos" w:hAnsi="Aptos"/>
          <w:lang w:val="es-MX"/>
        </w:rPr>
        <w:t>(Villarreal-Zegarra et al., 2023)</w:t>
      </w:r>
      <w:r w:rsidRPr="00461FEA">
        <w:fldChar w:fldCharType="end"/>
      </w:r>
      <w:r w:rsidRPr="001165AF">
        <w:rPr>
          <w:lang w:val="es-MX"/>
        </w:rPr>
        <w:t xml:space="preserve">. </w:t>
      </w:r>
    </w:p>
    <w:p w14:paraId="3F0C0018" w14:textId="2FCD197D" w:rsidR="001165AF" w:rsidRPr="007F261B" w:rsidRDefault="001165AF" w:rsidP="001165AF">
      <w:pPr>
        <w:rPr>
          <w:lang w:val="es-MX"/>
        </w:rPr>
      </w:pPr>
      <w:commentRangeStart w:id="1"/>
      <w:r w:rsidRPr="00461FEA">
        <w:rPr>
          <w:b/>
          <w:bCs/>
          <w:lang w:val="es-MX"/>
        </w:rPr>
        <w:t xml:space="preserve">Síntomas ansiosos: </w:t>
      </w:r>
      <w:commentRangeEnd w:id="1"/>
      <w:r>
        <w:rPr>
          <w:rStyle w:val="CommentReference"/>
        </w:rPr>
        <w:commentReference w:id="1"/>
      </w:r>
      <w:r w:rsidRPr="001165AF">
        <w:rPr>
          <w:lang w:val="es-MX"/>
        </w:rPr>
        <w:t>Se usó e</w:t>
      </w:r>
      <w:r w:rsidRPr="001165AF">
        <w:rPr>
          <w:lang w:val="es-MX"/>
        </w:rPr>
        <w:t>l</w:t>
      </w:r>
      <w:r w:rsidRPr="00461FEA">
        <w:rPr>
          <w:lang w:val="es-MX"/>
        </w:rPr>
        <w:t xml:space="preserve"> GAD-2 </w:t>
      </w:r>
      <w:r>
        <w:rPr>
          <w:lang w:val="es-MX"/>
        </w:rPr>
        <w:t xml:space="preserve">que es una </w:t>
      </w:r>
      <w:r w:rsidRPr="00461FEA">
        <w:rPr>
          <w:lang w:val="es-MX"/>
        </w:rPr>
        <w:t>adapta</w:t>
      </w:r>
      <w:r>
        <w:rPr>
          <w:lang w:val="es-MX"/>
        </w:rPr>
        <w:t>ción</w:t>
      </w:r>
      <w:r w:rsidRPr="00461FEA">
        <w:rPr>
          <w:lang w:val="es-MX"/>
        </w:rPr>
        <w:t xml:space="preserve"> del GAD-7 </w:t>
      </w:r>
      <w:r w:rsidRPr="00461FEA">
        <w:rPr>
          <w:lang w:val="es-MX"/>
        </w:rPr>
        <w:fldChar w:fldCharType="begin"/>
      </w:r>
      <w:r w:rsidR="003F5494">
        <w:rPr>
          <w:lang w:val="es-MX"/>
        </w:rPr>
        <w:instrText xml:space="preserve"> ADDIN ZOTERO_ITEM CSL_CITATION {"citationID":"7AobYOo1","properties":{"formattedCitation":"(Kroenke et al., 2007)","plainCitation":"(Kroenke et al., 2007)","noteIndex":0},"citationItems":[{"id":14640,"uris":["http://zotero.org/groups/5408693/items/74BD7NEE"],"itemData":{"id":14640,"type":"article-journal","abstract":"BACKGROUND: Anxiety, although as common as depression, has received less attention and is often undetected and undertreated.\nOBJECTIVE: To determine the current prevalence, impairment, and comorbidity of anxiety disorders in primary care and to evaluate a brief measure for detecting these disorders.\nDESIGN: Criterion-standard study performed between November 2004 and June 2005.\nSETTING: 15 U.S. primary care clinics.\nPARTICIPANTS: 965 randomly sampled patients from consecutive clinic patients who completed a self-report questionnaire and agreed to a follow-up telephone interview.\nMEASUREMENTS: 7-item anxiety measure (Generalized Anxiety Disorder [GAD]-7 scale) in the clinic, followed by a telephone-administered, structured psychiatric interview by a mental health professional who was blinded to the GAD-7 results. Functional status (Medical Outcomes Study Short Form-20), depressive and somatic symptoms, and self-reported disability days and physician visits were also assessed.\nRESULTS: Of the 965 patients, 19.5% (95% CI, 17.0% to 22.1%) had at least 1 anxiety disorder, 8.6% (CI, 6.9% to 10.6%) had posttraumatic stress disorder, 7.6% (CI, 5.9% to 9.4%) had a generalized anxiety disorder, 6.8% (CI, 5.3% to 8.6%) had a panic disorder, and 6.2% (CI, 4.7% to 7.9%) had a social anxiety disorder. Each disorder was associated with substantial impairment that increased significantly (P &lt; 0.001) as the number of anxiety disorders increased. Many patients (41%) with an anxiety disorder reported no current treatment. Receiver-operating characteristic curve analysis showed that both the GAD-7 scale and its 2 core items (GAD-2) performed well (area under the curve, 0.80 to 0.91) as screening tools for all 4 anxiety disorders.\nLIMITATION: The study included a nonrandom sample of selected primary care practices.\nCONCLUSIONS: Anxiety disorders are prevalent, disabling, and often untreated in primary care. A 2-item screening test may enhance detection.","container-title":"Annals of Internal Medicine","DOI":"10.7326/0003-4819-146-5-200703060-00004","ISSN":"1539-3704","issue":"5","journalAbbreviation":"Ann Intern Med","language":"eng","note":"PMID: 17339617","page":"317-325","source":"PubMed","title":"Anxiety disorders in primary care: prevalence, impairment, comorbidity, and detection","title-short":"Anxiety disorders in primary care","volume":"146","author":[{"family":"Kroenke","given":"Kurt"},{"family":"Spitzer","given":"Robert L."},{"family":"Williams","given":"Janet B. W."},{"family":"Monahan","given":"Patrick O."},{"family":"Löwe","given":"Bernd"}],"issued":{"date-parts":[["2007",3,6]]}}}],"schema":"https://github.com/citation-style-language/schema/raw/master/csl-citation.json"} </w:instrText>
      </w:r>
      <w:r w:rsidRPr="00461FEA">
        <w:rPr>
          <w:lang w:val="es-MX"/>
        </w:rPr>
        <w:fldChar w:fldCharType="separate"/>
      </w:r>
      <w:r w:rsidR="003F5494" w:rsidRPr="003F5494">
        <w:rPr>
          <w:rFonts w:ascii="Aptos" w:hAnsi="Aptos"/>
          <w:lang w:val="es-MX"/>
        </w:rPr>
        <w:t>(</w:t>
      </w:r>
      <w:proofErr w:type="spellStart"/>
      <w:r w:rsidR="003F5494" w:rsidRPr="003F5494">
        <w:rPr>
          <w:rFonts w:ascii="Aptos" w:hAnsi="Aptos"/>
          <w:lang w:val="es-MX"/>
        </w:rPr>
        <w:t>Kroenke</w:t>
      </w:r>
      <w:proofErr w:type="spellEnd"/>
      <w:r w:rsidR="003F5494" w:rsidRPr="003F5494">
        <w:rPr>
          <w:rFonts w:ascii="Aptos" w:hAnsi="Aptos"/>
          <w:lang w:val="es-MX"/>
        </w:rPr>
        <w:t xml:space="preserve"> et al., 2007)</w:t>
      </w:r>
      <w:r w:rsidRPr="00461FEA">
        <w:rPr>
          <w:lang w:val="es-MX"/>
        </w:rPr>
        <w:fldChar w:fldCharType="end"/>
      </w:r>
      <w:r w:rsidRPr="00461FEA">
        <w:rPr>
          <w:lang w:val="es-MX"/>
        </w:rPr>
        <w:t xml:space="preserve">, enfocándose en las expresiones emocionales y cognitivas de la ansiedad del DSM-IV (ítems 1 y 2). El GAD-2 muestra buenos valores de consistencia interna, una relación con su versión extendida muy alta (r&gt;0,80) en el contexto peruano, y óptimos valores de </w:t>
      </w:r>
      <w:r w:rsidRPr="007F261B">
        <w:rPr>
          <w:lang w:val="es-MX"/>
        </w:rPr>
        <w:t xml:space="preserve">sensibilidad y especificidad con un punto de cohorte de </w:t>
      </w:r>
      <w:r w:rsidRPr="001165AF">
        <w:rPr>
          <w:lang w:val="es-MX"/>
        </w:rPr>
        <w:t xml:space="preserve">≥2 puntos </w:t>
      </w:r>
      <w:r w:rsidRPr="007F261B">
        <w:fldChar w:fldCharType="begin"/>
      </w:r>
      <w:r w:rsidR="003F5494">
        <w:rPr>
          <w:lang w:val="es-MX"/>
        </w:rPr>
        <w:instrText xml:space="preserve"> ADDIN ZOTERO_ITEM CSL_CITATION {"citationID":"fclIrIAy","properties":{"formattedCitation":"(Villarreal-Zegarra et al., 2023)","plainCitation":"(Villarreal-Zegarra et al., 2023)","noteIndex":0},"citationItems":[{"id":14636,"uris":["http://zotero.org/groups/5408693/items/N2E5SAG2"],"itemData":{"id":14636,"type":"article-journal","abstract":"OBJECTIVES: The Patient Health Questionnaire (PHQ) and Generalised Anxiety Disorder Scale (GAD) are widely used screening tools, but their sensitivity and specificity in low-income and middle-income countries are lower than in high-income countries. We conducted a study to determine the sensitivity and specificity of different versions of these scales in a Peruvian hospital population.\nDESIGN: Our study has a cross-sectional design.\nSETTING: Our participants are hospitalised patients in a Peruvian hospital. The gold standard was a clinical psychiatric interview following ICD-10 criteria for depression (F32.0, F32.1, F32.2 and F32.3) and anxiety (F41.0 and F41.1).\nPARTICIPANTS: The sample included 1347 participants. A total of 334 participants (24.8%) were diagnosed with depression, and 28 participants (2.1%) were diagnosed with anxiety.\nRESULTS: The PHQ-9's≥7 cut-off point showed the highest simultaneous sensitivity and specificity when contrasted against a psychiatric diagnosis of depression. For a similar contrast against the gold standard, the other optimal cut-off points were: ≥7 for the PHQ-8 and ≥2 for the PHQ-2. In particular, the cut-off point ≥8 had good performance for GAD-7 with sensitivity and specificity, and cut-off point ≥10 had lower levels of sensitivity, but higher levels of specificity, compared with the cut-off point of ≥8. Also, we present the sensitivity and specificity values of each cut-off point in PHQ-9, PHQ-8, PHQ-2, GAD-7 and GAD-2. We confirmed the adequacy of a one-dimensional model for the PHQ-9, PHQ-8 and GAD-7, while all PHQ and GAD scales showed good reliability.\nCONCLUSIONS: The PHQ and GAD have adequate measurement properties in their different versions. We present specific cut-offs for each version.","container-title":"BMJ open","DOI":"10.1136/bmjopen-2023-076193","ISSN":"2044-6055","issue":"9","journalAbbreviation":"BMJ Open","language":"eng","note":"PMID: 37714674\nPMCID: PMC10510859","page":"e076193","source":"PubMed","title":"Sensitivity and specificity of the Patient Health Questionnaire (PHQ-9, PHQ-8, PHQ-2) and General Anxiety Disorder scale (GAD-7, GAD-2) for depression and anxiety diagnosis: a cross-sectional study in a Peruvian hospital population","title-short":"Sensitivity and specificity of the Patient Health Questionnaire (PHQ-9, PHQ-8, PHQ-2) and General Anxiety Disorder scale (GAD-7, GAD-2) for depression and anxiety diagnosis","volume":"13","author":[{"family":"Villarreal-Zegarra","given":"David"},{"family":"Barrera-Begazo","given":"Juan"},{"family":"Otazú-Alfaro","given":"Sharlyn"},{"family":"Mayo-Puchoc","given":"Nikol"},{"family":"Bazo-Alvarez","given":"Juan Carlos"},{"family":"Huarcaya-Victoria","given":"Jeff"}],"issued":{"date-parts":[["2023",9,15]]}}}],"schema":"https://github.com/citation-style-language/schema/raw/master/csl-citation.json"} </w:instrText>
      </w:r>
      <w:r w:rsidRPr="007F261B">
        <w:fldChar w:fldCharType="separate"/>
      </w:r>
      <w:r w:rsidR="003F5494" w:rsidRPr="003F5494">
        <w:rPr>
          <w:rFonts w:ascii="Aptos" w:hAnsi="Aptos"/>
        </w:rPr>
        <w:t>(Villarreal-Zegarra et al., 2023)</w:t>
      </w:r>
      <w:r w:rsidRPr="007F261B">
        <w:fldChar w:fldCharType="end"/>
      </w:r>
      <w:r w:rsidRPr="001165AF">
        <w:rPr>
          <w:lang w:val="es-MX"/>
        </w:rPr>
        <w:t>.</w:t>
      </w:r>
      <w:r w:rsidRPr="007F261B">
        <w:rPr>
          <w:lang w:val="es-MX"/>
        </w:rPr>
        <w:t xml:space="preserve"> </w:t>
      </w:r>
    </w:p>
    <w:p w14:paraId="34A652DC" w14:textId="16161A08" w:rsidR="001165AF" w:rsidRPr="00461FEA" w:rsidRDefault="001165AF" w:rsidP="001165AF">
      <w:pPr>
        <w:rPr>
          <w:b/>
          <w:bCs/>
          <w:lang w:val="es-MX"/>
        </w:rPr>
      </w:pPr>
      <w:commentRangeStart w:id="2"/>
      <w:r w:rsidRPr="00461FEA">
        <w:rPr>
          <w:b/>
          <w:bCs/>
          <w:lang w:val="es-MX"/>
        </w:rPr>
        <w:t>Escala de satisfacción sobre las condiciones de trabajo de los centros de salud:</w:t>
      </w:r>
      <w:r>
        <w:rPr>
          <w:b/>
          <w:bCs/>
          <w:lang w:val="es-MX"/>
        </w:rPr>
        <w:t xml:space="preserve"> </w:t>
      </w:r>
      <w:commentRangeEnd w:id="2"/>
      <w:r>
        <w:rPr>
          <w:rStyle w:val="CommentReference"/>
        </w:rPr>
        <w:commentReference w:id="2"/>
      </w:r>
      <w:r w:rsidRPr="00CC30F9">
        <w:rPr>
          <w:lang w:val="es-MX"/>
        </w:rPr>
        <w:t>Evaluar las condiciones de trabajo percibidas por el profesional de la salud. Los indicadores de la escala se encuentran satisfechos con la posibilidad de ascenso, organización de los centros de salud, carga de trabajo, horarios, salario, oportunidades, infraestructura y equipamiento, relación con los superiores, procedimientos administrativos e higiene de los centros de salud. Este instrumento presento una estructura factorial de dos dimensione</w:t>
      </w:r>
      <w:r>
        <w:rPr>
          <w:lang w:val="es-MX"/>
        </w:rPr>
        <w:t>s</w:t>
      </w:r>
      <w:r w:rsidRPr="00CC30F9">
        <w:rPr>
          <w:lang w:val="es-MX"/>
        </w:rPr>
        <w:t xml:space="preserve">, la primera relacionada a condiciones individuales y la segunda en relación con condiciones estructurales. Además, el instrumento presento valores adecuados de confiabilidad para ambas dimensiones </w:t>
      </w:r>
      <w:r w:rsidRPr="00CC30F9">
        <w:rPr>
          <w:lang w:val="es-MX"/>
        </w:rPr>
        <w:fldChar w:fldCharType="begin"/>
      </w:r>
      <w:r w:rsidR="003F5494">
        <w:rPr>
          <w:lang w:val="es-MX"/>
        </w:rPr>
        <w:instrText xml:space="preserve"> ADDIN ZOTERO_ITEM CSL_CITATION {"citationID":"demhon6C","properties":{"formattedCitation":"(Villarreal-Zegarra et al., 2021)","plainCitation":"(Villarreal-Zegarra et al., 2021)","noteIndex":0},"citationItems":[{"id":14642,"uris":["http://zotero.org/groups/5408693/items/URQQQZ7C"],"itemData":{"id":14642,"type":"article-journal","abstract":"BACKGROUND: To assess the validity and reliability of the set of scales (general professional activity, health services management, and working conditions) on the different areas of job satisfaction in Peruvian physicians based on the data from the National Survey of Satisfaction of Users in Health (ENSUSALUD).\nMETHOD: We carried out a psychometric study based on the secondary data analysis of Questionnaire 2 of ENSUSALUD-2016. Participants were selected from a two-stage stratified national probability representative sampling by political region. Validity was assessed by exploratory and confirmatory factor analyses, and measurement invariance analysis. We assessed the reliability using internal consistency coefficients (alpha and omega). The set of scales were composed of items related to three different areas of job satisfaction: 1) satisfaction with general professional activity, 2) satisfaction with the health services management, and 3) satisfaction with the working conditions of the health center.\nRESULTS: We included 2137 participants in the analysis. The general professional activity scale with six items (Comparative Fit Index, CFI</w:instrText>
      </w:r>
      <w:r w:rsidR="003F5494">
        <w:rPr>
          <w:rFonts w:ascii="Arial" w:hAnsi="Arial" w:cs="Arial"/>
          <w:lang w:val="es-MX"/>
        </w:rPr>
        <w:instrText> </w:instrText>
      </w:r>
      <w:r w:rsidR="003F5494">
        <w:rPr>
          <w:lang w:val="es-MX"/>
        </w:rPr>
        <w:instrText>=</w:instrText>
      </w:r>
      <w:r w:rsidR="003F5494">
        <w:rPr>
          <w:rFonts w:ascii="Arial" w:hAnsi="Arial" w:cs="Arial"/>
          <w:lang w:val="es-MX"/>
        </w:rPr>
        <w:instrText> </w:instrText>
      </w:r>
      <w:r w:rsidR="003F5494">
        <w:rPr>
          <w:lang w:val="es-MX"/>
        </w:rPr>
        <w:instrText>0.946; Root Mean Square Error of Approximation, RMSEA</w:instrText>
      </w:r>
      <w:r w:rsidR="003F5494">
        <w:rPr>
          <w:rFonts w:ascii="Arial" w:hAnsi="Arial" w:cs="Arial"/>
          <w:lang w:val="es-MX"/>
        </w:rPr>
        <w:instrText> </w:instrText>
      </w:r>
      <w:r w:rsidR="003F5494">
        <w:rPr>
          <w:lang w:val="es-MX"/>
        </w:rPr>
        <w:instrText>=</w:instrText>
      </w:r>
      <w:r w:rsidR="003F5494">
        <w:rPr>
          <w:rFonts w:ascii="Arial" w:hAnsi="Arial" w:cs="Arial"/>
          <w:lang w:val="es-MX"/>
        </w:rPr>
        <w:instrText> </w:instrText>
      </w:r>
      <w:r w:rsidR="003F5494">
        <w:rPr>
          <w:lang w:val="es-MX"/>
        </w:rPr>
        <w:instrText>0.071; Standardized Root Mean Square Residual, SRMR</w:instrText>
      </w:r>
      <w:r w:rsidR="003F5494">
        <w:rPr>
          <w:rFonts w:ascii="Arial" w:hAnsi="Arial" w:cs="Arial"/>
          <w:lang w:val="es-MX"/>
        </w:rPr>
        <w:instrText> </w:instrText>
      </w:r>
      <w:r w:rsidR="003F5494">
        <w:rPr>
          <w:lang w:val="es-MX"/>
        </w:rPr>
        <w:instrText>=</w:instrText>
      </w:r>
      <w:r w:rsidR="003F5494">
        <w:rPr>
          <w:rFonts w:ascii="Arial" w:hAnsi="Arial" w:cs="Arial"/>
          <w:lang w:val="es-MX"/>
        </w:rPr>
        <w:instrText> </w:instrText>
      </w:r>
      <w:r w:rsidR="003F5494">
        <w:rPr>
          <w:lang w:val="es-MX"/>
        </w:rPr>
        <w:instrText>0.035), the health services management scale with eight items (CFI)</w:instrText>
      </w:r>
      <w:r w:rsidR="003F5494">
        <w:rPr>
          <w:rFonts w:ascii="Arial" w:hAnsi="Arial" w:cs="Arial"/>
          <w:lang w:val="es-MX"/>
        </w:rPr>
        <w:instrText> </w:instrText>
      </w:r>
      <w:r w:rsidR="003F5494">
        <w:rPr>
          <w:lang w:val="es-MX"/>
        </w:rPr>
        <w:instrText>=</w:instrText>
      </w:r>
      <w:r w:rsidR="003F5494">
        <w:rPr>
          <w:rFonts w:ascii="Arial" w:hAnsi="Arial" w:cs="Arial"/>
          <w:lang w:val="es-MX"/>
        </w:rPr>
        <w:instrText> </w:instrText>
      </w:r>
      <w:r w:rsidR="003F5494">
        <w:rPr>
          <w:lang w:val="es-MX"/>
        </w:rPr>
        <w:instrText>0.972; RMSEA</w:instrText>
      </w:r>
      <w:r w:rsidR="003F5494">
        <w:rPr>
          <w:rFonts w:ascii="Arial" w:hAnsi="Arial" w:cs="Arial"/>
          <w:lang w:val="es-MX"/>
        </w:rPr>
        <w:instrText> </w:instrText>
      </w:r>
      <w:r w:rsidR="003F5494">
        <w:rPr>
          <w:lang w:val="es-MX"/>
        </w:rPr>
        <w:instrText>=</w:instrText>
      </w:r>
      <w:r w:rsidR="003F5494">
        <w:rPr>
          <w:rFonts w:ascii="Arial" w:hAnsi="Arial" w:cs="Arial"/>
          <w:lang w:val="es-MX"/>
        </w:rPr>
        <w:instrText> </w:instrText>
      </w:r>
      <w:r w:rsidR="003F5494">
        <w:rPr>
          <w:lang w:val="es-MX"/>
        </w:rPr>
        <w:instrText>0.081; SRMR</w:instrText>
      </w:r>
      <w:r w:rsidR="003F5494">
        <w:rPr>
          <w:rFonts w:ascii="Arial" w:hAnsi="Arial" w:cs="Arial"/>
          <w:lang w:val="es-MX"/>
        </w:rPr>
        <w:instrText> </w:instrText>
      </w:r>
      <w:r w:rsidR="003F5494">
        <w:rPr>
          <w:lang w:val="es-MX"/>
        </w:rPr>
        <w:instrText>=</w:instrText>
      </w:r>
      <w:r w:rsidR="003F5494">
        <w:rPr>
          <w:rFonts w:ascii="Arial" w:hAnsi="Arial" w:cs="Arial"/>
          <w:lang w:val="es-MX"/>
        </w:rPr>
        <w:instrText> </w:instrText>
      </w:r>
      <w:r w:rsidR="003F5494">
        <w:rPr>
          <w:lang w:val="es-MX"/>
        </w:rPr>
        <w:instrText>0.028), showed good measurement properties for the one-dimensional model. The working conditions scale with eight items for individual conditions and three items for infrastructural conditions (CFI</w:instrText>
      </w:r>
      <w:r w:rsidR="003F5494">
        <w:rPr>
          <w:rFonts w:ascii="Arial" w:hAnsi="Arial" w:cs="Arial"/>
          <w:lang w:val="es-MX"/>
        </w:rPr>
        <w:instrText> </w:instrText>
      </w:r>
      <w:r w:rsidR="003F5494">
        <w:rPr>
          <w:lang w:val="es-MX"/>
        </w:rPr>
        <w:instrText>=</w:instrText>
      </w:r>
      <w:r w:rsidR="003F5494">
        <w:rPr>
          <w:rFonts w:ascii="Arial" w:hAnsi="Arial" w:cs="Arial"/>
          <w:lang w:val="es-MX"/>
        </w:rPr>
        <w:instrText> </w:instrText>
      </w:r>
      <w:r w:rsidR="003F5494">
        <w:rPr>
          <w:lang w:val="es-MX"/>
        </w:rPr>
        <w:instrText>0.914; RMSEA</w:instrText>
      </w:r>
      <w:r w:rsidR="003F5494">
        <w:rPr>
          <w:rFonts w:ascii="Arial" w:hAnsi="Arial" w:cs="Arial"/>
          <w:lang w:val="es-MX"/>
        </w:rPr>
        <w:instrText> </w:instrText>
      </w:r>
      <w:r w:rsidR="003F5494">
        <w:rPr>
          <w:lang w:val="es-MX"/>
        </w:rPr>
        <w:instrText>=</w:instrText>
      </w:r>
      <w:r w:rsidR="003F5494">
        <w:rPr>
          <w:rFonts w:ascii="Arial" w:hAnsi="Arial" w:cs="Arial"/>
          <w:lang w:val="es-MX"/>
        </w:rPr>
        <w:instrText> </w:instrText>
      </w:r>
      <w:r w:rsidR="003F5494">
        <w:rPr>
          <w:lang w:val="es-MX"/>
        </w:rPr>
        <w:instrText>0.080; SRMR</w:instrText>
      </w:r>
      <w:r w:rsidR="003F5494">
        <w:rPr>
          <w:rFonts w:ascii="Arial" w:hAnsi="Arial" w:cs="Arial"/>
          <w:lang w:val="es-MX"/>
        </w:rPr>
        <w:instrText> </w:instrText>
      </w:r>
      <w:r w:rsidR="003F5494">
        <w:rPr>
          <w:lang w:val="es-MX"/>
        </w:rPr>
        <w:instrText>=</w:instrText>
      </w:r>
      <w:r w:rsidR="003F5494">
        <w:rPr>
          <w:rFonts w:ascii="Arial" w:hAnsi="Arial" w:cs="Arial"/>
          <w:lang w:val="es-MX"/>
        </w:rPr>
        <w:instrText> </w:instrText>
      </w:r>
      <w:r w:rsidR="003F5494">
        <w:rPr>
          <w:lang w:val="es-MX"/>
        </w:rPr>
        <w:instrText xml:space="preserve">0.055) presented adequate measurement properties with a two-dimensional model. The invariance analysis showed that comparisons between sex, age, civil status, medical speciality, working in other institutions, work-related illness, chronic disease, and time working in the healthcare center. All scales had adequate internal consistency (ω and α between 0.70 and 0.90).\nCONCLUSIONS: The set of scales has a solid factorial structure and measurement invariance, making it possible for group comparison. The study achieved stability in the scores as they showed adequate internal consistency coefficients. Based on our findings, these instruments are suitable for measuring job satisfaction among outpatient physicians throughout Peru, as our data is representative of the country level.","container-title":"BMC public health","DOI":"10.1186/s12889-021-11964-6","ISSN":"1471-2458","issue":"1","journalAbbreviation":"BMC Public Health","language":"eng","note":"PMID: 34689727\nPMCID: PMC8543768","page":"1932","source":"PubMed","title":"Development of the set of scales to assess the job satisfaction among physicians in Peru: validity and reliability assessment","title-short":"Development of the set of scales to assess the job satisfaction among physicians in Peru","volume":"21","author":[{"family":"Villarreal-Zegarra","given":"David"},{"family":"Torres-Puente","given":"Roberto"},{"family":"Castillo-Blanco","given":"Ronald"},{"family":"Cabieses","given":"Baltica"},{"family":"Bellido-Boza","given":"Luciana"},{"family":"Mezones-Holguin","given":"Edward"}],"issued":{"date-parts":[["2021",10,24]]}}}],"schema":"https://github.com/citation-style-language/schema/raw/master/csl-citation.json"} </w:instrText>
      </w:r>
      <w:r w:rsidRPr="00CC30F9">
        <w:rPr>
          <w:lang w:val="es-MX"/>
        </w:rPr>
        <w:fldChar w:fldCharType="separate"/>
      </w:r>
      <w:r w:rsidR="003F5494" w:rsidRPr="003F5494">
        <w:rPr>
          <w:rFonts w:ascii="Aptos" w:hAnsi="Aptos"/>
          <w:lang w:val="es-MX"/>
        </w:rPr>
        <w:t>(Villarreal-Zegarra et al., 2021)</w:t>
      </w:r>
      <w:r w:rsidRPr="00CC30F9">
        <w:rPr>
          <w:lang w:val="es-MX"/>
        </w:rPr>
        <w:fldChar w:fldCharType="end"/>
      </w:r>
      <w:r w:rsidRPr="00CC30F9">
        <w:rPr>
          <w:lang w:val="es-MX"/>
        </w:rPr>
        <w:t>.</w:t>
      </w:r>
    </w:p>
    <w:p w14:paraId="219E463A" w14:textId="77777777" w:rsidR="00292079" w:rsidRPr="00292079" w:rsidRDefault="00292079" w:rsidP="00292079">
      <w:pPr>
        <w:pStyle w:val="Heading2"/>
        <w:rPr>
          <w:lang w:val="es-MX"/>
        </w:rPr>
      </w:pPr>
      <w:r w:rsidRPr="00292079">
        <w:rPr>
          <w:lang w:val="es-MX"/>
        </w:rPr>
        <w:t>Análisis de datos</w:t>
      </w:r>
    </w:p>
    <w:p w14:paraId="4FF8E6A0" w14:textId="77777777" w:rsidR="00292079" w:rsidRPr="00292079" w:rsidRDefault="00292079" w:rsidP="00292079">
      <w:pPr>
        <w:rPr>
          <w:lang w:val="es-MX"/>
        </w:rPr>
      </w:pPr>
      <w:r w:rsidRPr="00292079">
        <w:rPr>
          <w:lang w:val="es-MX"/>
        </w:rPr>
        <w:t>Se realizó una limpieza de la base de datos. Para ello se homogenizó las categorías de respuesta de las variables categóricas y, para las variables numéricas, se eliminó valores implausibles.</w:t>
      </w:r>
    </w:p>
    <w:p w14:paraId="6E3C579A" w14:textId="77777777" w:rsidR="002F463D" w:rsidRDefault="002F463D" w:rsidP="00292079">
      <w:pPr>
        <w:rPr>
          <w:lang w:val="es-MX"/>
        </w:rPr>
      </w:pPr>
    </w:p>
    <w:p w14:paraId="7C7772FB" w14:textId="77777777" w:rsidR="003F5494" w:rsidRDefault="003F5494" w:rsidP="00292079">
      <w:pPr>
        <w:rPr>
          <w:lang w:val="es-MX"/>
        </w:rPr>
      </w:pPr>
    </w:p>
    <w:p w14:paraId="74694D9C" w14:textId="77777777" w:rsidR="003F5494" w:rsidRDefault="003F5494" w:rsidP="00292079">
      <w:pPr>
        <w:rPr>
          <w:lang w:val="es-MX"/>
        </w:rPr>
      </w:pPr>
    </w:p>
    <w:p w14:paraId="01927FCA" w14:textId="77777777" w:rsidR="003F5494" w:rsidRPr="003F5494" w:rsidRDefault="003F5494" w:rsidP="003F5494">
      <w:pPr>
        <w:pStyle w:val="Bibliography"/>
        <w:rPr>
          <w:rFonts w:ascii="Aptos" w:hAnsi="Aptos"/>
        </w:rPr>
      </w:pPr>
      <w:r>
        <w:rPr>
          <w:lang w:val="es-MX"/>
        </w:rPr>
        <w:fldChar w:fldCharType="begin"/>
      </w:r>
      <w:r w:rsidRPr="003F5494">
        <w:instrText xml:space="preserve"> ADDIN ZOTERO_BIBL {"uncited":[],"omitted":[],"custom":[]} CSL_BIBLIOGRAPHY </w:instrText>
      </w:r>
      <w:r>
        <w:rPr>
          <w:lang w:val="es-MX"/>
        </w:rPr>
        <w:fldChar w:fldCharType="separate"/>
      </w:r>
      <w:r w:rsidRPr="003F5494">
        <w:rPr>
          <w:rFonts w:ascii="Aptos" w:hAnsi="Aptos"/>
        </w:rPr>
        <w:t>Kroenke, K., Spitzer, R.L., Williams, J.B.W., Monahan, P.O., Löwe, B., 2007. Anxiety disorders in primary care: prevalence, impairment, comorbidity, and detection. Ann Intern Med 146, 317–325. https://doi.org/10.7326/0003-4819-146-5-200703060-00004</w:t>
      </w:r>
    </w:p>
    <w:p w14:paraId="6C3D0E12" w14:textId="77777777" w:rsidR="003F5494" w:rsidRPr="003F5494" w:rsidRDefault="003F5494" w:rsidP="003F5494">
      <w:pPr>
        <w:pStyle w:val="Bibliography"/>
        <w:rPr>
          <w:rFonts w:ascii="Aptos" w:hAnsi="Aptos"/>
        </w:rPr>
      </w:pPr>
      <w:r w:rsidRPr="003F5494">
        <w:rPr>
          <w:rFonts w:ascii="Aptos" w:hAnsi="Aptos"/>
        </w:rPr>
        <w:lastRenderedPageBreak/>
        <w:t>Spitzer, R.L., Kroenke, K., Williams, J.B., 1999. Validation and utility of a self-report version of PRIME-MD: the PHQ primary care study. Primary Care Evaluation of Mental Disorders. Patient Health Questionnaire. JAMA 282, 1737–1744. https://doi.org/10.1001/jama.282.18.1737</w:t>
      </w:r>
    </w:p>
    <w:p w14:paraId="7D51BBE3" w14:textId="77777777" w:rsidR="003F5494" w:rsidRPr="003F5494" w:rsidRDefault="003F5494" w:rsidP="003F5494">
      <w:pPr>
        <w:pStyle w:val="Bibliography"/>
        <w:rPr>
          <w:rFonts w:ascii="Aptos" w:hAnsi="Aptos"/>
          <w:lang w:val="es-MX"/>
        </w:rPr>
      </w:pPr>
      <w:r w:rsidRPr="003F5494">
        <w:rPr>
          <w:rFonts w:ascii="Aptos" w:hAnsi="Aptos"/>
          <w:lang w:val="es-MX"/>
        </w:rPr>
        <w:t xml:space="preserve">Villarreal-Zegarra, D., Barrera-Begazo, J., </w:t>
      </w:r>
      <w:proofErr w:type="spellStart"/>
      <w:r w:rsidRPr="003F5494">
        <w:rPr>
          <w:rFonts w:ascii="Aptos" w:hAnsi="Aptos"/>
          <w:lang w:val="es-MX"/>
        </w:rPr>
        <w:t>Otazú</w:t>
      </w:r>
      <w:proofErr w:type="spellEnd"/>
      <w:r w:rsidRPr="003F5494">
        <w:rPr>
          <w:rFonts w:ascii="Aptos" w:hAnsi="Aptos"/>
          <w:lang w:val="es-MX"/>
        </w:rPr>
        <w:t xml:space="preserve">-Alfaro, S., </w:t>
      </w:r>
      <w:proofErr w:type="gramStart"/>
      <w:r w:rsidRPr="003F5494">
        <w:rPr>
          <w:rFonts w:ascii="Aptos" w:hAnsi="Aptos"/>
          <w:lang w:val="es-MX"/>
        </w:rPr>
        <w:t>Mayo</w:t>
      </w:r>
      <w:proofErr w:type="gramEnd"/>
      <w:r w:rsidRPr="003F5494">
        <w:rPr>
          <w:rFonts w:ascii="Aptos" w:hAnsi="Aptos"/>
          <w:lang w:val="es-MX"/>
        </w:rPr>
        <w:t>-</w:t>
      </w:r>
      <w:proofErr w:type="spellStart"/>
      <w:r w:rsidRPr="003F5494">
        <w:rPr>
          <w:rFonts w:ascii="Aptos" w:hAnsi="Aptos"/>
          <w:lang w:val="es-MX"/>
        </w:rPr>
        <w:t>Puchoc</w:t>
      </w:r>
      <w:proofErr w:type="spellEnd"/>
      <w:r w:rsidRPr="003F5494">
        <w:rPr>
          <w:rFonts w:ascii="Aptos" w:hAnsi="Aptos"/>
          <w:lang w:val="es-MX"/>
        </w:rPr>
        <w:t>, N., Bazo-</w:t>
      </w:r>
      <w:proofErr w:type="spellStart"/>
      <w:r w:rsidRPr="003F5494">
        <w:rPr>
          <w:rFonts w:ascii="Aptos" w:hAnsi="Aptos"/>
          <w:lang w:val="es-MX"/>
        </w:rPr>
        <w:t>Alvarez</w:t>
      </w:r>
      <w:proofErr w:type="spellEnd"/>
      <w:r w:rsidRPr="003F5494">
        <w:rPr>
          <w:rFonts w:ascii="Aptos" w:hAnsi="Aptos"/>
          <w:lang w:val="es-MX"/>
        </w:rPr>
        <w:t xml:space="preserve">, J.C., Huarcaya-Victoria, J., 2023. </w:t>
      </w:r>
      <w:r w:rsidRPr="003F5494">
        <w:rPr>
          <w:rFonts w:ascii="Aptos" w:hAnsi="Aptos"/>
        </w:rPr>
        <w:t xml:space="preserve">Sensitivity and specificity of the Patient Health Questionnaire (PHQ-9, PHQ-8, PHQ-2) and General Anxiety Disorder scale (GAD-7, GAD-2) for depression and anxiety diagnosis: a cross-sectional study in a Peruvian hospital population. </w:t>
      </w:r>
      <w:r w:rsidRPr="003F5494">
        <w:rPr>
          <w:rFonts w:ascii="Aptos" w:hAnsi="Aptos"/>
          <w:lang w:val="es-MX"/>
        </w:rPr>
        <w:t>BMJ Open 13, e076193. https://doi.org/10.1136/bmjopen-2023-076193</w:t>
      </w:r>
    </w:p>
    <w:p w14:paraId="43A1E1FC" w14:textId="77777777" w:rsidR="003F5494" w:rsidRPr="003F5494" w:rsidRDefault="003F5494" w:rsidP="003F5494">
      <w:pPr>
        <w:pStyle w:val="Bibliography"/>
        <w:rPr>
          <w:rFonts w:ascii="Aptos" w:hAnsi="Aptos"/>
        </w:rPr>
      </w:pPr>
      <w:r w:rsidRPr="003F5494">
        <w:rPr>
          <w:rFonts w:ascii="Aptos" w:hAnsi="Aptos"/>
          <w:lang w:val="es-MX"/>
        </w:rPr>
        <w:t xml:space="preserve">Villarreal-Zegarra, D., Torres-Puente, R., Castillo-Blanco, R., Cabieses, B., Bellido-Boza, L., </w:t>
      </w:r>
      <w:proofErr w:type="spellStart"/>
      <w:r w:rsidRPr="003F5494">
        <w:rPr>
          <w:rFonts w:ascii="Aptos" w:hAnsi="Aptos"/>
          <w:lang w:val="es-MX"/>
        </w:rPr>
        <w:t>Mezones-Holguin</w:t>
      </w:r>
      <w:proofErr w:type="spellEnd"/>
      <w:r w:rsidRPr="003F5494">
        <w:rPr>
          <w:rFonts w:ascii="Aptos" w:hAnsi="Aptos"/>
          <w:lang w:val="es-MX"/>
        </w:rPr>
        <w:t xml:space="preserve">, E., 2021. </w:t>
      </w:r>
      <w:r w:rsidRPr="003F5494">
        <w:rPr>
          <w:rFonts w:ascii="Aptos" w:hAnsi="Aptos"/>
        </w:rPr>
        <w:t>Development of the set of scales to assess the job satisfaction among physicians in Peru: validity and reliability assessment. BMC Public Health 21, 1932. https://doi.org/10.1186/s12889-021-11964-6</w:t>
      </w:r>
    </w:p>
    <w:p w14:paraId="725FF865" w14:textId="6C920FFA" w:rsidR="003F5494" w:rsidRPr="00292079" w:rsidRDefault="003F5494" w:rsidP="00292079">
      <w:pPr>
        <w:rPr>
          <w:lang w:val="es-MX"/>
        </w:rPr>
      </w:pPr>
      <w:r>
        <w:rPr>
          <w:lang w:val="es-MX"/>
        </w:rPr>
        <w:fldChar w:fldCharType="end"/>
      </w:r>
    </w:p>
    <w:sectPr w:rsidR="003F5494" w:rsidRPr="00292079" w:rsidSect="001A4C2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VID ROGELIO VILLARREAL" w:date="2024-09-18T23:30:00Z" w:initials="DV">
    <w:p w14:paraId="2DDEC9F3" w14:textId="77777777" w:rsidR="001165AF" w:rsidRDefault="001165AF" w:rsidP="001165AF">
      <w:pPr>
        <w:pStyle w:val="CommentText"/>
      </w:pPr>
      <w:r>
        <w:rPr>
          <w:rStyle w:val="CommentReference"/>
        </w:rPr>
        <w:annotationRef/>
      </w:r>
      <w:r>
        <w:t>En la base de datos puede encontrarse los ítems como: p53_phq1, p53_phq2.</w:t>
      </w:r>
    </w:p>
  </w:comment>
  <w:comment w:id="1" w:author="DAVID ROGELIO VILLARREAL" w:date="2024-09-18T23:30:00Z" w:initials="DV">
    <w:p w14:paraId="4C50C2C4" w14:textId="77777777" w:rsidR="001165AF" w:rsidRDefault="001165AF" w:rsidP="001165AF">
      <w:pPr>
        <w:pStyle w:val="CommentText"/>
      </w:pPr>
      <w:r>
        <w:rPr>
          <w:rStyle w:val="CommentReference"/>
        </w:rPr>
        <w:annotationRef/>
      </w:r>
      <w:r>
        <w:t>En la base de datos puede encontrarse los ítems como:</w:t>
      </w:r>
      <w:r>
        <w:rPr>
          <w:i/>
          <w:iCs/>
        </w:rPr>
        <w:t xml:space="preserve"> </w:t>
      </w:r>
      <w:r>
        <w:t>p54_gad1, p54_gad2.</w:t>
      </w:r>
    </w:p>
  </w:comment>
  <w:comment w:id="2" w:author="DAVID ROGELIO VILLARREAL" w:date="2024-09-18T23:31:00Z" w:initials="DV">
    <w:p w14:paraId="615BBB05" w14:textId="77777777" w:rsidR="001165AF" w:rsidRDefault="001165AF" w:rsidP="001165AF">
      <w:pPr>
        <w:pStyle w:val="CommentText"/>
      </w:pPr>
      <w:r>
        <w:rPr>
          <w:rStyle w:val="CommentReference"/>
        </w:rPr>
        <w:annotationRef/>
      </w:r>
      <w:r>
        <w:t xml:space="preserve">la primera relacionada a condiciones individuales (p81_1, p81_3, p81_4, p81_5, p81_6, p81_8, p81_9, p81_13) y la segunda en relación con condiciones estructurales (p81_11, p81_12, p81_14).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DEC9F3" w15:done="0"/>
  <w15:commentEx w15:paraId="4C50C2C4" w15:done="0"/>
  <w15:commentEx w15:paraId="615BBB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468512" w16cex:dateUtc="2024-09-19T05:30:00Z"/>
  <w16cex:commentExtensible w16cex:durableId="1E8C3CFA" w16cex:dateUtc="2024-09-19T05:30:00Z"/>
  <w16cex:commentExtensible w16cex:durableId="70F704E8" w16cex:dateUtc="2024-09-19T0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DEC9F3" w16cid:durableId="28468512"/>
  <w16cid:commentId w16cid:paraId="4C50C2C4" w16cid:durableId="1E8C3CFA"/>
  <w16cid:commentId w16cid:paraId="615BBB05" w16cid:durableId="70F704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ROGELIO VILLARREAL">
    <w15:presenceInfo w15:providerId="AD" w15:userId="S::u1531841@umail.utah.edu::fdba8c20-0f24-4287-9145-79ede1a4db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79"/>
    <w:rsid w:val="001165AF"/>
    <w:rsid w:val="00121B5C"/>
    <w:rsid w:val="001A4C2F"/>
    <w:rsid w:val="00292079"/>
    <w:rsid w:val="002F463D"/>
    <w:rsid w:val="003F5494"/>
    <w:rsid w:val="005C71F7"/>
    <w:rsid w:val="00710071"/>
    <w:rsid w:val="00A40EA0"/>
    <w:rsid w:val="00AB6710"/>
    <w:rsid w:val="00DC4AEA"/>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5BCD8"/>
  <w15:chartTrackingRefBased/>
  <w15:docId w15:val="{1BCC7CEE-556B-40B0-BFBD-F4AA17BDD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2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2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2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2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079"/>
    <w:rPr>
      <w:rFonts w:eastAsiaTheme="majorEastAsia" w:cstheme="majorBidi"/>
      <w:color w:val="272727" w:themeColor="text1" w:themeTint="D8"/>
    </w:rPr>
  </w:style>
  <w:style w:type="paragraph" w:styleId="Title">
    <w:name w:val="Title"/>
    <w:basedOn w:val="Normal"/>
    <w:next w:val="Normal"/>
    <w:link w:val="TitleChar"/>
    <w:uiPriority w:val="10"/>
    <w:qFormat/>
    <w:rsid w:val="00292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079"/>
    <w:pPr>
      <w:spacing w:before="160"/>
      <w:jc w:val="center"/>
    </w:pPr>
    <w:rPr>
      <w:i/>
      <w:iCs/>
      <w:color w:val="404040" w:themeColor="text1" w:themeTint="BF"/>
    </w:rPr>
  </w:style>
  <w:style w:type="character" w:customStyle="1" w:styleId="QuoteChar">
    <w:name w:val="Quote Char"/>
    <w:basedOn w:val="DefaultParagraphFont"/>
    <w:link w:val="Quote"/>
    <w:uiPriority w:val="29"/>
    <w:rsid w:val="00292079"/>
    <w:rPr>
      <w:i/>
      <w:iCs/>
      <w:color w:val="404040" w:themeColor="text1" w:themeTint="BF"/>
    </w:rPr>
  </w:style>
  <w:style w:type="paragraph" w:styleId="ListParagraph">
    <w:name w:val="List Paragraph"/>
    <w:basedOn w:val="Normal"/>
    <w:uiPriority w:val="34"/>
    <w:qFormat/>
    <w:rsid w:val="00292079"/>
    <w:pPr>
      <w:ind w:left="720"/>
      <w:contextualSpacing/>
    </w:pPr>
  </w:style>
  <w:style w:type="character" w:styleId="IntenseEmphasis">
    <w:name w:val="Intense Emphasis"/>
    <w:basedOn w:val="DefaultParagraphFont"/>
    <w:uiPriority w:val="21"/>
    <w:qFormat/>
    <w:rsid w:val="00292079"/>
    <w:rPr>
      <w:i/>
      <w:iCs/>
      <w:color w:val="0F4761" w:themeColor="accent1" w:themeShade="BF"/>
    </w:rPr>
  </w:style>
  <w:style w:type="paragraph" w:styleId="IntenseQuote">
    <w:name w:val="Intense Quote"/>
    <w:basedOn w:val="Normal"/>
    <w:next w:val="Normal"/>
    <w:link w:val="IntenseQuoteChar"/>
    <w:uiPriority w:val="30"/>
    <w:qFormat/>
    <w:rsid w:val="00292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079"/>
    <w:rPr>
      <w:i/>
      <w:iCs/>
      <w:color w:val="0F4761" w:themeColor="accent1" w:themeShade="BF"/>
    </w:rPr>
  </w:style>
  <w:style w:type="character" w:styleId="IntenseReference">
    <w:name w:val="Intense Reference"/>
    <w:basedOn w:val="DefaultParagraphFont"/>
    <w:uiPriority w:val="32"/>
    <w:qFormat/>
    <w:rsid w:val="00292079"/>
    <w:rPr>
      <w:b/>
      <w:bCs/>
      <w:smallCaps/>
      <w:color w:val="0F4761" w:themeColor="accent1" w:themeShade="BF"/>
      <w:spacing w:val="5"/>
    </w:rPr>
  </w:style>
  <w:style w:type="character" w:styleId="CommentReference">
    <w:name w:val="annotation reference"/>
    <w:basedOn w:val="DefaultParagraphFont"/>
    <w:uiPriority w:val="99"/>
    <w:semiHidden/>
    <w:unhideWhenUsed/>
    <w:rsid w:val="001165AF"/>
    <w:rPr>
      <w:sz w:val="16"/>
      <w:szCs w:val="16"/>
    </w:rPr>
  </w:style>
  <w:style w:type="paragraph" w:styleId="CommentText">
    <w:name w:val="annotation text"/>
    <w:basedOn w:val="Normal"/>
    <w:link w:val="CommentTextChar"/>
    <w:uiPriority w:val="99"/>
    <w:unhideWhenUsed/>
    <w:rsid w:val="001165AF"/>
    <w:pPr>
      <w:spacing w:line="240" w:lineRule="auto"/>
    </w:pPr>
    <w:rPr>
      <w:sz w:val="20"/>
      <w:szCs w:val="20"/>
    </w:rPr>
  </w:style>
  <w:style w:type="character" w:customStyle="1" w:styleId="CommentTextChar">
    <w:name w:val="Comment Text Char"/>
    <w:basedOn w:val="DefaultParagraphFont"/>
    <w:link w:val="CommentText"/>
    <w:uiPriority w:val="99"/>
    <w:rsid w:val="001165AF"/>
    <w:rPr>
      <w:sz w:val="20"/>
      <w:szCs w:val="20"/>
    </w:rPr>
  </w:style>
  <w:style w:type="paragraph" w:styleId="CommentSubject">
    <w:name w:val="annotation subject"/>
    <w:basedOn w:val="CommentText"/>
    <w:next w:val="CommentText"/>
    <w:link w:val="CommentSubjectChar"/>
    <w:uiPriority w:val="99"/>
    <w:semiHidden/>
    <w:unhideWhenUsed/>
    <w:rsid w:val="001165AF"/>
    <w:rPr>
      <w:b/>
      <w:bCs/>
    </w:rPr>
  </w:style>
  <w:style w:type="character" w:customStyle="1" w:styleId="CommentSubjectChar">
    <w:name w:val="Comment Subject Char"/>
    <w:basedOn w:val="CommentTextChar"/>
    <w:link w:val="CommentSubject"/>
    <w:uiPriority w:val="99"/>
    <w:semiHidden/>
    <w:rsid w:val="001165AF"/>
    <w:rPr>
      <w:b/>
      <w:bCs/>
      <w:sz w:val="20"/>
      <w:szCs w:val="20"/>
    </w:rPr>
  </w:style>
  <w:style w:type="paragraph" w:styleId="Bibliography">
    <w:name w:val="Bibliography"/>
    <w:basedOn w:val="Normal"/>
    <w:next w:val="Normal"/>
    <w:uiPriority w:val="37"/>
    <w:unhideWhenUsed/>
    <w:rsid w:val="003F5494"/>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830006">
      <w:bodyDiv w:val="1"/>
      <w:marLeft w:val="0"/>
      <w:marRight w:val="0"/>
      <w:marTop w:val="0"/>
      <w:marBottom w:val="0"/>
      <w:divBdr>
        <w:top w:val="none" w:sz="0" w:space="0" w:color="auto"/>
        <w:left w:val="none" w:sz="0" w:space="0" w:color="auto"/>
        <w:bottom w:val="none" w:sz="0" w:space="0" w:color="auto"/>
        <w:right w:val="none" w:sz="0" w:space="0" w:color="auto"/>
      </w:divBdr>
      <w:divsChild>
        <w:div w:id="1882471012">
          <w:marLeft w:val="0"/>
          <w:marRight w:val="0"/>
          <w:marTop w:val="0"/>
          <w:marBottom w:val="0"/>
          <w:divBdr>
            <w:top w:val="none" w:sz="0" w:space="0" w:color="auto"/>
            <w:left w:val="none" w:sz="0" w:space="0" w:color="auto"/>
            <w:bottom w:val="none" w:sz="0" w:space="0" w:color="auto"/>
            <w:right w:val="none" w:sz="0" w:space="0" w:color="auto"/>
          </w:divBdr>
        </w:div>
        <w:div w:id="821695846">
          <w:marLeft w:val="0"/>
          <w:marRight w:val="0"/>
          <w:marTop w:val="0"/>
          <w:marBottom w:val="0"/>
          <w:divBdr>
            <w:top w:val="none" w:sz="0" w:space="0" w:color="auto"/>
            <w:left w:val="none" w:sz="0" w:space="0" w:color="auto"/>
            <w:bottom w:val="none" w:sz="0" w:space="0" w:color="auto"/>
            <w:right w:val="none" w:sz="0" w:space="0" w:color="auto"/>
          </w:divBdr>
        </w:div>
        <w:div w:id="2022929906">
          <w:marLeft w:val="0"/>
          <w:marRight w:val="0"/>
          <w:marTop w:val="0"/>
          <w:marBottom w:val="0"/>
          <w:divBdr>
            <w:top w:val="none" w:sz="0" w:space="0" w:color="auto"/>
            <w:left w:val="none" w:sz="0" w:space="0" w:color="auto"/>
            <w:bottom w:val="none" w:sz="0" w:space="0" w:color="auto"/>
            <w:right w:val="none" w:sz="0" w:space="0" w:color="auto"/>
          </w:divBdr>
        </w:div>
        <w:div w:id="2047027533">
          <w:marLeft w:val="0"/>
          <w:marRight w:val="0"/>
          <w:marTop w:val="0"/>
          <w:marBottom w:val="0"/>
          <w:divBdr>
            <w:top w:val="none" w:sz="0" w:space="0" w:color="auto"/>
            <w:left w:val="none" w:sz="0" w:space="0" w:color="auto"/>
            <w:bottom w:val="none" w:sz="0" w:space="0" w:color="auto"/>
            <w:right w:val="none" w:sz="0" w:space="0" w:color="auto"/>
          </w:divBdr>
        </w:div>
        <w:div w:id="94060320">
          <w:marLeft w:val="0"/>
          <w:marRight w:val="0"/>
          <w:marTop w:val="0"/>
          <w:marBottom w:val="0"/>
          <w:divBdr>
            <w:top w:val="none" w:sz="0" w:space="0" w:color="auto"/>
            <w:left w:val="none" w:sz="0" w:space="0" w:color="auto"/>
            <w:bottom w:val="none" w:sz="0" w:space="0" w:color="auto"/>
            <w:right w:val="none" w:sz="0" w:space="0" w:color="auto"/>
          </w:divBdr>
        </w:div>
        <w:div w:id="1299990043">
          <w:marLeft w:val="0"/>
          <w:marRight w:val="0"/>
          <w:marTop w:val="0"/>
          <w:marBottom w:val="0"/>
          <w:divBdr>
            <w:top w:val="none" w:sz="0" w:space="0" w:color="auto"/>
            <w:left w:val="none" w:sz="0" w:space="0" w:color="auto"/>
            <w:bottom w:val="none" w:sz="0" w:space="0" w:color="auto"/>
            <w:right w:val="none" w:sz="0" w:space="0" w:color="auto"/>
          </w:divBdr>
        </w:div>
      </w:divsChild>
    </w:div>
    <w:div w:id="1574504733">
      <w:bodyDiv w:val="1"/>
      <w:marLeft w:val="0"/>
      <w:marRight w:val="0"/>
      <w:marTop w:val="0"/>
      <w:marBottom w:val="0"/>
      <w:divBdr>
        <w:top w:val="none" w:sz="0" w:space="0" w:color="auto"/>
        <w:left w:val="none" w:sz="0" w:space="0" w:color="auto"/>
        <w:bottom w:val="none" w:sz="0" w:space="0" w:color="auto"/>
        <w:right w:val="none" w:sz="0" w:space="0" w:color="auto"/>
      </w:divBdr>
      <w:divsChild>
        <w:div w:id="381635405">
          <w:marLeft w:val="0"/>
          <w:marRight w:val="0"/>
          <w:marTop w:val="0"/>
          <w:marBottom w:val="0"/>
          <w:divBdr>
            <w:top w:val="none" w:sz="0" w:space="0" w:color="auto"/>
            <w:left w:val="none" w:sz="0" w:space="0" w:color="auto"/>
            <w:bottom w:val="none" w:sz="0" w:space="0" w:color="auto"/>
            <w:right w:val="none" w:sz="0" w:space="0" w:color="auto"/>
          </w:divBdr>
        </w:div>
        <w:div w:id="2020811543">
          <w:marLeft w:val="0"/>
          <w:marRight w:val="0"/>
          <w:marTop w:val="0"/>
          <w:marBottom w:val="0"/>
          <w:divBdr>
            <w:top w:val="none" w:sz="0" w:space="0" w:color="auto"/>
            <w:left w:val="none" w:sz="0" w:space="0" w:color="auto"/>
            <w:bottom w:val="none" w:sz="0" w:space="0" w:color="auto"/>
            <w:right w:val="none" w:sz="0" w:space="0" w:color="auto"/>
          </w:divBdr>
        </w:div>
        <w:div w:id="1248660537">
          <w:marLeft w:val="0"/>
          <w:marRight w:val="0"/>
          <w:marTop w:val="0"/>
          <w:marBottom w:val="0"/>
          <w:divBdr>
            <w:top w:val="none" w:sz="0" w:space="0" w:color="auto"/>
            <w:left w:val="none" w:sz="0" w:space="0" w:color="auto"/>
            <w:bottom w:val="none" w:sz="0" w:space="0" w:color="auto"/>
            <w:right w:val="none" w:sz="0" w:space="0" w:color="auto"/>
          </w:divBdr>
        </w:div>
        <w:div w:id="38361468">
          <w:marLeft w:val="0"/>
          <w:marRight w:val="0"/>
          <w:marTop w:val="0"/>
          <w:marBottom w:val="0"/>
          <w:divBdr>
            <w:top w:val="none" w:sz="0" w:space="0" w:color="auto"/>
            <w:left w:val="none" w:sz="0" w:space="0" w:color="auto"/>
            <w:bottom w:val="none" w:sz="0" w:space="0" w:color="auto"/>
            <w:right w:val="none" w:sz="0" w:space="0" w:color="auto"/>
          </w:divBdr>
        </w:div>
        <w:div w:id="219094350">
          <w:marLeft w:val="0"/>
          <w:marRight w:val="0"/>
          <w:marTop w:val="0"/>
          <w:marBottom w:val="0"/>
          <w:divBdr>
            <w:top w:val="none" w:sz="0" w:space="0" w:color="auto"/>
            <w:left w:val="none" w:sz="0" w:space="0" w:color="auto"/>
            <w:bottom w:val="none" w:sz="0" w:space="0" w:color="auto"/>
            <w:right w:val="none" w:sz="0" w:space="0" w:color="auto"/>
          </w:divBdr>
        </w:div>
        <w:div w:id="1372726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790</Words>
  <Characters>21102</Characters>
  <Application>Microsoft Office Word</Application>
  <DocSecurity>0</DocSecurity>
  <Lines>383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ROGELIO VILLARREAL</dc:creator>
  <cp:keywords/>
  <dc:description/>
  <cp:lastModifiedBy>DAVID ROGELIO VILLARREAL</cp:lastModifiedBy>
  <cp:revision>3</cp:revision>
  <dcterms:created xsi:type="dcterms:W3CDTF">2024-09-19T05:32:00Z</dcterms:created>
  <dcterms:modified xsi:type="dcterms:W3CDTF">2024-09-19T05:33:00Z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72270350-3fe9-4b51-8d0f-f62fcd4ea2bf</vt:lpwstr>
  </property>
  <property fmtid="{D5CDD505-2E9C-101B-9397-08002B2CF9AE}" pid="3" name="ZOTERO_PREF_1">
    <vt:lpwstr>&lt;data data-version="3" zotero-version="6.0.36"&gt;&lt;session id="ZFrwDMoX"/&gt;&lt;style id="http://www.zotero.org/styles/elsevier-harvard" hasBibliography="1" bibliographyStyleHasBeenSet="1"/&gt;&lt;prefs&gt;&lt;pref name="fieldType" value="Field"/&gt;&lt;/prefs&gt;&lt;/data&gt;</vt:lpwstr>
  </property>
</Properties>
</file>