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81F65" w14:textId="2D937387" w:rsidR="001E2574" w:rsidRPr="001E2574" w:rsidRDefault="008E0B18" w:rsidP="001E2574">
      <w:pPr>
        <w:pStyle w:val="Title"/>
      </w:pPr>
      <w:r>
        <w:t>Kendra Blankenship</w:t>
      </w:r>
    </w:p>
    <w:p w14:paraId="7E5930C4" w14:textId="0FC7D88B" w:rsidR="001E2574" w:rsidRPr="004C7855" w:rsidRDefault="008E0B18" w:rsidP="001E2574">
      <w:pPr>
        <w:pStyle w:val="Subtitle"/>
        <w:rPr>
          <w:sz w:val="22"/>
        </w:rPr>
      </w:pPr>
      <w:r w:rsidRPr="004C7855">
        <w:rPr>
          <w:sz w:val="22"/>
        </w:rPr>
        <w:t>Pensacola, FL</w:t>
      </w:r>
      <w:r w:rsidR="00151825" w:rsidRPr="004C7855">
        <w:rPr>
          <w:sz w:val="22"/>
        </w:rPr>
        <w:t xml:space="preserve"> </w:t>
      </w:r>
      <w:r w:rsidR="00151825" w:rsidRPr="004C7855">
        <w:rPr>
          <w:color w:val="7050A0" w:themeColor="accent5" w:themeShade="80"/>
          <w:sz w:val="22"/>
        </w:rPr>
        <w:t>•</w:t>
      </w:r>
      <w:r w:rsidR="001E2574" w:rsidRPr="004C7855">
        <w:rPr>
          <w:sz w:val="22"/>
        </w:rPr>
        <w:t xml:space="preserve"> (</w:t>
      </w:r>
      <w:r w:rsidR="006D6126" w:rsidRPr="004C7855">
        <w:rPr>
          <w:sz w:val="22"/>
        </w:rPr>
        <w:t>850) 614-8567</w:t>
      </w:r>
      <w:r w:rsidR="001E2574" w:rsidRPr="004C7855">
        <w:rPr>
          <w:sz w:val="22"/>
        </w:rPr>
        <w:t xml:space="preserve"> </w:t>
      </w:r>
      <w:r w:rsidR="001E2574" w:rsidRPr="004C7855">
        <w:rPr>
          <w:color w:val="7050A0" w:themeColor="accent5" w:themeShade="80"/>
          <w:sz w:val="22"/>
        </w:rPr>
        <w:t>•</w:t>
      </w:r>
      <w:r w:rsidR="001E2574" w:rsidRPr="004C7855">
        <w:rPr>
          <w:sz w:val="22"/>
        </w:rPr>
        <w:t xml:space="preserve"> </w:t>
      </w:r>
      <w:r w:rsidRPr="004C7855">
        <w:rPr>
          <w:sz w:val="22"/>
        </w:rPr>
        <w:t>kendrablankenship</w:t>
      </w:r>
      <w:r w:rsidR="003C06AB" w:rsidRPr="004C7855">
        <w:rPr>
          <w:sz w:val="22"/>
        </w:rPr>
        <w:t>2</w:t>
      </w:r>
      <w:r w:rsidRPr="004C7855">
        <w:rPr>
          <w:sz w:val="22"/>
        </w:rPr>
        <w:t xml:space="preserve">@gmail.com </w:t>
      </w:r>
      <w:r w:rsidRPr="004C7855">
        <w:rPr>
          <w:color w:val="7050A0" w:themeColor="accent5" w:themeShade="80"/>
          <w:sz w:val="22"/>
        </w:rPr>
        <w:t xml:space="preserve">• </w:t>
      </w:r>
      <w:hyperlink r:id="rId12" w:history="1">
        <w:r w:rsidRPr="004C7855">
          <w:rPr>
            <w:rStyle w:val="Hyperlink"/>
            <w:sz w:val="22"/>
          </w:rPr>
          <w:t>www.linkedin.com/in/kendra-blankenship-70177038b</w:t>
        </w:r>
      </w:hyperlink>
      <w:r w:rsidR="006D6126" w:rsidRPr="004C7855">
        <w:rPr>
          <w:sz w:val="22"/>
        </w:rPr>
        <w:t xml:space="preserve"> </w:t>
      </w:r>
      <w:r w:rsidR="006D6126" w:rsidRPr="004C7855">
        <w:rPr>
          <w:color w:val="7050A0" w:themeColor="accent5" w:themeShade="80"/>
          <w:sz w:val="22"/>
        </w:rPr>
        <w:t xml:space="preserve">• </w:t>
      </w:r>
      <w:hyperlink r:id="rId13" w:history="1">
        <w:r w:rsidR="003C06AB" w:rsidRPr="004C7855">
          <w:rPr>
            <w:rStyle w:val="Hyperlink"/>
            <w:sz w:val="22"/>
          </w:rPr>
          <w:t>https://k-blankenship.github.io/kendra-blankenship-portfolio-</w:t>
        </w:r>
      </w:hyperlink>
      <w:r w:rsidR="003C06AB" w:rsidRPr="004C7855">
        <w:rPr>
          <w:sz w:val="22"/>
        </w:rPr>
        <w:t xml:space="preserve"> </w:t>
      </w:r>
    </w:p>
    <w:p w14:paraId="3EB0CF8E" w14:textId="77777777" w:rsidR="001E2574" w:rsidRPr="001E2574" w:rsidRDefault="001E2574" w:rsidP="001E2574"/>
    <w:p w14:paraId="5FE0D396" w14:textId="536767B7" w:rsidR="002A0A3D" w:rsidRPr="002A0A3D" w:rsidRDefault="002A0A3D" w:rsidP="002A0A3D">
      <w:pPr>
        <w:pStyle w:val="Heading1"/>
        <w:rPr>
          <w:rStyle w:val="Shade"/>
          <w:sz w:val="28"/>
          <w:szCs w:val="28"/>
        </w:rPr>
      </w:pPr>
      <w:r w:rsidRPr="002A0A3D">
        <w:rPr>
          <w:rStyle w:val="Shade"/>
          <w:sz w:val="28"/>
          <w:szCs w:val="28"/>
        </w:rPr>
        <w:t>Summary</w:t>
      </w:r>
    </w:p>
    <w:p w14:paraId="75FBC077" w14:textId="77777777" w:rsidR="006D6126" w:rsidRPr="004C7855" w:rsidRDefault="006D6126" w:rsidP="006D6126">
      <w:pPr>
        <w:spacing w:after="0" w:line="240" w:lineRule="auto"/>
        <w:rPr>
          <w:sz w:val="22"/>
        </w:rPr>
      </w:pPr>
      <w:r w:rsidRPr="004C7855">
        <w:rPr>
          <w:rFonts w:ascii="Calibri" w:eastAsia="Calibri" w:hAnsi="Calibri" w:cs="Calibri"/>
          <w:color w:val="1A1A1A"/>
          <w:sz w:val="22"/>
        </w:rPr>
        <w:t>Military veteran transitioning into IT with a strong foundation in logistics, operations management, accountability, and team leadership. Holds CompTIA A+ and Security+ certifications and is actively pursuing Network+ to deepen networking expertise. Brings hands-on technical experience through home labs, EVE-NG simulations, OSINT exercises, and endpoint configuration in real and virtualized environments. Applies a disciplined, methodical approach to troubleshooting, documentation, and security — refined across military service, healthcare logistics, and financial services.</w:t>
      </w:r>
    </w:p>
    <w:p w14:paraId="709967EF" w14:textId="1FDAF025" w:rsidR="002A0A3D" w:rsidRPr="002A0A3D" w:rsidRDefault="002A0A3D" w:rsidP="002A0A3D">
      <w:pPr>
        <w:pStyle w:val="Heading1"/>
        <w:rPr>
          <w:rStyle w:val="Shade"/>
          <w:sz w:val="28"/>
          <w:szCs w:val="28"/>
        </w:rPr>
      </w:pPr>
      <w:r w:rsidRPr="002A0A3D">
        <w:rPr>
          <w:rStyle w:val="Shade"/>
          <w:sz w:val="28"/>
          <w:szCs w:val="28"/>
        </w:rPr>
        <w:t>Certificates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A7401F" w:rsidRPr="00A7401F" w14:paraId="46D83CEE" w14:textId="77777777" w:rsidTr="00A7401F">
        <w:tc>
          <w:tcPr>
            <w:tcW w:w="9360" w:type="dxa"/>
          </w:tcPr>
          <w:p w14:paraId="2BF09030" w14:textId="77777777" w:rsidR="00A7401F" w:rsidRPr="004C7855" w:rsidRDefault="00A7401F">
            <w:pPr>
              <w:pStyle w:val="ListParagraph"/>
              <w:numPr>
                <w:ilvl w:val="0"/>
                <w:numId w:val="14"/>
              </w:numPr>
              <w:rPr>
                <w:sz w:val="22"/>
              </w:rPr>
            </w:pPr>
            <w:r w:rsidRPr="004C7855">
              <w:rPr>
                <w:sz w:val="22"/>
              </w:rPr>
              <w:t>CompTIA Network Plus – In progress</w:t>
            </w:r>
            <w:r w:rsidRPr="004C7855">
              <w:rPr>
                <w:sz w:val="22"/>
              </w:rPr>
              <w:tab/>
              <w:t xml:space="preserve"> </w:t>
            </w:r>
            <w:r w:rsidRPr="004C7855">
              <w:rPr>
                <w:sz w:val="22"/>
              </w:rPr>
              <w:tab/>
            </w:r>
          </w:p>
        </w:tc>
      </w:tr>
      <w:tr w:rsidR="00A7401F" w:rsidRPr="00A7401F" w14:paraId="38AB1CE7" w14:textId="77777777" w:rsidTr="00A7401F">
        <w:tc>
          <w:tcPr>
            <w:tcW w:w="9360" w:type="dxa"/>
          </w:tcPr>
          <w:p w14:paraId="70A658D7" w14:textId="77777777" w:rsidR="00A7401F" w:rsidRPr="004C7855" w:rsidRDefault="00A7401F">
            <w:pPr>
              <w:pStyle w:val="ListParagraph"/>
              <w:numPr>
                <w:ilvl w:val="0"/>
                <w:numId w:val="14"/>
              </w:numPr>
              <w:rPr>
                <w:sz w:val="22"/>
              </w:rPr>
            </w:pPr>
            <w:r w:rsidRPr="004C7855">
              <w:rPr>
                <w:sz w:val="22"/>
              </w:rPr>
              <w:t>CompTIA Security Plus – Certified 2026</w:t>
            </w:r>
          </w:p>
        </w:tc>
      </w:tr>
      <w:tr w:rsidR="00A7401F" w:rsidRPr="00A7401F" w14:paraId="3B9BAC38" w14:textId="77777777" w:rsidTr="00A7401F">
        <w:tc>
          <w:tcPr>
            <w:tcW w:w="9360" w:type="dxa"/>
          </w:tcPr>
          <w:p w14:paraId="178099DF" w14:textId="77777777" w:rsidR="00A7401F" w:rsidRPr="004C7855" w:rsidRDefault="00A7401F">
            <w:pPr>
              <w:pStyle w:val="ListParagraph"/>
              <w:numPr>
                <w:ilvl w:val="0"/>
                <w:numId w:val="14"/>
              </w:numPr>
              <w:rPr>
                <w:sz w:val="22"/>
              </w:rPr>
            </w:pPr>
            <w:r w:rsidRPr="004C7855">
              <w:rPr>
                <w:sz w:val="22"/>
              </w:rPr>
              <w:t>CompTIA (Core 1 &amp; 2) – Certified 2026</w:t>
            </w:r>
          </w:p>
        </w:tc>
      </w:tr>
      <w:tr w:rsidR="00A7401F" w:rsidRPr="00A7401F" w14:paraId="292CA3A0" w14:textId="77777777" w:rsidTr="00A7401F">
        <w:tc>
          <w:tcPr>
            <w:tcW w:w="9360" w:type="dxa"/>
          </w:tcPr>
          <w:p w14:paraId="5E2AC0A0" w14:textId="77777777" w:rsidR="00A7401F" w:rsidRPr="004C7855" w:rsidRDefault="00A7401F">
            <w:pPr>
              <w:pStyle w:val="ListParagraph"/>
              <w:numPr>
                <w:ilvl w:val="0"/>
                <w:numId w:val="14"/>
              </w:numPr>
              <w:rPr>
                <w:sz w:val="22"/>
              </w:rPr>
            </w:pPr>
            <w:r w:rsidRPr="004C7855">
              <w:rPr>
                <w:sz w:val="22"/>
              </w:rPr>
              <w:t>Cybersecurity – Certified 2025</w:t>
            </w:r>
          </w:p>
        </w:tc>
      </w:tr>
      <w:tr w:rsidR="00A7401F" w:rsidRPr="00A7401F" w14:paraId="52D787F5" w14:textId="77777777" w:rsidTr="00A7401F">
        <w:tc>
          <w:tcPr>
            <w:tcW w:w="9360" w:type="dxa"/>
          </w:tcPr>
          <w:p w14:paraId="308E0160" w14:textId="77777777" w:rsidR="00A7401F" w:rsidRPr="004C7855" w:rsidRDefault="00A7401F">
            <w:pPr>
              <w:pStyle w:val="ListParagraph"/>
              <w:numPr>
                <w:ilvl w:val="0"/>
                <w:numId w:val="14"/>
              </w:numPr>
              <w:rPr>
                <w:sz w:val="22"/>
              </w:rPr>
            </w:pPr>
            <w:r w:rsidRPr="004C7855">
              <w:rPr>
                <w:sz w:val="22"/>
              </w:rPr>
              <w:t>Network Security – Certified 2025</w:t>
            </w:r>
          </w:p>
        </w:tc>
      </w:tr>
      <w:tr w:rsidR="00A7401F" w:rsidRPr="00A7401F" w14:paraId="38F15079" w14:textId="77777777" w:rsidTr="00A7401F">
        <w:tc>
          <w:tcPr>
            <w:tcW w:w="9360" w:type="dxa"/>
          </w:tcPr>
          <w:p w14:paraId="318791CE" w14:textId="77777777" w:rsidR="00A7401F" w:rsidRPr="004C7855" w:rsidRDefault="00A7401F">
            <w:pPr>
              <w:pStyle w:val="ListParagraph"/>
              <w:numPr>
                <w:ilvl w:val="0"/>
                <w:numId w:val="14"/>
              </w:numPr>
              <w:rPr>
                <w:sz w:val="22"/>
              </w:rPr>
            </w:pPr>
            <w:r w:rsidRPr="004C7855">
              <w:rPr>
                <w:sz w:val="22"/>
              </w:rPr>
              <w:t>Networking – Certified 2025</w:t>
            </w:r>
          </w:p>
        </w:tc>
      </w:tr>
      <w:tr w:rsidR="00A7401F" w:rsidRPr="00A7401F" w14:paraId="18AA0BA7" w14:textId="77777777" w:rsidTr="00A7401F">
        <w:tc>
          <w:tcPr>
            <w:tcW w:w="9360" w:type="dxa"/>
          </w:tcPr>
          <w:p w14:paraId="1CA8F41F" w14:textId="77777777" w:rsidR="00A7401F" w:rsidRPr="004C7855" w:rsidRDefault="00A7401F">
            <w:pPr>
              <w:pStyle w:val="ListParagraph"/>
              <w:numPr>
                <w:ilvl w:val="0"/>
                <w:numId w:val="14"/>
              </w:numPr>
              <w:rPr>
                <w:sz w:val="22"/>
              </w:rPr>
            </w:pPr>
            <w:r w:rsidRPr="004C7855">
              <w:rPr>
                <w:sz w:val="22"/>
              </w:rPr>
              <w:t>Cloud Computing – Certified 2025</w:t>
            </w:r>
          </w:p>
        </w:tc>
      </w:tr>
      <w:tr w:rsidR="00A7401F" w:rsidRPr="00A7401F" w14:paraId="2DA2D683" w14:textId="77777777" w:rsidTr="00A7401F">
        <w:tc>
          <w:tcPr>
            <w:tcW w:w="9360" w:type="dxa"/>
          </w:tcPr>
          <w:p w14:paraId="264CE607" w14:textId="1186809B" w:rsidR="00172C4B" w:rsidRPr="00172C4B" w:rsidRDefault="00A7401F" w:rsidP="00172C4B">
            <w:pPr>
              <w:pStyle w:val="ListParagraph"/>
              <w:numPr>
                <w:ilvl w:val="0"/>
                <w:numId w:val="14"/>
              </w:numPr>
              <w:rPr>
                <w:rStyle w:val="Shade"/>
                <w:sz w:val="22"/>
                <w:shd w:val="clear" w:color="auto" w:fill="auto"/>
              </w:rPr>
            </w:pPr>
            <w:r w:rsidRPr="004C7855">
              <w:rPr>
                <w:sz w:val="22"/>
              </w:rPr>
              <w:t>Device Configuration</w:t>
            </w:r>
            <w:r w:rsidR="00172C4B">
              <w:rPr>
                <w:sz w:val="22"/>
              </w:rPr>
              <w:t xml:space="preserve"> &amp; Management</w:t>
            </w:r>
            <w:r w:rsidRPr="004C7855">
              <w:rPr>
                <w:sz w:val="22"/>
              </w:rPr>
              <w:t xml:space="preserve"> – Certified 2025</w:t>
            </w:r>
          </w:p>
          <w:p w14:paraId="4F1D7233" w14:textId="77777777" w:rsidR="00172C4B" w:rsidRDefault="00172C4B" w:rsidP="00172C4B">
            <w:pPr>
              <w:rPr>
                <w:rStyle w:val="Shade"/>
                <w:sz w:val="28"/>
                <w:szCs w:val="28"/>
              </w:rPr>
            </w:pPr>
          </w:p>
          <w:p w14:paraId="5BF2EA3F" w14:textId="7D7D6876" w:rsidR="004C7855" w:rsidRPr="00172C4B" w:rsidRDefault="004C7855" w:rsidP="00172C4B">
            <w:pPr>
              <w:rPr>
                <w:rStyle w:val="Shade"/>
                <w:sz w:val="22"/>
                <w:shd w:val="clear" w:color="auto" w:fill="auto"/>
              </w:rPr>
            </w:pPr>
            <w:r w:rsidRPr="00172C4B">
              <w:rPr>
                <w:rStyle w:val="Shade"/>
                <w:sz w:val="28"/>
                <w:szCs w:val="28"/>
              </w:rPr>
              <w:t>Badges &amp; Micro Credentials</w:t>
            </w:r>
          </w:p>
          <w:p w14:paraId="5BB4475D" w14:textId="77777777" w:rsidR="004C7855" w:rsidRDefault="004C7855" w:rsidP="004C7855">
            <w:pPr>
              <w:spacing w:line="348" w:lineRule="auto"/>
              <w:rPr>
                <w:rFonts w:ascii="Calibri" w:eastAsia="Calibri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IBM SkillsBuild — Cybersecurity / IT Fundamentals Badge</w:t>
            </w:r>
            <w:r>
              <w:rPr>
                <w:rFonts w:ascii="Calibri" w:eastAsia="Calibri" w:hAnsi="Calibri" w:cs="Calibri"/>
                <w:color w:val="1A1A1A"/>
                <w:sz w:val="21"/>
                <w:szCs w:val="21"/>
              </w:rPr>
              <w:t xml:space="preserve"> — Issued by IBM via the SkillsBuild platform.</w:t>
            </w:r>
          </w:p>
          <w:p w14:paraId="7FFD0C2C" w14:textId="77777777" w:rsidR="00172C4B" w:rsidRDefault="00172C4B" w:rsidP="004C7855">
            <w:pPr>
              <w:spacing w:line="348" w:lineRule="auto"/>
              <w:rPr>
                <w:rFonts w:ascii="Calibri" w:eastAsia="Calibri" w:hAnsi="Calibri" w:cs="Calibri"/>
                <w:color w:val="1A1A1A"/>
                <w:sz w:val="21"/>
                <w:szCs w:val="21"/>
              </w:rPr>
            </w:pPr>
          </w:p>
          <w:p w14:paraId="29C8F370" w14:textId="318D6507" w:rsidR="00172C4B" w:rsidRDefault="00172C4B" w:rsidP="00172C4B">
            <w:pPr>
              <w:rPr>
                <w:rStyle w:val="Shade"/>
                <w:sz w:val="28"/>
                <w:szCs w:val="28"/>
              </w:rPr>
            </w:pPr>
            <w:r>
              <w:rPr>
                <w:rStyle w:val="Shade"/>
                <w:sz w:val="28"/>
                <w:szCs w:val="28"/>
              </w:rPr>
              <w:t>Additional Qualification</w:t>
            </w:r>
          </w:p>
          <w:p w14:paraId="4E8DB698" w14:textId="41F72044" w:rsidR="00172C4B" w:rsidRPr="00172C4B" w:rsidRDefault="00172C4B" w:rsidP="00172C4B">
            <w:pPr>
              <w:rPr>
                <w:sz w:val="22"/>
              </w:rPr>
            </w:pPr>
            <w:r w:rsidRPr="00172C4B">
              <w:rPr>
                <w:sz w:val="22"/>
              </w:rPr>
              <w:t xml:space="preserve">Former </w:t>
            </w:r>
            <w:r w:rsidRPr="00172C4B">
              <w:rPr>
                <w:b/>
                <w:bCs/>
                <w:sz w:val="22"/>
              </w:rPr>
              <w:t>Secret Security Clearance</w:t>
            </w:r>
            <w:r w:rsidRPr="00172C4B">
              <w:rPr>
                <w:sz w:val="22"/>
              </w:rPr>
              <w:t xml:space="preserve"> (Held approximately 10 years; currently inactive) </w:t>
            </w:r>
          </w:p>
        </w:tc>
      </w:tr>
    </w:tbl>
    <w:p w14:paraId="3AEEE12F" w14:textId="4F1AEC87" w:rsidR="001E2574" w:rsidRPr="002A0A3D" w:rsidRDefault="001E2574" w:rsidP="004C7855">
      <w:pPr>
        <w:pStyle w:val="Heading1"/>
        <w:spacing w:after="0"/>
        <w:rPr>
          <w:rStyle w:val="Shade"/>
          <w:sz w:val="28"/>
          <w:szCs w:val="28"/>
        </w:rPr>
      </w:pPr>
      <w:r w:rsidRPr="002A0A3D">
        <w:rPr>
          <w:rStyle w:val="Shade"/>
          <w:sz w:val="28"/>
          <w:szCs w:val="28"/>
        </w:rPr>
        <w:t>Experience</w:t>
      </w:r>
    </w:p>
    <w:p w14:paraId="794192ED" w14:textId="1BA267FB" w:rsidR="001E2574" w:rsidRPr="004C7855" w:rsidRDefault="001E2574" w:rsidP="001E2574">
      <w:pPr>
        <w:pStyle w:val="Heading2"/>
        <w:rPr>
          <w:sz w:val="22"/>
          <w:szCs w:val="22"/>
        </w:rPr>
      </w:pPr>
      <w:r w:rsidRPr="004C7855">
        <w:rPr>
          <w:sz w:val="22"/>
          <w:szCs w:val="22"/>
        </w:rPr>
        <w:t>20</w:t>
      </w:r>
      <w:r w:rsidR="00A0162E" w:rsidRPr="004C7855">
        <w:rPr>
          <w:sz w:val="22"/>
          <w:szCs w:val="22"/>
        </w:rPr>
        <w:t>23</w:t>
      </w:r>
      <w:r w:rsidRPr="004C7855">
        <w:rPr>
          <w:sz w:val="22"/>
          <w:szCs w:val="22"/>
        </w:rPr>
        <w:t xml:space="preserve"> – </w:t>
      </w:r>
      <w:r w:rsidR="00A0162E" w:rsidRPr="004C7855">
        <w:rPr>
          <w:sz w:val="22"/>
          <w:szCs w:val="22"/>
        </w:rPr>
        <w:t>2024</w:t>
      </w:r>
    </w:p>
    <w:p w14:paraId="63AE798B" w14:textId="40B1D8BE" w:rsidR="001E2574" w:rsidRPr="004C7855" w:rsidRDefault="002A0A3D" w:rsidP="001E2574">
      <w:pPr>
        <w:pStyle w:val="Heading3"/>
        <w:rPr>
          <w:sz w:val="22"/>
        </w:rPr>
      </w:pPr>
      <w:r w:rsidRPr="004C7855">
        <w:rPr>
          <w:sz w:val="22"/>
        </w:rPr>
        <w:t>Medical Courier Services</w:t>
      </w:r>
      <w:r w:rsidR="001E2574" w:rsidRPr="004C7855">
        <w:rPr>
          <w:sz w:val="22"/>
        </w:rPr>
        <w:t xml:space="preserve"> | </w:t>
      </w:r>
      <w:r w:rsidRPr="004C7855">
        <w:rPr>
          <w:sz w:val="22"/>
        </w:rPr>
        <w:t>MidEast Delivery Solutions</w:t>
      </w:r>
      <w:r w:rsidR="001E2574" w:rsidRPr="004C7855">
        <w:rPr>
          <w:sz w:val="22"/>
        </w:rPr>
        <w:t xml:space="preserve"> | </w:t>
      </w:r>
      <w:r w:rsidRPr="004C7855">
        <w:rPr>
          <w:sz w:val="22"/>
        </w:rPr>
        <w:t>Pensacola, FL</w:t>
      </w:r>
    </w:p>
    <w:p w14:paraId="28457FFB" w14:textId="77777777" w:rsidR="002A0A3D" w:rsidRPr="004C7855" w:rsidRDefault="002A0A3D" w:rsidP="004C7855">
      <w:pPr>
        <w:pStyle w:val="ListParagraph"/>
        <w:numPr>
          <w:ilvl w:val="0"/>
          <w:numId w:val="15"/>
        </w:numPr>
        <w:spacing w:after="0" w:line="360" w:lineRule="auto"/>
        <w:ind w:left="360"/>
        <w:contextualSpacing w:val="0"/>
        <w:rPr>
          <w:rFonts w:cstheme="minorHAnsi"/>
          <w:sz w:val="22"/>
        </w:rPr>
      </w:pPr>
      <w:r w:rsidRPr="004C7855">
        <w:rPr>
          <w:rFonts w:eastAsia="Calibri" w:cstheme="minorHAnsi"/>
          <w:color w:val="1A1A1A"/>
          <w:sz w:val="22"/>
        </w:rPr>
        <w:t>Completed 5–8 daily route stops transporting 10–60 totes of medical specimens and supplies under strict chain-of-custody protocols and healthcare regulatory standards.</w:t>
      </w:r>
    </w:p>
    <w:p w14:paraId="0D4B772F" w14:textId="77777777" w:rsidR="002A0A3D" w:rsidRPr="004C7855" w:rsidRDefault="002A0A3D" w:rsidP="004C7855">
      <w:pPr>
        <w:pStyle w:val="ListParagraph"/>
        <w:numPr>
          <w:ilvl w:val="0"/>
          <w:numId w:val="15"/>
        </w:numPr>
        <w:spacing w:after="0" w:line="360" w:lineRule="auto"/>
        <w:ind w:left="360"/>
        <w:contextualSpacing w:val="0"/>
        <w:rPr>
          <w:rFonts w:cstheme="minorHAnsi"/>
          <w:sz w:val="22"/>
        </w:rPr>
      </w:pPr>
      <w:r w:rsidRPr="004C7855">
        <w:rPr>
          <w:rFonts w:eastAsia="Calibri" w:cstheme="minorHAnsi"/>
          <w:color w:val="1A1A1A"/>
          <w:sz w:val="22"/>
        </w:rPr>
        <w:t>Handled controlled substances in full compliance with DEA and applicable healthcare regulations, maintaining zero chain-of-custody violations.</w:t>
      </w:r>
    </w:p>
    <w:p w14:paraId="232805FD" w14:textId="77777777" w:rsidR="002A0A3D" w:rsidRPr="004C7855" w:rsidRDefault="002A0A3D" w:rsidP="004C7855">
      <w:pPr>
        <w:pStyle w:val="ListParagraph"/>
        <w:numPr>
          <w:ilvl w:val="0"/>
          <w:numId w:val="15"/>
        </w:numPr>
        <w:spacing w:after="0" w:line="360" w:lineRule="auto"/>
        <w:ind w:left="360"/>
        <w:contextualSpacing w:val="0"/>
        <w:rPr>
          <w:rFonts w:cstheme="minorHAnsi"/>
          <w:sz w:val="22"/>
        </w:rPr>
      </w:pPr>
      <w:r w:rsidRPr="004C7855">
        <w:rPr>
          <w:rFonts w:eastAsia="Calibri" w:cstheme="minorHAnsi"/>
          <w:color w:val="1A1A1A"/>
          <w:sz w:val="22"/>
        </w:rPr>
        <w:t>Executed STAT runs requiring time-critical delivery coordination and real-time route adjustment under pressure, mirroring incident-response prioritization in IT environments.</w:t>
      </w:r>
    </w:p>
    <w:p w14:paraId="517A926D" w14:textId="77777777" w:rsidR="002A0A3D" w:rsidRPr="004C7855" w:rsidRDefault="002A0A3D" w:rsidP="004C7855">
      <w:pPr>
        <w:pStyle w:val="ListParagraph"/>
        <w:numPr>
          <w:ilvl w:val="0"/>
          <w:numId w:val="15"/>
        </w:numPr>
        <w:spacing w:after="0" w:line="360" w:lineRule="auto"/>
        <w:ind w:left="360"/>
        <w:contextualSpacing w:val="0"/>
        <w:rPr>
          <w:rFonts w:cstheme="minorHAnsi"/>
          <w:sz w:val="22"/>
        </w:rPr>
      </w:pPr>
      <w:r w:rsidRPr="004C7855">
        <w:rPr>
          <w:rFonts w:eastAsia="Calibri" w:cstheme="minorHAnsi"/>
          <w:color w:val="1A1A1A"/>
          <w:sz w:val="22"/>
        </w:rPr>
        <w:lastRenderedPageBreak/>
        <w:t>Maintained temperature-sensitive specimen integrity throughout transport through proper handling procedures and continuous condition monitoring.</w:t>
      </w:r>
    </w:p>
    <w:p w14:paraId="66503F6E" w14:textId="77777777" w:rsidR="002A0A3D" w:rsidRPr="004C7855" w:rsidRDefault="002A0A3D" w:rsidP="004C7855">
      <w:pPr>
        <w:pStyle w:val="ListParagraph"/>
        <w:numPr>
          <w:ilvl w:val="0"/>
          <w:numId w:val="15"/>
        </w:numPr>
        <w:spacing w:after="0" w:line="360" w:lineRule="auto"/>
        <w:ind w:left="360"/>
        <w:contextualSpacing w:val="0"/>
        <w:rPr>
          <w:rFonts w:cstheme="minorHAnsi"/>
          <w:sz w:val="22"/>
        </w:rPr>
      </w:pPr>
      <w:r w:rsidRPr="004C7855">
        <w:rPr>
          <w:rFonts w:eastAsia="Calibri" w:cstheme="minorHAnsi"/>
          <w:color w:val="1A1A1A"/>
          <w:sz w:val="22"/>
        </w:rPr>
        <w:t>Ensured accurate manifest documentation and confirmed delivery on every route segment, sustaining an unbroken audit trail for all transported materials.</w:t>
      </w:r>
    </w:p>
    <w:p w14:paraId="297AB6D9" w14:textId="77777777" w:rsidR="00A22A5F" w:rsidRDefault="00A22A5F" w:rsidP="001E2574">
      <w:pPr>
        <w:pStyle w:val="Heading2"/>
      </w:pPr>
    </w:p>
    <w:p w14:paraId="53394C5C" w14:textId="6CDE7E7B" w:rsidR="001E2574" w:rsidRPr="004C7855" w:rsidRDefault="00A22A5F" w:rsidP="001E2574">
      <w:pPr>
        <w:pStyle w:val="Heading2"/>
        <w:rPr>
          <w:sz w:val="22"/>
          <w:szCs w:val="22"/>
        </w:rPr>
      </w:pPr>
      <w:r w:rsidRPr="004C7855">
        <w:rPr>
          <w:sz w:val="22"/>
          <w:szCs w:val="22"/>
        </w:rPr>
        <w:t>2023</w:t>
      </w:r>
    </w:p>
    <w:p w14:paraId="583336B8" w14:textId="5CA0D8E4" w:rsidR="001E2574" w:rsidRPr="004C7855" w:rsidRDefault="00A22A5F" w:rsidP="001E2574">
      <w:pPr>
        <w:pStyle w:val="Heading3"/>
        <w:rPr>
          <w:sz w:val="22"/>
        </w:rPr>
      </w:pPr>
      <w:r w:rsidRPr="004C7855">
        <w:rPr>
          <w:sz w:val="22"/>
        </w:rPr>
        <w:t>Delivery Driver</w:t>
      </w:r>
      <w:r w:rsidR="001E2574" w:rsidRPr="004C7855">
        <w:rPr>
          <w:sz w:val="22"/>
        </w:rPr>
        <w:t xml:space="preserve"> | </w:t>
      </w:r>
      <w:r w:rsidRPr="004C7855">
        <w:rPr>
          <w:sz w:val="22"/>
        </w:rPr>
        <w:t>OneBlood</w:t>
      </w:r>
      <w:r w:rsidR="001E2574" w:rsidRPr="004C7855">
        <w:rPr>
          <w:sz w:val="22"/>
        </w:rPr>
        <w:t xml:space="preserve"> | </w:t>
      </w:r>
      <w:r w:rsidRPr="004C7855">
        <w:rPr>
          <w:sz w:val="22"/>
        </w:rPr>
        <w:t>Pensacola, FL</w:t>
      </w:r>
    </w:p>
    <w:p w14:paraId="48FABAD4" w14:textId="77777777" w:rsidR="00A22A5F" w:rsidRPr="004C7855" w:rsidRDefault="00A22A5F" w:rsidP="004C7855">
      <w:pPr>
        <w:pStyle w:val="ListParagraph"/>
        <w:numPr>
          <w:ilvl w:val="0"/>
          <w:numId w:val="15"/>
        </w:numPr>
        <w:spacing w:after="0" w:line="360" w:lineRule="auto"/>
        <w:ind w:left="360"/>
        <w:contextualSpacing w:val="0"/>
        <w:rPr>
          <w:rFonts w:cstheme="minorHAnsi"/>
          <w:sz w:val="22"/>
        </w:rPr>
      </w:pPr>
      <w:r w:rsidRPr="004C7855">
        <w:rPr>
          <w:rFonts w:eastAsia="Calibri" w:cstheme="minorHAnsi"/>
          <w:color w:val="1A1A1A"/>
          <w:sz w:val="22"/>
        </w:rPr>
        <w:t>Delivered time-sensitive blood products to hospital facilities across assigned routes, ensuring cold-chain integrity and on-time delivery compliance at every stop.</w:t>
      </w:r>
    </w:p>
    <w:p w14:paraId="55DE3C8B" w14:textId="77777777" w:rsidR="00A22A5F" w:rsidRPr="004C7855" w:rsidRDefault="00A22A5F" w:rsidP="004C7855">
      <w:pPr>
        <w:pStyle w:val="ListParagraph"/>
        <w:numPr>
          <w:ilvl w:val="0"/>
          <w:numId w:val="15"/>
        </w:numPr>
        <w:spacing w:after="0" w:line="360" w:lineRule="auto"/>
        <w:ind w:left="360"/>
        <w:contextualSpacing w:val="0"/>
        <w:rPr>
          <w:rFonts w:cstheme="minorHAnsi"/>
          <w:sz w:val="22"/>
        </w:rPr>
      </w:pPr>
      <w:r w:rsidRPr="004C7855">
        <w:rPr>
          <w:rFonts w:eastAsia="Calibri" w:cstheme="minorHAnsi"/>
          <w:color w:val="1A1A1A"/>
          <w:sz w:val="22"/>
        </w:rPr>
        <w:t>Maintained strict chain-of-custody documentation for all blood product transfers; verified recipient sign-off at each hospital stop to sustain an unbroken audit trail.</w:t>
      </w:r>
    </w:p>
    <w:p w14:paraId="49C57F0E" w14:textId="77777777" w:rsidR="00A22A5F" w:rsidRPr="004C7855" w:rsidRDefault="00A22A5F" w:rsidP="004C7855">
      <w:pPr>
        <w:pStyle w:val="ListParagraph"/>
        <w:numPr>
          <w:ilvl w:val="0"/>
          <w:numId w:val="15"/>
        </w:numPr>
        <w:spacing w:after="0" w:line="360" w:lineRule="auto"/>
        <w:ind w:left="360"/>
        <w:contextualSpacing w:val="0"/>
        <w:rPr>
          <w:rFonts w:cstheme="minorHAnsi"/>
          <w:sz w:val="22"/>
        </w:rPr>
      </w:pPr>
      <w:r w:rsidRPr="004C7855">
        <w:rPr>
          <w:rFonts w:eastAsia="Calibri" w:cstheme="minorHAnsi"/>
          <w:color w:val="1A1A1A"/>
          <w:sz w:val="22"/>
        </w:rPr>
        <w:t>Operated under biohazard handling protocols and healthcare regulatory standards, consistently meeting safety and compliance requirements across all deliveries.</w:t>
      </w:r>
    </w:p>
    <w:p w14:paraId="73318B8A" w14:textId="77777777" w:rsidR="00A22A5F" w:rsidRDefault="00A22A5F" w:rsidP="00A22A5F">
      <w:pPr>
        <w:spacing w:after="0" w:line="240" w:lineRule="auto"/>
        <w:rPr>
          <w:rFonts w:cstheme="minorHAnsi"/>
        </w:rPr>
      </w:pPr>
    </w:p>
    <w:p w14:paraId="0AD66A7B" w14:textId="258609DD" w:rsidR="00A22A5F" w:rsidRPr="004C7855" w:rsidRDefault="00A22A5F" w:rsidP="00A22A5F">
      <w:pPr>
        <w:pStyle w:val="Heading2"/>
        <w:rPr>
          <w:sz w:val="22"/>
          <w:szCs w:val="22"/>
        </w:rPr>
      </w:pPr>
      <w:r w:rsidRPr="004C7855">
        <w:rPr>
          <w:sz w:val="22"/>
          <w:szCs w:val="22"/>
        </w:rPr>
        <w:t>2022</w:t>
      </w:r>
    </w:p>
    <w:p w14:paraId="5EBFB6E4" w14:textId="7CEB97F6" w:rsidR="00A22A5F" w:rsidRPr="004C7855" w:rsidRDefault="00A22A5F" w:rsidP="00A22A5F">
      <w:pPr>
        <w:pStyle w:val="Heading3"/>
        <w:rPr>
          <w:sz w:val="22"/>
        </w:rPr>
      </w:pPr>
      <w:r w:rsidRPr="004C7855">
        <w:rPr>
          <w:sz w:val="22"/>
        </w:rPr>
        <w:t>Transportation Driver | ITL Solutions | Pensacola, FL</w:t>
      </w:r>
    </w:p>
    <w:p w14:paraId="4885A16C" w14:textId="77777777" w:rsidR="00A22A5F" w:rsidRPr="004C7855" w:rsidRDefault="00A22A5F" w:rsidP="004C7855">
      <w:pPr>
        <w:pStyle w:val="ListParagraph"/>
        <w:numPr>
          <w:ilvl w:val="0"/>
          <w:numId w:val="15"/>
        </w:numPr>
        <w:spacing w:after="0" w:line="360" w:lineRule="auto"/>
        <w:ind w:left="360"/>
        <w:contextualSpacing w:val="0"/>
        <w:rPr>
          <w:rFonts w:cstheme="minorHAnsi"/>
          <w:sz w:val="22"/>
        </w:rPr>
      </w:pPr>
      <w:r w:rsidRPr="004C7855">
        <w:rPr>
          <w:rFonts w:eastAsia="Calibri" w:cstheme="minorHAnsi"/>
          <w:color w:val="1A1A1A"/>
          <w:sz w:val="22"/>
        </w:rPr>
        <w:t>Transported elderly and disabled clients to medical appointments and workplaces, maintaining strict on-time performance and professional conduct on every trip.</w:t>
      </w:r>
    </w:p>
    <w:p w14:paraId="498E85A0" w14:textId="77777777" w:rsidR="00A22A5F" w:rsidRPr="004C7855" w:rsidRDefault="00A22A5F" w:rsidP="004C7855">
      <w:pPr>
        <w:pStyle w:val="ListParagraph"/>
        <w:numPr>
          <w:ilvl w:val="0"/>
          <w:numId w:val="15"/>
        </w:numPr>
        <w:spacing w:after="0" w:line="360" w:lineRule="auto"/>
        <w:ind w:left="360"/>
        <w:contextualSpacing w:val="0"/>
        <w:rPr>
          <w:rFonts w:cstheme="minorHAnsi"/>
          <w:sz w:val="22"/>
        </w:rPr>
      </w:pPr>
      <w:r w:rsidRPr="004C7855">
        <w:rPr>
          <w:rFonts w:eastAsia="Calibri" w:cstheme="minorHAnsi"/>
          <w:color w:val="1A1A1A"/>
          <w:sz w:val="22"/>
        </w:rPr>
        <w:t>Managed daily route logistics, coordinating multiple stops while ensuring passenger safety, comfort, and dignity throughout each assignment.</w:t>
      </w:r>
    </w:p>
    <w:p w14:paraId="7BA91959" w14:textId="77777777" w:rsidR="00A22A5F" w:rsidRPr="004C7855" w:rsidRDefault="00A22A5F" w:rsidP="004C7855">
      <w:pPr>
        <w:pStyle w:val="ListParagraph"/>
        <w:numPr>
          <w:ilvl w:val="0"/>
          <w:numId w:val="15"/>
        </w:numPr>
        <w:spacing w:after="0" w:line="360" w:lineRule="auto"/>
        <w:ind w:left="360"/>
        <w:contextualSpacing w:val="0"/>
        <w:rPr>
          <w:rFonts w:cstheme="minorHAnsi"/>
          <w:sz w:val="22"/>
        </w:rPr>
      </w:pPr>
      <w:r w:rsidRPr="004C7855">
        <w:rPr>
          <w:rFonts w:eastAsia="Calibri" w:cstheme="minorHAnsi"/>
          <w:color w:val="1A1A1A"/>
          <w:sz w:val="22"/>
        </w:rPr>
        <w:t>Maintained vehicle compliance and documentation standards; communicated proactively with dispatch and clients to resolve scheduling changes and minimize service disruptions.</w:t>
      </w:r>
    </w:p>
    <w:p w14:paraId="203DFA91" w14:textId="77777777" w:rsidR="00A22A5F" w:rsidRDefault="00A22A5F" w:rsidP="00A22A5F">
      <w:pPr>
        <w:spacing w:after="0" w:line="240" w:lineRule="auto"/>
        <w:rPr>
          <w:rFonts w:cstheme="minorHAnsi"/>
        </w:rPr>
      </w:pPr>
    </w:p>
    <w:p w14:paraId="1EB79124" w14:textId="3C53B3BF" w:rsidR="00A22A5F" w:rsidRPr="004C7855" w:rsidRDefault="00A22A5F" w:rsidP="00A22A5F">
      <w:pPr>
        <w:pStyle w:val="Heading2"/>
        <w:rPr>
          <w:sz w:val="22"/>
          <w:szCs w:val="22"/>
        </w:rPr>
      </w:pPr>
      <w:r w:rsidRPr="004C7855">
        <w:rPr>
          <w:sz w:val="22"/>
          <w:szCs w:val="22"/>
        </w:rPr>
        <w:t>2021-2022</w:t>
      </w:r>
    </w:p>
    <w:p w14:paraId="0347D9CA" w14:textId="638C2C22" w:rsidR="00A22A5F" w:rsidRPr="004C7855" w:rsidRDefault="00A22A5F" w:rsidP="00A22A5F">
      <w:pPr>
        <w:pStyle w:val="Heading3"/>
        <w:rPr>
          <w:sz w:val="22"/>
        </w:rPr>
      </w:pPr>
      <w:r w:rsidRPr="004C7855">
        <w:rPr>
          <w:sz w:val="22"/>
        </w:rPr>
        <w:t xml:space="preserve">Members Services Representative | Navy Federal Credit </w:t>
      </w:r>
      <w:r w:rsidR="00F772A1" w:rsidRPr="004C7855">
        <w:rPr>
          <w:sz w:val="22"/>
        </w:rPr>
        <w:t>Union</w:t>
      </w:r>
      <w:r w:rsidRPr="004C7855">
        <w:rPr>
          <w:sz w:val="22"/>
        </w:rPr>
        <w:t xml:space="preserve"> | Pensacola, FL</w:t>
      </w:r>
    </w:p>
    <w:p w14:paraId="7223840B" w14:textId="77777777" w:rsidR="00A22A5F" w:rsidRPr="004C7855" w:rsidRDefault="00A22A5F" w:rsidP="004C7855">
      <w:pPr>
        <w:pStyle w:val="ListParagraph"/>
        <w:numPr>
          <w:ilvl w:val="0"/>
          <w:numId w:val="15"/>
        </w:numPr>
        <w:spacing w:after="0" w:line="360" w:lineRule="auto"/>
        <w:ind w:left="360"/>
        <w:contextualSpacing w:val="0"/>
        <w:rPr>
          <w:sz w:val="22"/>
        </w:rPr>
      </w:pPr>
      <w:r w:rsidRPr="004C7855">
        <w:rPr>
          <w:rFonts w:ascii="Calibri" w:eastAsia="Calibri" w:hAnsi="Calibri" w:cs="Calibri"/>
          <w:color w:val="1A1A1A"/>
          <w:sz w:val="22"/>
        </w:rPr>
        <w:t>Assisted 60–100+ members per shift across account services, transactions, and financial product inquiries in a high-volume, regulated credit union environment.</w:t>
      </w:r>
    </w:p>
    <w:p w14:paraId="578D9C25" w14:textId="77777777" w:rsidR="00A22A5F" w:rsidRPr="004C7855" w:rsidRDefault="00A22A5F" w:rsidP="004C7855">
      <w:pPr>
        <w:pStyle w:val="ListParagraph"/>
        <w:numPr>
          <w:ilvl w:val="0"/>
          <w:numId w:val="15"/>
        </w:numPr>
        <w:spacing w:after="0" w:line="360" w:lineRule="auto"/>
        <w:ind w:left="360"/>
        <w:contextualSpacing w:val="0"/>
        <w:rPr>
          <w:sz w:val="22"/>
        </w:rPr>
      </w:pPr>
      <w:r w:rsidRPr="004C7855">
        <w:rPr>
          <w:rFonts w:ascii="Calibri" w:eastAsia="Calibri" w:hAnsi="Calibri" w:cs="Calibri"/>
          <w:color w:val="1A1A1A"/>
          <w:sz w:val="22"/>
        </w:rPr>
        <w:t>Maintained precision and compliance standards across all member interactions, consistently adhering to federal credit union regulations and internal policy requirements.</w:t>
      </w:r>
    </w:p>
    <w:p w14:paraId="6EAC24E9" w14:textId="77777777" w:rsidR="00A22A5F" w:rsidRPr="004C7855" w:rsidRDefault="00A22A5F" w:rsidP="004C7855">
      <w:pPr>
        <w:pStyle w:val="ListParagraph"/>
        <w:numPr>
          <w:ilvl w:val="0"/>
          <w:numId w:val="15"/>
        </w:numPr>
        <w:spacing w:after="0" w:line="360" w:lineRule="auto"/>
        <w:ind w:left="360"/>
        <w:contextualSpacing w:val="0"/>
        <w:rPr>
          <w:sz w:val="22"/>
        </w:rPr>
      </w:pPr>
      <w:r w:rsidRPr="004C7855">
        <w:rPr>
          <w:rFonts w:ascii="Calibri" w:eastAsia="Calibri" w:hAnsi="Calibri" w:cs="Calibri"/>
          <w:color w:val="1A1A1A"/>
          <w:sz w:val="22"/>
        </w:rPr>
        <w:t>Resolved escalated member concerns through calm, professional communication and timely follow-through, reducing repeat contacts and improving member satisfaction outcomes.</w:t>
      </w:r>
    </w:p>
    <w:p w14:paraId="5D10E6F1" w14:textId="77777777" w:rsidR="00A22A5F" w:rsidRPr="004C7855" w:rsidRDefault="00A22A5F" w:rsidP="004C7855">
      <w:pPr>
        <w:pStyle w:val="ListParagraph"/>
        <w:numPr>
          <w:ilvl w:val="0"/>
          <w:numId w:val="15"/>
        </w:numPr>
        <w:spacing w:after="0" w:line="360" w:lineRule="auto"/>
        <w:ind w:left="360"/>
        <w:contextualSpacing w:val="0"/>
        <w:rPr>
          <w:sz w:val="22"/>
        </w:rPr>
      </w:pPr>
      <w:r w:rsidRPr="004C7855">
        <w:rPr>
          <w:rFonts w:ascii="Calibri" w:eastAsia="Calibri" w:hAnsi="Calibri" w:cs="Calibri"/>
          <w:color w:val="1A1A1A"/>
          <w:sz w:val="22"/>
        </w:rPr>
        <w:t>Supported team operations during peak service periods; cross-trained across multiple service functions to maintain staffing flexibility and service continuity.</w:t>
      </w:r>
    </w:p>
    <w:p w14:paraId="6C78A5C2" w14:textId="77777777" w:rsidR="00A22A5F" w:rsidRPr="004C7855" w:rsidRDefault="00A22A5F" w:rsidP="004C7855">
      <w:pPr>
        <w:pStyle w:val="ListParagraph"/>
        <w:numPr>
          <w:ilvl w:val="0"/>
          <w:numId w:val="15"/>
        </w:numPr>
        <w:spacing w:after="0" w:line="360" w:lineRule="auto"/>
        <w:ind w:left="360"/>
        <w:contextualSpacing w:val="0"/>
        <w:rPr>
          <w:sz w:val="22"/>
        </w:rPr>
      </w:pPr>
      <w:r w:rsidRPr="004C7855">
        <w:rPr>
          <w:rFonts w:ascii="Calibri" w:eastAsia="Calibri" w:hAnsi="Calibri" w:cs="Calibri"/>
          <w:color w:val="1A1A1A"/>
          <w:sz w:val="22"/>
        </w:rPr>
        <w:t>Documented member interactions and service actions in full accordance with credit union data governance and recordkeeping policies.</w:t>
      </w:r>
    </w:p>
    <w:p w14:paraId="6B7BE721" w14:textId="77777777" w:rsidR="00A22A5F" w:rsidRPr="004C7855" w:rsidRDefault="00A22A5F" w:rsidP="004C7855">
      <w:pPr>
        <w:pStyle w:val="ListParagraph"/>
        <w:numPr>
          <w:ilvl w:val="0"/>
          <w:numId w:val="15"/>
        </w:numPr>
        <w:spacing w:after="0" w:line="360" w:lineRule="auto"/>
        <w:ind w:left="360"/>
        <w:contextualSpacing w:val="0"/>
        <w:rPr>
          <w:sz w:val="22"/>
        </w:rPr>
      </w:pPr>
      <w:r w:rsidRPr="004C7855">
        <w:rPr>
          <w:rFonts w:ascii="Calibri" w:eastAsia="Calibri" w:hAnsi="Calibri" w:cs="Calibri"/>
          <w:color w:val="1A1A1A"/>
          <w:sz w:val="22"/>
        </w:rPr>
        <w:lastRenderedPageBreak/>
        <w:t>Demonstrated consistent reliability, attention to detail, and regulatory awareness across all transactions — foundational traits directly transferable to IT compliance and help desk roles.</w:t>
      </w:r>
    </w:p>
    <w:p w14:paraId="177A934D" w14:textId="77777777" w:rsidR="00A22A5F" w:rsidRDefault="00A22A5F" w:rsidP="00A22A5F">
      <w:pPr>
        <w:spacing w:after="0" w:line="240" w:lineRule="auto"/>
      </w:pPr>
    </w:p>
    <w:p w14:paraId="0BB8C90C" w14:textId="33F197C2" w:rsidR="00A22A5F" w:rsidRPr="004C7855" w:rsidRDefault="00A22A5F" w:rsidP="00A22A5F">
      <w:pPr>
        <w:pStyle w:val="Heading2"/>
        <w:rPr>
          <w:sz w:val="22"/>
          <w:szCs w:val="22"/>
        </w:rPr>
      </w:pPr>
      <w:r w:rsidRPr="004C7855">
        <w:rPr>
          <w:sz w:val="22"/>
          <w:szCs w:val="22"/>
        </w:rPr>
        <w:t>2009-2017</w:t>
      </w:r>
    </w:p>
    <w:p w14:paraId="4B057600" w14:textId="69CD3EC1" w:rsidR="00A22A5F" w:rsidRPr="004C7855" w:rsidRDefault="00A22A5F" w:rsidP="00A22A5F">
      <w:pPr>
        <w:pStyle w:val="Heading3"/>
        <w:rPr>
          <w:sz w:val="22"/>
        </w:rPr>
      </w:pPr>
      <w:r w:rsidRPr="004C7855">
        <w:rPr>
          <w:sz w:val="22"/>
        </w:rPr>
        <w:t xml:space="preserve">92Y- Unit Supply Specialist| Sergeant/NCO| </w:t>
      </w:r>
      <w:r w:rsidR="006D0C7C" w:rsidRPr="004C7855">
        <w:rPr>
          <w:sz w:val="22"/>
        </w:rPr>
        <w:t>United States Army | Various locations including Afghanistan</w:t>
      </w:r>
    </w:p>
    <w:p w14:paraId="01ED65BB" w14:textId="5ED2E81D" w:rsidR="006D0C7C" w:rsidRPr="004C7855" w:rsidRDefault="006D0C7C" w:rsidP="004C7855">
      <w:pPr>
        <w:pStyle w:val="ListParagraph"/>
        <w:numPr>
          <w:ilvl w:val="0"/>
          <w:numId w:val="15"/>
        </w:numPr>
        <w:spacing w:after="0" w:line="360" w:lineRule="auto"/>
        <w:ind w:left="360"/>
        <w:contextualSpacing w:val="0"/>
        <w:rPr>
          <w:sz w:val="22"/>
        </w:rPr>
      </w:pPr>
      <w:r w:rsidRPr="004C7855">
        <w:rPr>
          <w:rFonts w:ascii="Calibri" w:eastAsia="Calibri" w:hAnsi="Calibri" w:cs="Calibri"/>
          <w:color w:val="1A1A1A"/>
          <w:sz w:val="22"/>
        </w:rPr>
        <w:t xml:space="preserve">Supervised </w:t>
      </w:r>
      <w:r w:rsidR="00F772A1" w:rsidRPr="004C7855">
        <w:rPr>
          <w:rFonts w:ascii="Calibri" w:eastAsia="Calibri" w:hAnsi="Calibri" w:cs="Calibri"/>
          <w:color w:val="1A1A1A"/>
          <w:sz w:val="22"/>
        </w:rPr>
        <w:t>nine</w:t>
      </w:r>
      <w:r w:rsidRPr="004C7855">
        <w:rPr>
          <w:rFonts w:ascii="Calibri" w:eastAsia="Calibri" w:hAnsi="Calibri" w:cs="Calibri"/>
          <w:color w:val="1A1A1A"/>
          <w:sz w:val="22"/>
        </w:rPr>
        <w:t xml:space="preserve"> soldiers across supply and logistics operations, providing daily leadership, mentorship, and performance accountability in garrison and deployed environments.</w:t>
      </w:r>
    </w:p>
    <w:p w14:paraId="0B6474D4" w14:textId="77777777" w:rsidR="006D0C7C" w:rsidRPr="004C7855" w:rsidRDefault="006D0C7C" w:rsidP="004C7855">
      <w:pPr>
        <w:pStyle w:val="ListParagraph"/>
        <w:numPr>
          <w:ilvl w:val="0"/>
          <w:numId w:val="15"/>
        </w:numPr>
        <w:spacing w:after="0" w:line="360" w:lineRule="auto"/>
        <w:ind w:left="360"/>
        <w:contextualSpacing w:val="0"/>
        <w:rPr>
          <w:sz w:val="22"/>
        </w:rPr>
      </w:pPr>
      <w:r w:rsidRPr="004C7855">
        <w:rPr>
          <w:rFonts w:ascii="Calibri" w:eastAsia="Calibri" w:hAnsi="Calibri" w:cs="Calibri"/>
          <w:color w:val="1A1A1A"/>
          <w:sz w:val="22"/>
        </w:rPr>
        <w:t>Managed and safeguarded over $100M+ in U.S. Army equipment through rigorous inventory control, scheduled inspections, and formal property transfer processes.</w:t>
      </w:r>
    </w:p>
    <w:p w14:paraId="27E29DD8" w14:textId="67B515F6" w:rsidR="006D0C7C" w:rsidRPr="004C7855" w:rsidRDefault="006D0C7C" w:rsidP="004C7855">
      <w:pPr>
        <w:pStyle w:val="ListParagraph"/>
        <w:numPr>
          <w:ilvl w:val="0"/>
          <w:numId w:val="15"/>
        </w:numPr>
        <w:spacing w:after="0" w:line="360" w:lineRule="auto"/>
        <w:ind w:left="360"/>
        <w:contextualSpacing w:val="0"/>
        <w:rPr>
          <w:sz w:val="22"/>
        </w:rPr>
      </w:pPr>
      <w:r w:rsidRPr="004C7855">
        <w:rPr>
          <w:rFonts w:ascii="Calibri" w:eastAsia="Calibri" w:hAnsi="Calibri" w:cs="Calibri"/>
          <w:color w:val="1A1A1A"/>
          <w:sz w:val="22"/>
        </w:rPr>
        <w:t xml:space="preserve">Supported logistics operations for </w:t>
      </w:r>
      <w:r w:rsidR="00F772A1" w:rsidRPr="004C7855">
        <w:rPr>
          <w:rFonts w:ascii="Calibri" w:eastAsia="Calibri" w:hAnsi="Calibri" w:cs="Calibri"/>
          <w:color w:val="1A1A1A"/>
          <w:sz w:val="22"/>
        </w:rPr>
        <w:t>four</w:t>
      </w:r>
      <w:r w:rsidRPr="004C7855">
        <w:rPr>
          <w:rFonts w:ascii="Calibri" w:eastAsia="Calibri" w:hAnsi="Calibri" w:cs="Calibri"/>
          <w:color w:val="1A1A1A"/>
          <w:sz w:val="22"/>
        </w:rPr>
        <w:t xml:space="preserve"> distinct units simultaneously, ensuring uninterrupted supply chain continuity across multiple command elements under demanding operational conditions.</w:t>
      </w:r>
    </w:p>
    <w:p w14:paraId="3BCE341D" w14:textId="77777777" w:rsidR="006D0C7C" w:rsidRPr="004C7855" w:rsidRDefault="006D0C7C" w:rsidP="004C7855">
      <w:pPr>
        <w:pStyle w:val="ListParagraph"/>
        <w:numPr>
          <w:ilvl w:val="0"/>
          <w:numId w:val="15"/>
        </w:numPr>
        <w:spacing w:after="0" w:line="360" w:lineRule="auto"/>
        <w:ind w:left="360"/>
        <w:contextualSpacing w:val="0"/>
        <w:rPr>
          <w:sz w:val="22"/>
        </w:rPr>
      </w:pPr>
      <w:r w:rsidRPr="004C7855">
        <w:rPr>
          <w:rFonts w:ascii="Calibri" w:eastAsia="Calibri" w:hAnsi="Calibri" w:cs="Calibri"/>
          <w:color w:val="1A1A1A"/>
          <w:sz w:val="22"/>
        </w:rPr>
        <w:t>Deployed in direct support of operations in Afghanistan; maintained mission-critical supply accountability under austere conditions and sustained high performance under pressure.</w:t>
      </w:r>
    </w:p>
    <w:p w14:paraId="70B20028" w14:textId="77777777" w:rsidR="006D0C7C" w:rsidRPr="004C7855" w:rsidRDefault="006D0C7C" w:rsidP="004C7855">
      <w:pPr>
        <w:pStyle w:val="ListParagraph"/>
        <w:numPr>
          <w:ilvl w:val="0"/>
          <w:numId w:val="15"/>
        </w:numPr>
        <w:spacing w:after="0" w:line="360" w:lineRule="auto"/>
        <w:ind w:left="360"/>
        <w:contextualSpacing w:val="0"/>
        <w:rPr>
          <w:sz w:val="22"/>
        </w:rPr>
      </w:pPr>
      <w:r w:rsidRPr="004C7855">
        <w:rPr>
          <w:rFonts w:ascii="Calibri" w:eastAsia="Calibri" w:hAnsi="Calibri" w:cs="Calibri"/>
          <w:color w:val="1A1A1A"/>
          <w:sz w:val="22"/>
        </w:rPr>
        <w:t>Conducted formal property accountability investigations (FLIPLs) — prepared documentation packages, gathered and organized evidence, and presented findings directly to command leadership.</w:t>
      </w:r>
    </w:p>
    <w:p w14:paraId="77BCE8ED" w14:textId="77777777" w:rsidR="006D0C7C" w:rsidRPr="004C7855" w:rsidRDefault="006D0C7C" w:rsidP="004C7855">
      <w:pPr>
        <w:pStyle w:val="ListParagraph"/>
        <w:numPr>
          <w:ilvl w:val="0"/>
          <w:numId w:val="15"/>
        </w:numPr>
        <w:spacing w:after="0" w:line="360" w:lineRule="auto"/>
        <w:ind w:left="360"/>
        <w:contextualSpacing w:val="0"/>
        <w:rPr>
          <w:sz w:val="22"/>
        </w:rPr>
      </w:pPr>
      <w:r w:rsidRPr="004C7855">
        <w:rPr>
          <w:rFonts w:ascii="Calibri" w:eastAsia="Calibri" w:hAnsi="Calibri" w:cs="Calibri"/>
          <w:color w:val="1A1A1A"/>
          <w:sz w:val="22"/>
        </w:rPr>
        <w:t>Processed sensitive shipments requiring special handling classifications, precise documentation, and strict chain-of-custody verification at every transfer point.</w:t>
      </w:r>
    </w:p>
    <w:p w14:paraId="2540C99B" w14:textId="77777777" w:rsidR="006D0C7C" w:rsidRPr="004C7855" w:rsidRDefault="006D0C7C" w:rsidP="004C7855">
      <w:pPr>
        <w:pStyle w:val="ListParagraph"/>
        <w:numPr>
          <w:ilvl w:val="0"/>
          <w:numId w:val="15"/>
        </w:numPr>
        <w:spacing w:after="0" w:line="360" w:lineRule="auto"/>
        <w:ind w:left="360"/>
        <w:contextualSpacing w:val="0"/>
        <w:rPr>
          <w:sz w:val="22"/>
        </w:rPr>
      </w:pPr>
      <w:r w:rsidRPr="004C7855">
        <w:rPr>
          <w:rFonts w:ascii="Calibri" w:eastAsia="Calibri" w:hAnsi="Calibri" w:cs="Calibri"/>
          <w:color w:val="1A1A1A"/>
          <w:sz w:val="22"/>
        </w:rPr>
        <w:t xml:space="preserve">Administered the unit Government Travel Card (GTC) program: managed individual accounts, enforced policy compliance, submitted required compliance reports, and maintained fiscal control for 300-500 personnel. </w:t>
      </w:r>
    </w:p>
    <w:p w14:paraId="4182FC60" w14:textId="77777777" w:rsidR="006D0C7C" w:rsidRPr="004C7855" w:rsidRDefault="006D0C7C" w:rsidP="004C7855">
      <w:pPr>
        <w:pStyle w:val="ListParagraph"/>
        <w:numPr>
          <w:ilvl w:val="0"/>
          <w:numId w:val="15"/>
        </w:numPr>
        <w:spacing w:after="0" w:line="360" w:lineRule="auto"/>
        <w:ind w:left="360"/>
        <w:contextualSpacing w:val="0"/>
        <w:rPr>
          <w:sz w:val="22"/>
        </w:rPr>
      </w:pPr>
      <w:r w:rsidRPr="004C7855">
        <w:rPr>
          <w:rFonts w:ascii="Calibri" w:eastAsia="Calibri" w:hAnsi="Calibri" w:cs="Calibri"/>
          <w:color w:val="1A1A1A"/>
          <w:sz w:val="22"/>
        </w:rPr>
        <w:t>Led comprehensive compliance inspections and risk assessments for high-value equipment; established corrective action plans for inventory discrepancies to guarantee perfect audit readiness.</w:t>
      </w:r>
    </w:p>
    <w:p w14:paraId="45D80220" w14:textId="3963BB4A" w:rsidR="00A22A5F" w:rsidRPr="004C7855" w:rsidRDefault="006D0C7C" w:rsidP="004C7855">
      <w:pPr>
        <w:pStyle w:val="ListParagraph"/>
        <w:numPr>
          <w:ilvl w:val="0"/>
          <w:numId w:val="15"/>
        </w:numPr>
        <w:spacing w:after="0" w:line="360" w:lineRule="auto"/>
        <w:ind w:left="360"/>
        <w:contextualSpacing w:val="0"/>
        <w:rPr>
          <w:sz w:val="22"/>
        </w:rPr>
      </w:pPr>
      <w:r w:rsidRPr="004C7855">
        <w:rPr>
          <w:rFonts w:ascii="Calibri" w:eastAsia="Calibri" w:hAnsi="Calibri" w:cs="Calibri"/>
          <w:color w:val="1A1A1A"/>
          <w:sz w:val="22"/>
        </w:rPr>
        <w:t>Trained and evaluated junior soldiers on supply procedures, equipment handling, and documentation standards — developing NCO-level instruction and evaluation skills directly applicable to IT training and mentorship roles.</w:t>
      </w:r>
    </w:p>
    <w:p w14:paraId="526787F1" w14:textId="5E7E6C68" w:rsidR="001E2574" w:rsidRPr="006D0C7C" w:rsidRDefault="006D0C7C" w:rsidP="001E2574">
      <w:pPr>
        <w:pStyle w:val="Heading1"/>
        <w:rPr>
          <w:rStyle w:val="Shade"/>
          <w:sz w:val="28"/>
          <w:szCs w:val="28"/>
        </w:rPr>
      </w:pPr>
      <w:r w:rsidRPr="006D0C7C">
        <w:rPr>
          <w:rStyle w:val="Shade"/>
          <w:sz w:val="28"/>
          <w:szCs w:val="28"/>
        </w:rPr>
        <w:t>Technical Projects</w:t>
      </w:r>
    </w:p>
    <w:p w14:paraId="79A99E42" w14:textId="77777777" w:rsidR="006D0C7C" w:rsidRPr="004C7855" w:rsidRDefault="006D0C7C" w:rsidP="006D0C7C">
      <w:pPr>
        <w:spacing w:after="0" w:line="240" w:lineRule="auto"/>
        <w:rPr>
          <w:b/>
          <w:bCs/>
          <w:sz w:val="22"/>
        </w:rPr>
      </w:pPr>
      <w:r w:rsidRPr="004C7855">
        <w:rPr>
          <w:b/>
          <w:bCs/>
          <w:color w:val="1A1A1A"/>
          <w:sz w:val="22"/>
        </w:rPr>
        <w:t>EVE-NG Network Simulation Labs</w:t>
      </w:r>
    </w:p>
    <w:p w14:paraId="7B293CB0" w14:textId="77777777" w:rsidR="006D0C7C" w:rsidRPr="004C7855" w:rsidRDefault="006D0C7C" w:rsidP="006D0C7C">
      <w:pPr>
        <w:spacing w:after="0" w:line="240" w:lineRule="auto"/>
        <w:rPr>
          <w:rFonts w:ascii="Calibri" w:eastAsia="Calibri" w:hAnsi="Calibri" w:cs="Calibri"/>
          <w:color w:val="333333"/>
          <w:sz w:val="22"/>
        </w:rPr>
      </w:pPr>
      <w:r w:rsidRPr="004C7855">
        <w:rPr>
          <w:rFonts w:ascii="Calibri" w:eastAsia="Calibri" w:hAnsi="Calibri" w:cs="Calibri"/>
          <w:color w:val="333333"/>
          <w:sz w:val="22"/>
        </w:rPr>
        <w:t>Built multi-device virtual topologies to practice routing protocols, VLAN segmentation, and network troubleshooting in an enterprise-style environment. Demonstrates practical networking design and hands-on configuration skills beyond certification study.</w:t>
      </w:r>
    </w:p>
    <w:p w14:paraId="60BAD191" w14:textId="77777777" w:rsidR="006D0C7C" w:rsidRPr="004C7855" w:rsidRDefault="006D0C7C" w:rsidP="006D0C7C">
      <w:pPr>
        <w:spacing w:after="0" w:line="240" w:lineRule="auto"/>
        <w:rPr>
          <w:rFonts w:ascii="Calibri" w:eastAsia="Calibri" w:hAnsi="Calibri" w:cs="Calibri"/>
          <w:color w:val="333333"/>
          <w:sz w:val="22"/>
        </w:rPr>
      </w:pPr>
    </w:p>
    <w:p w14:paraId="0C714FEB" w14:textId="77777777" w:rsidR="006D0C7C" w:rsidRPr="004C7855" w:rsidRDefault="006D0C7C" w:rsidP="006D0C7C">
      <w:pPr>
        <w:spacing w:after="0" w:line="240" w:lineRule="auto"/>
        <w:rPr>
          <w:b/>
          <w:bCs/>
          <w:sz w:val="22"/>
        </w:rPr>
      </w:pPr>
      <w:r w:rsidRPr="004C7855">
        <w:rPr>
          <w:b/>
          <w:bCs/>
          <w:color w:val="1A1A1A"/>
          <w:sz w:val="22"/>
        </w:rPr>
        <w:t>VLAN &amp; Inter-VLAN Routing Practice</w:t>
      </w:r>
    </w:p>
    <w:p w14:paraId="7213A629" w14:textId="77777777" w:rsidR="006D0C7C" w:rsidRPr="004C7855" w:rsidRDefault="006D0C7C" w:rsidP="006D0C7C">
      <w:pPr>
        <w:spacing w:after="0" w:line="240" w:lineRule="auto"/>
        <w:rPr>
          <w:sz w:val="22"/>
        </w:rPr>
      </w:pPr>
      <w:r w:rsidRPr="004C7855">
        <w:rPr>
          <w:rFonts w:ascii="Calibri" w:eastAsia="Calibri" w:hAnsi="Calibri" w:cs="Calibri"/>
          <w:color w:val="333333"/>
          <w:sz w:val="22"/>
        </w:rPr>
        <w:t>Configured inter-VLAN routing and subnetting scenarios; documented configurations and verified end-to-end connectivity using ping and traceroute. Reinforces structured documentation habits and network segmentation principles.</w:t>
      </w:r>
    </w:p>
    <w:p w14:paraId="69874FE0" w14:textId="77777777" w:rsidR="006D0C7C" w:rsidRPr="004C7855" w:rsidRDefault="006D0C7C" w:rsidP="006D0C7C">
      <w:pPr>
        <w:spacing w:after="0" w:line="240" w:lineRule="auto"/>
        <w:rPr>
          <w:color w:val="1A1A1A"/>
          <w:sz w:val="22"/>
        </w:rPr>
      </w:pPr>
    </w:p>
    <w:p w14:paraId="35339B31" w14:textId="150B31EF" w:rsidR="006D0C7C" w:rsidRPr="004C7855" w:rsidRDefault="006D0C7C" w:rsidP="006D0C7C">
      <w:pPr>
        <w:spacing w:after="0" w:line="240" w:lineRule="auto"/>
        <w:rPr>
          <w:b/>
          <w:bCs/>
          <w:sz w:val="22"/>
        </w:rPr>
      </w:pPr>
      <w:r w:rsidRPr="004C7855">
        <w:rPr>
          <w:b/>
          <w:bCs/>
          <w:color w:val="1A1A1A"/>
          <w:sz w:val="22"/>
        </w:rPr>
        <w:t>Wireshark Packet Analysis</w:t>
      </w:r>
    </w:p>
    <w:p w14:paraId="17D57F4B" w14:textId="77777777" w:rsidR="006D0C7C" w:rsidRPr="004C7855" w:rsidRDefault="006D0C7C" w:rsidP="006D0C7C">
      <w:pPr>
        <w:spacing w:after="0" w:line="240" w:lineRule="auto"/>
        <w:rPr>
          <w:sz w:val="22"/>
        </w:rPr>
      </w:pPr>
      <w:r w:rsidRPr="004C7855">
        <w:rPr>
          <w:rFonts w:ascii="Calibri" w:eastAsia="Calibri" w:hAnsi="Calibri" w:cs="Calibri"/>
          <w:color w:val="333333"/>
          <w:sz w:val="22"/>
        </w:rPr>
        <w:t>Captured and analyzed live and simulated network traffic; identified protocol behavior, anomalies, and handshake sequences directly relevant to security monitoring and threat analysis workflows.</w:t>
      </w:r>
    </w:p>
    <w:p w14:paraId="6682C5F6" w14:textId="77777777" w:rsidR="006D0C7C" w:rsidRPr="004C7855" w:rsidRDefault="006D0C7C" w:rsidP="006D0C7C">
      <w:pPr>
        <w:spacing w:after="0" w:line="240" w:lineRule="auto"/>
        <w:rPr>
          <w:color w:val="1A1A1A"/>
          <w:sz w:val="22"/>
        </w:rPr>
      </w:pPr>
    </w:p>
    <w:p w14:paraId="19D82F9C" w14:textId="71124F8D" w:rsidR="006D0C7C" w:rsidRPr="004C7855" w:rsidRDefault="006D0C7C" w:rsidP="006D0C7C">
      <w:pPr>
        <w:spacing w:after="0" w:line="240" w:lineRule="auto"/>
        <w:rPr>
          <w:b/>
          <w:bCs/>
          <w:sz w:val="22"/>
        </w:rPr>
      </w:pPr>
      <w:r w:rsidRPr="004C7855">
        <w:rPr>
          <w:b/>
          <w:bCs/>
          <w:color w:val="1A1A1A"/>
          <w:sz w:val="22"/>
        </w:rPr>
        <w:t>Linux (Lubuntu) System Configuration</w:t>
      </w:r>
    </w:p>
    <w:p w14:paraId="15A73B3B" w14:textId="77777777" w:rsidR="006D0C7C" w:rsidRPr="004C7855" w:rsidRDefault="006D0C7C" w:rsidP="006D0C7C">
      <w:pPr>
        <w:spacing w:after="0" w:line="240" w:lineRule="auto"/>
        <w:rPr>
          <w:sz w:val="22"/>
        </w:rPr>
      </w:pPr>
      <w:r w:rsidRPr="004C7855">
        <w:rPr>
          <w:rFonts w:ascii="Calibri" w:eastAsia="Calibri" w:hAnsi="Calibri" w:cs="Calibri"/>
          <w:color w:val="333333"/>
          <w:sz w:val="22"/>
        </w:rPr>
        <w:t>Set up and configured Lubuntu environments; practiced file permissions, user account management, package installation, and terminal-based system administration. Builds command-line proficiency applicable to SOC and sysadmin roles.</w:t>
      </w:r>
    </w:p>
    <w:p w14:paraId="725E16AB" w14:textId="77777777" w:rsidR="006D0C7C" w:rsidRDefault="006D0C7C" w:rsidP="006D0C7C">
      <w:pPr>
        <w:spacing w:after="0" w:line="240" w:lineRule="auto"/>
        <w:rPr>
          <w:color w:val="1A1A1A"/>
        </w:rPr>
      </w:pPr>
    </w:p>
    <w:p w14:paraId="230A3269" w14:textId="5A2FAF1F" w:rsidR="006D0C7C" w:rsidRPr="004C7855" w:rsidRDefault="006D0C7C" w:rsidP="006D0C7C">
      <w:pPr>
        <w:spacing w:after="0" w:line="240" w:lineRule="auto"/>
        <w:rPr>
          <w:b/>
          <w:bCs/>
          <w:sz w:val="22"/>
        </w:rPr>
      </w:pPr>
      <w:r w:rsidRPr="004C7855">
        <w:rPr>
          <w:b/>
          <w:bCs/>
          <w:color w:val="1A1A1A"/>
          <w:sz w:val="22"/>
        </w:rPr>
        <w:t>Windows Imaging &amp; Recovery</w:t>
      </w:r>
    </w:p>
    <w:p w14:paraId="593CA5AF" w14:textId="77777777" w:rsidR="006D0C7C" w:rsidRPr="004C7855" w:rsidRDefault="006D0C7C" w:rsidP="006D0C7C">
      <w:pPr>
        <w:spacing w:after="0" w:line="240" w:lineRule="auto"/>
        <w:rPr>
          <w:sz w:val="22"/>
        </w:rPr>
      </w:pPr>
      <w:r w:rsidRPr="004C7855">
        <w:rPr>
          <w:rFonts w:ascii="Calibri" w:eastAsia="Calibri" w:hAnsi="Calibri" w:cs="Calibri"/>
          <w:color w:val="333333"/>
          <w:sz w:val="22"/>
        </w:rPr>
        <w:t>Performed system imaging, factory resets, and post-recovery configuration; documented each procedure for reproducibility and knowledge transfer. Directly mirrors enterprise endpoint management and help desk workflows.</w:t>
      </w:r>
    </w:p>
    <w:p w14:paraId="29FA0C15" w14:textId="77777777" w:rsidR="006D0C7C" w:rsidRPr="004C7855" w:rsidRDefault="006D0C7C" w:rsidP="006D0C7C">
      <w:pPr>
        <w:spacing w:after="0" w:line="240" w:lineRule="auto"/>
        <w:rPr>
          <w:color w:val="1A1A1A"/>
          <w:sz w:val="22"/>
        </w:rPr>
      </w:pPr>
    </w:p>
    <w:p w14:paraId="36BD261D" w14:textId="1AB84349" w:rsidR="006D0C7C" w:rsidRPr="004C7855" w:rsidRDefault="006D0C7C" w:rsidP="006D0C7C">
      <w:pPr>
        <w:spacing w:after="0" w:line="240" w:lineRule="auto"/>
        <w:rPr>
          <w:b/>
          <w:bCs/>
          <w:sz w:val="22"/>
        </w:rPr>
      </w:pPr>
      <w:r w:rsidRPr="004C7855">
        <w:rPr>
          <w:b/>
          <w:bCs/>
          <w:color w:val="1A1A1A"/>
          <w:sz w:val="22"/>
        </w:rPr>
        <w:t>OSINT Reconnaissance Exercises</w:t>
      </w:r>
    </w:p>
    <w:p w14:paraId="116BE45B" w14:textId="77777777" w:rsidR="006D0C7C" w:rsidRPr="004C7855" w:rsidRDefault="006D0C7C" w:rsidP="006D0C7C">
      <w:pPr>
        <w:spacing w:after="0" w:line="240" w:lineRule="auto"/>
        <w:rPr>
          <w:sz w:val="22"/>
        </w:rPr>
      </w:pPr>
      <w:r w:rsidRPr="004C7855">
        <w:rPr>
          <w:rFonts w:ascii="Calibri" w:eastAsia="Calibri" w:hAnsi="Calibri" w:cs="Calibri"/>
          <w:color w:val="333333"/>
          <w:sz w:val="22"/>
        </w:rPr>
        <w:t>Conducted open-source intelligence gathering using publicly available tools and techniques; practiced responsible scope management and thorough documentation throughout. Demonstrates security-minded thinking and awareness of attacker reconnaissance methods.</w:t>
      </w:r>
    </w:p>
    <w:p w14:paraId="062F938C" w14:textId="77777777" w:rsidR="006D0C7C" w:rsidRPr="004C7855" w:rsidRDefault="006D0C7C" w:rsidP="006D0C7C">
      <w:pPr>
        <w:spacing w:after="0" w:line="240" w:lineRule="auto"/>
        <w:rPr>
          <w:color w:val="1A1A1A"/>
          <w:sz w:val="22"/>
        </w:rPr>
      </w:pPr>
    </w:p>
    <w:p w14:paraId="4CA90524" w14:textId="21243C72" w:rsidR="006D0C7C" w:rsidRPr="004C7855" w:rsidRDefault="006D0C7C" w:rsidP="006D0C7C">
      <w:pPr>
        <w:spacing w:after="0" w:line="240" w:lineRule="auto"/>
        <w:rPr>
          <w:b/>
          <w:bCs/>
          <w:sz w:val="22"/>
        </w:rPr>
      </w:pPr>
      <w:r w:rsidRPr="004C7855">
        <w:rPr>
          <w:b/>
          <w:bCs/>
          <w:color w:val="1A1A1A"/>
          <w:sz w:val="22"/>
        </w:rPr>
        <w:t>VirtualBox Virtualization Lab</w:t>
      </w:r>
    </w:p>
    <w:p w14:paraId="5AAF78F0" w14:textId="6F09780E" w:rsidR="006D0C7C" w:rsidRPr="004C7855" w:rsidRDefault="006D0C7C" w:rsidP="006D0C7C">
      <w:pPr>
        <w:spacing w:after="0" w:line="240" w:lineRule="auto"/>
        <w:rPr>
          <w:sz w:val="22"/>
        </w:rPr>
      </w:pPr>
      <w:r w:rsidRPr="004C7855">
        <w:rPr>
          <w:rFonts w:ascii="Calibri" w:eastAsia="Calibri" w:hAnsi="Calibri" w:cs="Calibri"/>
          <w:color w:val="333333"/>
          <w:sz w:val="22"/>
        </w:rPr>
        <w:t>Built isolated virtual machine environments for testing OS configurations, networking scenarios, and security practice without impacting host systems. Reflects disciplined lab hygiene and a safe-testing mindset essential in cybersecurity.</w:t>
      </w:r>
    </w:p>
    <w:p w14:paraId="614895F1" w14:textId="77777777" w:rsidR="006D0C7C" w:rsidRPr="004C7855" w:rsidRDefault="006D0C7C" w:rsidP="006D0C7C">
      <w:pPr>
        <w:spacing w:after="0" w:line="240" w:lineRule="auto"/>
        <w:rPr>
          <w:b/>
          <w:bCs/>
          <w:color w:val="1A1A1A"/>
          <w:sz w:val="22"/>
        </w:rPr>
      </w:pPr>
    </w:p>
    <w:p w14:paraId="18BF78C4" w14:textId="594FB110" w:rsidR="006D0C7C" w:rsidRPr="004C7855" w:rsidRDefault="006D0C7C" w:rsidP="006D0C7C">
      <w:pPr>
        <w:spacing w:after="0" w:line="240" w:lineRule="auto"/>
        <w:rPr>
          <w:b/>
          <w:bCs/>
          <w:sz w:val="22"/>
        </w:rPr>
      </w:pPr>
      <w:r w:rsidRPr="004C7855">
        <w:rPr>
          <w:b/>
          <w:bCs/>
          <w:color w:val="1A1A1A"/>
          <w:sz w:val="22"/>
        </w:rPr>
        <w:t>Echoed Chambers — Technical Workflow Project</w:t>
      </w:r>
    </w:p>
    <w:p w14:paraId="0488A80F" w14:textId="77777777" w:rsidR="006D0C7C" w:rsidRPr="004C7855" w:rsidRDefault="006D0C7C" w:rsidP="006D0C7C">
      <w:pPr>
        <w:spacing w:after="0" w:line="240" w:lineRule="auto"/>
        <w:rPr>
          <w:sz w:val="22"/>
        </w:rPr>
      </w:pPr>
      <w:r w:rsidRPr="004C7855">
        <w:rPr>
          <w:rFonts w:ascii="Calibri" w:eastAsia="Calibri" w:hAnsi="Calibri" w:cs="Calibri"/>
          <w:color w:val="333333"/>
          <w:sz w:val="22"/>
        </w:rPr>
        <w:t>Independent content production operation requiring multi-platform publishing workflow, file management, version control habits, audience targeting, and consistent output scheduling. Demonstrates operational discipline, technical process management, and the ability to independently sustain a structured production pipeline.</w:t>
      </w:r>
    </w:p>
    <w:p w14:paraId="66D1748E" w14:textId="77777777" w:rsidR="006D0C7C" w:rsidRDefault="006D0C7C" w:rsidP="006D0C7C">
      <w:pPr>
        <w:spacing w:after="0" w:line="240" w:lineRule="auto"/>
      </w:pPr>
    </w:p>
    <w:p w14:paraId="0308B074" w14:textId="4ED50F51" w:rsidR="00626E11" w:rsidRDefault="00626E11" w:rsidP="001E2574">
      <w:pPr>
        <w:pStyle w:val="Heading1"/>
        <w:rPr>
          <w:rStyle w:val="Shade"/>
          <w:sz w:val="28"/>
          <w:szCs w:val="28"/>
        </w:rPr>
      </w:pPr>
      <w:r>
        <w:rPr>
          <w:rStyle w:val="Shade"/>
          <w:sz w:val="28"/>
          <w:szCs w:val="28"/>
        </w:rPr>
        <w:t>Technical Skills</w:t>
      </w:r>
    </w:p>
    <w:p w14:paraId="668A9764" w14:textId="42EC1A0A" w:rsidR="00626E11" w:rsidRPr="00905A08" w:rsidRDefault="00626E11" w:rsidP="004C7855">
      <w:pPr>
        <w:spacing w:after="0" w:line="360" w:lineRule="auto"/>
        <w:rPr>
          <w:rFonts w:ascii="Calibri" w:eastAsia="Calibri" w:hAnsi="Calibri" w:cs="Calibri"/>
          <w:color w:val="333333"/>
          <w:sz w:val="22"/>
        </w:rPr>
      </w:pPr>
      <w:r w:rsidRPr="00905A08">
        <w:rPr>
          <w:rFonts w:ascii="Calibri" w:eastAsia="Calibri" w:hAnsi="Calibri" w:cs="Calibri"/>
          <w:b/>
          <w:bCs/>
          <w:color w:val="333333"/>
          <w:sz w:val="22"/>
        </w:rPr>
        <w:t xml:space="preserve">Operating Systems: </w:t>
      </w:r>
      <w:r w:rsidRPr="00905A08">
        <w:rPr>
          <w:rFonts w:ascii="Calibri" w:eastAsia="Calibri" w:hAnsi="Calibri" w:cs="Calibri"/>
          <w:color w:val="333333"/>
          <w:sz w:val="22"/>
        </w:rPr>
        <w:t>Windows 10/11, Linux (Lubuntu/Ubuntu, Kali), Command Line (CMD, Bash)</w:t>
      </w:r>
    </w:p>
    <w:p w14:paraId="56561088" w14:textId="76AFD13D" w:rsidR="00626E11" w:rsidRPr="00905A08" w:rsidRDefault="00626E11" w:rsidP="004C7855">
      <w:pPr>
        <w:spacing w:after="0" w:line="360" w:lineRule="auto"/>
        <w:rPr>
          <w:rFonts w:ascii="Calibri" w:eastAsia="Calibri" w:hAnsi="Calibri" w:cs="Calibri"/>
          <w:color w:val="333333"/>
          <w:sz w:val="22"/>
        </w:rPr>
      </w:pPr>
      <w:r w:rsidRPr="00905A08">
        <w:rPr>
          <w:rFonts w:ascii="Calibri" w:eastAsia="Calibri" w:hAnsi="Calibri" w:cs="Calibri"/>
          <w:b/>
          <w:bCs/>
          <w:color w:val="333333"/>
          <w:sz w:val="22"/>
        </w:rPr>
        <w:t xml:space="preserve">Security: </w:t>
      </w:r>
      <w:r w:rsidRPr="00905A08">
        <w:rPr>
          <w:rFonts w:ascii="Calibri" w:eastAsia="Calibri" w:hAnsi="Calibri" w:cs="Calibri"/>
          <w:color w:val="333333"/>
          <w:sz w:val="22"/>
        </w:rPr>
        <w:t>CompTIA Security+ (Certified), OSINT Techniques, Log Review, Basic Threat Analysis</w:t>
      </w:r>
    </w:p>
    <w:p w14:paraId="19FFF787" w14:textId="51FB08AC" w:rsidR="00626E11" w:rsidRPr="00905A08" w:rsidRDefault="00626E11" w:rsidP="004C7855">
      <w:pPr>
        <w:spacing w:after="0" w:line="360" w:lineRule="auto"/>
        <w:rPr>
          <w:rFonts w:ascii="Calibri" w:eastAsia="Calibri" w:hAnsi="Calibri" w:cs="Calibri"/>
          <w:color w:val="333333"/>
          <w:sz w:val="22"/>
        </w:rPr>
      </w:pPr>
      <w:r w:rsidRPr="00905A08">
        <w:rPr>
          <w:rFonts w:ascii="Calibri" w:eastAsia="Calibri" w:hAnsi="Calibri" w:cs="Calibri"/>
          <w:b/>
          <w:bCs/>
          <w:color w:val="333333"/>
          <w:sz w:val="22"/>
        </w:rPr>
        <w:t xml:space="preserve">Tools: </w:t>
      </w:r>
      <w:r w:rsidRPr="00905A08">
        <w:rPr>
          <w:rFonts w:ascii="Calibri" w:eastAsia="Calibri" w:hAnsi="Calibri" w:cs="Calibri"/>
          <w:color w:val="333333"/>
          <w:sz w:val="22"/>
        </w:rPr>
        <w:t>Wireshark, EVE-NG, VirtualBox, Linux Terminal, GitHub</w:t>
      </w:r>
    </w:p>
    <w:p w14:paraId="4362E6E7" w14:textId="26887D89" w:rsidR="00626E11" w:rsidRPr="00905A08" w:rsidRDefault="00626E11" w:rsidP="004C7855">
      <w:pPr>
        <w:spacing w:after="0" w:line="360" w:lineRule="auto"/>
        <w:rPr>
          <w:rFonts w:ascii="Calibri" w:eastAsia="Calibri" w:hAnsi="Calibri" w:cs="Calibri"/>
          <w:color w:val="333333"/>
          <w:sz w:val="22"/>
        </w:rPr>
      </w:pPr>
      <w:r w:rsidRPr="00905A08">
        <w:rPr>
          <w:rFonts w:ascii="Calibri" w:eastAsia="Calibri" w:hAnsi="Calibri" w:cs="Calibri"/>
          <w:b/>
          <w:bCs/>
          <w:color w:val="333333"/>
          <w:sz w:val="22"/>
        </w:rPr>
        <w:t xml:space="preserve">Networking: </w:t>
      </w:r>
      <w:r w:rsidRPr="00905A08">
        <w:rPr>
          <w:rFonts w:ascii="Calibri" w:eastAsia="Calibri" w:hAnsi="Calibri" w:cs="Calibri"/>
          <w:color w:val="333333"/>
          <w:sz w:val="22"/>
        </w:rPr>
        <w:t>TCP/IP, VLANs, Subnetting, Routing Protocols, Network+/A+ concepts</w:t>
      </w:r>
    </w:p>
    <w:p w14:paraId="1331700A" w14:textId="5D44BC72" w:rsidR="00626E11" w:rsidRPr="00905A08" w:rsidRDefault="00626E11" w:rsidP="004C7855">
      <w:pPr>
        <w:spacing w:after="0" w:line="360" w:lineRule="auto"/>
        <w:rPr>
          <w:rFonts w:ascii="Calibri" w:eastAsia="Calibri" w:hAnsi="Calibri" w:cs="Calibri"/>
          <w:color w:val="333333"/>
          <w:sz w:val="22"/>
        </w:rPr>
      </w:pPr>
      <w:r w:rsidRPr="00905A08">
        <w:rPr>
          <w:rFonts w:ascii="Calibri" w:eastAsia="Calibri" w:hAnsi="Calibri" w:cs="Calibri"/>
          <w:b/>
          <w:bCs/>
          <w:color w:val="333333"/>
          <w:sz w:val="22"/>
        </w:rPr>
        <w:t xml:space="preserve">Hardware/Software: </w:t>
      </w:r>
      <w:r w:rsidRPr="00905A08">
        <w:rPr>
          <w:rFonts w:ascii="Calibri" w:eastAsia="Calibri" w:hAnsi="Calibri" w:cs="Calibri"/>
          <w:color w:val="333333"/>
          <w:sz w:val="22"/>
        </w:rPr>
        <w:t>VirtualBox, Windows Imaging &amp; Recovery, Device Configuration, Help Desk Workflows</w:t>
      </w:r>
    </w:p>
    <w:p w14:paraId="0D453929" w14:textId="0260051E" w:rsidR="00626E11" w:rsidRPr="00905A08" w:rsidRDefault="00626E11" w:rsidP="004C7855">
      <w:pPr>
        <w:spacing w:after="0" w:line="360" w:lineRule="auto"/>
        <w:rPr>
          <w:rStyle w:val="Shade"/>
          <w:rFonts w:ascii="Calibri" w:eastAsia="Calibri" w:hAnsi="Calibri" w:cs="Calibri"/>
          <w:color w:val="333333"/>
          <w:sz w:val="22"/>
          <w:shd w:val="clear" w:color="auto" w:fill="auto"/>
        </w:rPr>
      </w:pPr>
      <w:r w:rsidRPr="00905A08">
        <w:rPr>
          <w:rFonts w:ascii="Calibri" w:eastAsia="Calibri" w:hAnsi="Calibri" w:cs="Calibri"/>
          <w:b/>
          <w:bCs/>
          <w:color w:val="333333"/>
          <w:sz w:val="22"/>
        </w:rPr>
        <w:t xml:space="preserve">Professional Skills: </w:t>
      </w:r>
      <w:r w:rsidRPr="00905A08">
        <w:rPr>
          <w:rFonts w:ascii="Calibri" w:eastAsia="Calibri" w:hAnsi="Calibri" w:cs="Calibri"/>
          <w:color w:val="333333"/>
          <w:sz w:val="22"/>
        </w:rPr>
        <w:t xml:space="preserve">Team Leadership, Inventory Control, Compliance Reporting, Technical Documentation, Training </w:t>
      </w:r>
      <w:r w:rsidR="004C7855" w:rsidRPr="00905A08">
        <w:rPr>
          <w:rFonts w:ascii="Calibri" w:eastAsia="Calibri" w:hAnsi="Calibri" w:cs="Calibri"/>
          <w:color w:val="333333"/>
          <w:sz w:val="22"/>
        </w:rPr>
        <w:t xml:space="preserve">&amp; </w:t>
      </w:r>
      <w:r w:rsidR="00172C4B">
        <w:rPr>
          <w:rFonts w:ascii="Calibri" w:eastAsia="Calibri" w:hAnsi="Calibri" w:cs="Calibri"/>
          <w:color w:val="333333"/>
          <w:sz w:val="22"/>
        </w:rPr>
        <w:t>Mentorship</w:t>
      </w:r>
    </w:p>
    <w:p w14:paraId="1EDF0155" w14:textId="38AD244E" w:rsidR="001E2574" w:rsidRPr="004C7855" w:rsidRDefault="001E2574" w:rsidP="001E2574">
      <w:pPr>
        <w:pStyle w:val="Heading1"/>
        <w:rPr>
          <w:rStyle w:val="Shade"/>
          <w:sz w:val="28"/>
          <w:szCs w:val="28"/>
        </w:rPr>
      </w:pPr>
      <w:r w:rsidRPr="004C7855">
        <w:rPr>
          <w:rStyle w:val="Shade"/>
          <w:sz w:val="28"/>
          <w:szCs w:val="28"/>
        </w:rPr>
        <w:t>Education</w:t>
      </w:r>
    </w:p>
    <w:p w14:paraId="76BD06B8" w14:textId="77777777" w:rsidR="003C06AB" w:rsidRPr="004C7855" w:rsidRDefault="003C06AB" w:rsidP="002A0A3D">
      <w:pPr>
        <w:pStyle w:val="Heading2"/>
        <w:rPr>
          <w:rFonts w:eastAsia="Arial" w:cstheme="minorHAnsi"/>
          <w:b/>
          <w:bCs/>
          <w:sz w:val="22"/>
          <w:szCs w:val="22"/>
        </w:rPr>
      </w:pPr>
      <w:r w:rsidRPr="004C7855">
        <w:rPr>
          <w:rFonts w:eastAsia="Arial" w:cstheme="minorHAnsi"/>
          <w:b/>
          <w:bCs/>
          <w:sz w:val="22"/>
          <w:szCs w:val="22"/>
        </w:rPr>
        <w:t>George Stone</w:t>
      </w:r>
      <w:r w:rsidRPr="004C7855">
        <w:rPr>
          <w:rFonts w:eastAsia="Arial" w:cstheme="minorHAnsi"/>
          <w:sz w:val="22"/>
          <w:szCs w:val="22"/>
        </w:rPr>
        <w:t xml:space="preserve"> – PensacolA, FL – CertificatiOn in Network Support Services, Oct 2026 </w:t>
      </w:r>
    </w:p>
    <w:p w14:paraId="46AEE4A6" w14:textId="77777777" w:rsidR="002A0A3D" w:rsidRPr="004C7855" w:rsidRDefault="003C06AB" w:rsidP="004C7855">
      <w:pPr>
        <w:spacing w:after="0"/>
        <w:rPr>
          <w:rFonts w:eastAsia="Arial" w:cstheme="minorHAnsi"/>
          <w:color w:val="000000"/>
          <w:sz w:val="22"/>
        </w:rPr>
      </w:pPr>
      <w:r w:rsidRPr="004C7855">
        <w:rPr>
          <w:rFonts w:eastAsia="Arial" w:cstheme="minorHAnsi"/>
          <w:b/>
          <w:bCs/>
          <w:sz w:val="22"/>
        </w:rPr>
        <w:t>GEORGE STONE</w:t>
      </w:r>
      <w:r w:rsidRPr="004C7855">
        <w:rPr>
          <w:rFonts w:eastAsia="Arial" w:cstheme="minorHAnsi"/>
          <w:sz w:val="22"/>
        </w:rPr>
        <w:t xml:space="preserve"> </w:t>
      </w:r>
      <w:r w:rsidRPr="004C7855">
        <w:rPr>
          <w:rFonts w:eastAsia="Arial" w:cstheme="minorHAnsi"/>
          <w:color w:val="000000"/>
          <w:sz w:val="22"/>
        </w:rPr>
        <w:t>– PENSACOLA, FL – CERTIFICATION COMPUTER SYSTEM INFO TECH, OCT 2025</w:t>
      </w:r>
      <w:r w:rsidR="002A0A3D" w:rsidRPr="004C7855">
        <w:rPr>
          <w:rFonts w:eastAsia="Arial" w:cstheme="minorHAnsi"/>
          <w:color w:val="000000"/>
          <w:sz w:val="22"/>
        </w:rPr>
        <w:t xml:space="preserve">      </w:t>
      </w:r>
    </w:p>
    <w:p w14:paraId="2D5D2F9E" w14:textId="77777777" w:rsidR="004C7855" w:rsidRDefault="002A0A3D" w:rsidP="004C7855">
      <w:pPr>
        <w:spacing w:after="0"/>
        <w:rPr>
          <w:rFonts w:eastAsia="Arial" w:cstheme="minorHAnsi"/>
          <w:color w:val="000000"/>
          <w:sz w:val="22"/>
        </w:rPr>
      </w:pPr>
      <w:r w:rsidRPr="004C7855">
        <w:rPr>
          <w:rFonts w:eastAsia="Arial" w:cstheme="minorHAnsi"/>
          <w:b/>
          <w:bCs/>
          <w:color w:val="000000"/>
          <w:sz w:val="22"/>
        </w:rPr>
        <w:lastRenderedPageBreak/>
        <w:t xml:space="preserve">PENSCOLA STATE COLLEGE – </w:t>
      </w:r>
      <w:r w:rsidRPr="004C7855">
        <w:rPr>
          <w:rFonts w:eastAsia="Arial" w:cstheme="minorHAnsi"/>
          <w:color w:val="000000"/>
          <w:sz w:val="22"/>
        </w:rPr>
        <w:t>PENSACOLA, FL – ASSOCIATE IN ARTS, DEC</w:t>
      </w:r>
      <w:r w:rsidR="004C7855">
        <w:rPr>
          <w:rFonts w:eastAsia="Arial" w:cstheme="minorHAnsi"/>
          <w:color w:val="000000"/>
          <w:sz w:val="22"/>
        </w:rPr>
        <w:t xml:space="preserve"> 2021</w:t>
      </w:r>
    </w:p>
    <w:p w14:paraId="5236D021" w14:textId="59625B80" w:rsidR="002A0A3D" w:rsidRPr="004C7855" w:rsidRDefault="002A0A3D" w:rsidP="004C7855">
      <w:pPr>
        <w:spacing w:after="0"/>
        <w:rPr>
          <w:rFonts w:eastAsia="Arial" w:cstheme="minorHAnsi"/>
          <w:color w:val="000000"/>
          <w:sz w:val="22"/>
        </w:rPr>
      </w:pPr>
      <w:r>
        <w:rPr>
          <w:rFonts w:eastAsia="Arial" w:cstheme="minorHAnsi"/>
          <w:color w:val="00000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595A07A" w14:textId="0C7F6E90" w:rsidR="001E2574" w:rsidRPr="004C7855" w:rsidRDefault="004C7855" w:rsidP="004C7855">
      <w:pPr>
        <w:pStyle w:val="Heading1"/>
        <w:spacing w:before="0" w:after="0"/>
        <w:rPr>
          <w:rStyle w:val="Shade"/>
          <w:sz w:val="28"/>
          <w:szCs w:val="28"/>
        </w:rPr>
      </w:pPr>
      <w:r>
        <w:rPr>
          <w:rStyle w:val="Shade"/>
          <w:sz w:val="28"/>
          <w:szCs w:val="28"/>
        </w:rPr>
        <w:t>References</w:t>
      </w:r>
    </w:p>
    <w:p w14:paraId="383A5C16" w14:textId="0081B19B" w:rsidR="001E2574" w:rsidRPr="004C7855" w:rsidRDefault="004C7855" w:rsidP="001E2574">
      <w:pPr>
        <w:rPr>
          <w:b/>
          <w:bCs/>
        </w:rPr>
      </w:pPr>
      <w:r w:rsidRPr="004C7855">
        <w:rPr>
          <w:b/>
          <w:bCs/>
        </w:rPr>
        <w:t>Available upon request</w:t>
      </w:r>
    </w:p>
    <w:sectPr w:rsidR="001E2574" w:rsidRPr="004C7855" w:rsidSect="001E2574">
      <w:type w:val="continuous"/>
      <w:pgSz w:w="12240" w:h="15840" w:code="1"/>
      <w:pgMar w:top="1296" w:right="1440" w:bottom="432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F5A68" w14:textId="77777777" w:rsidR="00092C22" w:rsidRDefault="00092C22" w:rsidP="00725803">
      <w:r>
        <w:separator/>
      </w:r>
    </w:p>
    <w:p w14:paraId="777C44AF" w14:textId="77777777" w:rsidR="00092C22" w:rsidRDefault="00092C22"/>
  </w:endnote>
  <w:endnote w:type="continuationSeparator" w:id="0">
    <w:p w14:paraId="147ACA7E" w14:textId="77777777" w:rsidR="00092C22" w:rsidRDefault="00092C22" w:rsidP="00725803">
      <w:r>
        <w:continuationSeparator/>
      </w:r>
    </w:p>
    <w:p w14:paraId="45B70470" w14:textId="77777777" w:rsidR="00092C22" w:rsidRDefault="00092C22"/>
  </w:endnote>
  <w:endnote w:type="continuationNotice" w:id="1">
    <w:p w14:paraId="302FBAE2" w14:textId="77777777" w:rsidR="00092C22" w:rsidRDefault="00092C22"/>
    <w:p w14:paraId="3221338A" w14:textId="77777777" w:rsidR="00092C22" w:rsidRDefault="00092C2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peak Pro">
    <w:charset w:val="00"/>
    <w:family w:val="swiss"/>
    <w:pitch w:val="variable"/>
    <w:sig w:usb0="8000002F" w:usb1="0000000A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931B5" w14:textId="77777777" w:rsidR="00092C22" w:rsidRDefault="00092C22" w:rsidP="00725803">
      <w:r>
        <w:separator/>
      </w:r>
    </w:p>
    <w:p w14:paraId="35E4B49C" w14:textId="77777777" w:rsidR="00092C22" w:rsidRDefault="00092C22"/>
  </w:footnote>
  <w:footnote w:type="continuationSeparator" w:id="0">
    <w:p w14:paraId="4E776C75" w14:textId="77777777" w:rsidR="00092C22" w:rsidRDefault="00092C22" w:rsidP="00725803">
      <w:r>
        <w:continuationSeparator/>
      </w:r>
    </w:p>
    <w:p w14:paraId="5688ABE7" w14:textId="77777777" w:rsidR="00092C22" w:rsidRDefault="00092C22"/>
  </w:footnote>
  <w:footnote w:type="continuationNotice" w:id="1">
    <w:p w14:paraId="7770B62D" w14:textId="77777777" w:rsidR="00092C22" w:rsidRDefault="00092C22"/>
    <w:p w14:paraId="3A09C805" w14:textId="77777777" w:rsidR="00092C22" w:rsidRDefault="00092C2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083F9E"/>
    <w:multiLevelType w:val="hybridMultilevel"/>
    <w:tmpl w:val="A4EA36AC"/>
    <w:lvl w:ilvl="0" w:tplc="EBCA6A04">
      <w:start w:val="1"/>
      <w:numFmt w:val="bullet"/>
      <w:lvlText w:val="●"/>
      <w:lvlJc w:val="left"/>
      <w:pPr>
        <w:ind w:left="720" w:hanging="360"/>
      </w:pPr>
    </w:lvl>
    <w:lvl w:ilvl="1" w:tplc="8C24B542">
      <w:start w:val="1"/>
      <w:numFmt w:val="bullet"/>
      <w:lvlText w:val="○"/>
      <w:lvlJc w:val="left"/>
      <w:pPr>
        <w:ind w:left="1440" w:hanging="360"/>
      </w:pPr>
    </w:lvl>
    <w:lvl w:ilvl="2" w:tplc="2610A6B0">
      <w:start w:val="1"/>
      <w:numFmt w:val="bullet"/>
      <w:lvlText w:val="■"/>
      <w:lvlJc w:val="left"/>
      <w:pPr>
        <w:ind w:left="2160" w:hanging="360"/>
      </w:pPr>
    </w:lvl>
    <w:lvl w:ilvl="3" w:tplc="2884CD62">
      <w:start w:val="1"/>
      <w:numFmt w:val="bullet"/>
      <w:lvlText w:val="●"/>
      <w:lvlJc w:val="left"/>
      <w:pPr>
        <w:ind w:left="2880" w:hanging="360"/>
      </w:pPr>
    </w:lvl>
    <w:lvl w:ilvl="4" w:tplc="B7A2635C">
      <w:start w:val="1"/>
      <w:numFmt w:val="bullet"/>
      <w:lvlText w:val="○"/>
      <w:lvlJc w:val="left"/>
      <w:pPr>
        <w:ind w:left="3600" w:hanging="360"/>
      </w:pPr>
    </w:lvl>
    <w:lvl w:ilvl="5" w:tplc="186EA2F0">
      <w:start w:val="1"/>
      <w:numFmt w:val="bullet"/>
      <w:lvlText w:val="■"/>
      <w:lvlJc w:val="left"/>
      <w:pPr>
        <w:ind w:left="4320" w:hanging="360"/>
      </w:pPr>
    </w:lvl>
    <w:lvl w:ilvl="6" w:tplc="7B68E4BA">
      <w:start w:val="1"/>
      <w:numFmt w:val="bullet"/>
      <w:lvlText w:val="●"/>
      <w:lvlJc w:val="left"/>
      <w:pPr>
        <w:ind w:left="5040" w:hanging="360"/>
      </w:pPr>
    </w:lvl>
    <w:lvl w:ilvl="7" w:tplc="5DC6D868">
      <w:start w:val="1"/>
      <w:numFmt w:val="bullet"/>
      <w:lvlText w:val="●"/>
      <w:lvlJc w:val="left"/>
      <w:pPr>
        <w:ind w:left="5760" w:hanging="360"/>
      </w:pPr>
    </w:lvl>
    <w:lvl w:ilvl="8" w:tplc="966C3D7E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16CF370C"/>
    <w:multiLevelType w:val="hybridMultilevel"/>
    <w:tmpl w:val="3050B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CAD3BF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CAD3BF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CAD3BF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CAD3BF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3BD63116"/>
    <w:multiLevelType w:val="hybridMultilevel"/>
    <w:tmpl w:val="4F4A3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3F1CE9"/>
    <w:multiLevelType w:val="hybridMultilevel"/>
    <w:tmpl w:val="79260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07752F"/>
    <w:multiLevelType w:val="multilevel"/>
    <w:tmpl w:val="B400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59479">
    <w:abstractNumId w:val="11"/>
  </w:num>
  <w:num w:numId="2" w16cid:durableId="263463634">
    <w:abstractNumId w:val="7"/>
  </w:num>
  <w:num w:numId="3" w16cid:durableId="223028194">
    <w:abstractNumId w:val="6"/>
  </w:num>
  <w:num w:numId="4" w16cid:durableId="125632513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77218693">
    <w:abstractNumId w:val="8"/>
  </w:num>
  <w:num w:numId="6" w16cid:durableId="610355357">
    <w:abstractNumId w:val="12"/>
  </w:num>
  <w:num w:numId="7" w16cid:durableId="1806925802">
    <w:abstractNumId w:val="5"/>
  </w:num>
  <w:num w:numId="8" w16cid:durableId="1327629880">
    <w:abstractNumId w:val="4"/>
  </w:num>
  <w:num w:numId="9" w16cid:durableId="316804652">
    <w:abstractNumId w:val="3"/>
  </w:num>
  <w:num w:numId="10" w16cid:durableId="44644184">
    <w:abstractNumId w:val="2"/>
  </w:num>
  <w:num w:numId="11" w16cid:durableId="106433504">
    <w:abstractNumId w:val="1"/>
  </w:num>
  <w:num w:numId="12" w16cid:durableId="916283929">
    <w:abstractNumId w:val="0"/>
  </w:num>
  <w:num w:numId="13" w16cid:durableId="1505584299">
    <w:abstractNumId w:val="14"/>
  </w:num>
  <w:num w:numId="14" w16cid:durableId="235012660">
    <w:abstractNumId w:val="13"/>
  </w:num>
  <w:num w:numId="15" w16cid:durableId="923226037">
    <w:abstractNumId w:val="9"/>
    <w:lvlOverride w:ilvl="0">
      <w:startOverride w:val="1"/>
    </w:lvlOverride>
  </w:num>
  <w:num w:numId="16" w16cid:durableId="1430734505">
    <w:abstractNumId w:val="10"/>
  </w:num>
  <w:num w:numId="17" w16cid:durableId="141875049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B18"/>
    <w:rsid w:val="00012B5D"/>
    <w:rsid w:val="00025E77"/>
    <w:rsid w:val="00027312"/>
    <w:rsid w:val="00061AE7"/>
    <w:rsid w:val="000645F2"/>
    <w:rsid w:val="00067AE4"/>
    <w:rsid w:val="00082F03"/>
    <w:rsid w:val="000835A0"/>
    <w:rsid w:val="00092C22"/>
    <w:rsid w:val="000934A2"/>
    <w:rsid w:val="000B32D7"/>
    <w:rsid w:val="0011313E"/>
    <w:rsid w:val="00144D98"/>
    <w:rsid w:val="00151825"/>
    <w:rsid w:val="00172C4B"/>
    <w:rsid w:val="001773C8"/>
    <w:rsid w:val="001A1E15"/>
    <w:rsid w:val="001B0955"/>
    <w:rsid w:val="001B55A6"/>
    <w:rsid w:val="001B7692"/>
    <w:rsid w:val="001C17AE"/>
    <w:rsid w:val="001E2574"/>
    <w:rsid w:val="001E2FB1"/>
    <w:rsid w:val="001F2AD8"/>
    <w:rsid w:val="00200FBD"/>
    <w:rsid w:val="00227784"/>
    <w:rsid w:val="0023705D"/>
    <w:rsid w:val="00250277"/>
    <w:rsid w:val="00250A31"/>
    <w:rsid w:val="00251C13"/>
    <w:rsid w:val="002528F9"/>
    <w:rsid w:val="002534A5"/>
    <w:rsid w:val="002922D0"/>
    <w:rsid w:val="00296E3A"/>
    <w:rsid w:val="002A0A3D"/>
    <w:rsid w:val="002C367E"/>
    <w:rsid w:val="003066A6"/>
    <w:rsid w:val="003275BF"/>
    <w:rsid w:val="00335CA6"/>
    <w:rsid w:val="00340B03"/>
    <w:rsid w:val="00380AE7"/>
    <w:rsid w:val="00382D97"/>
    <w:rsid w:val="003902F1"/>
    <w:rsid w:val="00397C85"/>
    <w:rsid w:val="003A6943"/>
    <w:rsid w:val="003C06AB"/>
    <w:rsid w:val="003C7748"/>
    <w:rsid w:val="003D56ED"/>
    <w:rsid w:val="003E473C"/>
    <w:rsid w:val="00410BA2"/>
    <w:rsid w:val="00434074"/>
    <w:rsid w:val="004400F4"/>
    <w:rsid w:val="0046391B"/>
    <w:rsid w:val="00463C3B"/>
    <w:rsid w:val="00484BB4"/>
    <w:rsid w:val="004937AE"/>
    <w:rsid w:val="004C5EE9"/>
    <w:rsid w:val="004C7855"/>
    <w:rsid w:val="004D1B48"/>
    <w:rsid w:val="004E2970"/>
    <w:rsid w:val="004F4C2F"/>
    <w:rsid w:val="005026DD"/>
    <w:rsid w:val="00513EFC"/>
    <w:rsid w:val="0052113B"/>
    <w:rsid w:val="005311CA"/>
    <w:rsid w:val="00541EB8"/>
    <w:rsid w:val="00564951"/>
    <w:rsid w:val="00573BF9"/>
    <w:rsid w:val="00576233"/>
    <w:rsid w:val="00594CBF"/>
    <w:rsid w:val="005A4A49"/>
    <w:rsid w:val="005A5389"/>
    <w:rsid w:val="005B0D82"/>
    <w:rsid w:val="005B13C9"/>
    <w:rsid w:val="005B1D68"/>
    <w:rsid w:val="005B34A8"/>
    <w:rsid w:val="005C71B0"/>
    <w:rsid w:val="00600ECB"/>
    <w:rsid w:val="00607AA3"/>
    <w:rsid w:val="00611B37"/>
    <w:rsid w:val="006252B4"/>
    <w:rsid w:val="00626E11"/>
    <w:rsid w:val="00643BE8"/>
    <w:rsid w:val="00646BA2"/>
    <w:rsid w:val="0065054B"/>
    <w:rsid w:val="00675EA0"/>
    <w:rsid w:val="006C08A0"/>
    <w:rsid w:val="006C47D8"/>
    <w:rsid w:val="006D0C7C"/>
    <w:rsid w:val="006D2D08"/>
    <w:rsid w:val="006D5F93"/>
    <w:rsid w:val="006D6126"/>
    <w:rsid w:val="006E0FF6"/>
    <w:rsid w:val="006F26A2"/>
    <w:rsid w:val="0070237E"/>
    <w:rsid w:val="00725803"/>
    <w:rsid w:val="00725CB5"/>
    <w:rsid w:val="007307A3"/>
    <w:rsid w:val="00741C7E"/>
    <w:rsid w:val="00752315"/>
    <w:rsid w:val="0075629E"/>
    <w:rsid w:val="00760C18"/>
    <w:rsid w:val="00766B3E"/>
    <w:rsid w:val="007A4EE3"/>
    <w:rsid w:val="007B3BDB"/>
    <w:rsid w:val="007C211F"/>
    <w:rsid w:val="007C26CB"/>
    <w:rsid w:val="007D5ED3"/>
    <w:rsid w:val="007E705E"/>
    <w:rsid w:val="007F3012"/>
    <w:rsid w:val="00857E6B"/>
    <w:rsid w:val="00873709"/>
    <w:rsid w:val="008942F3"/>
    <w:rsid w:val="00895611"/>
    <w:rsid w:val="008968C4"/>
    <w:rsid w:val="008C5C31"/>
    <w:rsid w:val="008C628F"/>
    <w:rsid w:val="008D31BD"/>
    <w:rsid w:val="008D7C1C"/>
    <w:rsid w:val="008E02C8"/>
    <w:rsid w:val="008E0B18"/>
    <w:rsid w:val="00905368"/>
    <w:rsid w:val="00905A08"/>
    <w:rsid w:val="0092291B"/>
    <w:rsid w:val="00932D92"/>
    <w:rsid w:val="009338E3"/>
    <w:rsid w:val="0094328C"/>
    <w:rsid w:val="0095272C"/>
    <w:rsid w:val="00972024"/>
    <w:rsid w:val="009957F4"/>
    <w:rsid w:val="009F04D2"/>
    <w:rsid w:val="009F2BA7"/>
    <w:rsid w:val="009F6DA0"/>
    <w:rsid w:val="00A01182"/>
    <w:rsid w:val="00A0162E"/>
    <w:rsid w:val="00A06309"/>
    <w:rsid w:val="00A12AF4"/>
    <w:rsid w:val="00A16958"/>
    <w:rsid w:val="00A22A5F"/>
    <w:rsid w:val="00A42C49"/>
    <w:rsid w:val="00A50AD1"/>
    <w:rsid w:val="00A7401F"/>
    <w:rsid w:val="00A9438D"/>
    <w:rsid w:val="00AA3BDC"/>
    <w:rsid w:val="00AD13CB"/>
    <w:rsid w:val="00AD3FD8"/>
    <w:rsid w:val="00AE5CFE"/>
    <w:rsid w:val="00B04D2E"/>
    <w:rsid w:val="00B12A59"/>
    <w:rsid w:val="00B256C7"/>
    <w:rsid w:val="00B35ADE"/>
    <w:rsid w:val="00B370A8"/>
    <w:rsid w:val="00B63761"/>
    <w:rsid w:val="00B67D9E"/>
    <w:rsid w:val="00B67F63"/>
    <w:rsid w:val="00B74DE0"/>
    <w:rsid w:val="00B8085A"/>
    <w:rsid w:val="00B845F9"/>
    <w:rsid w:val="00BB7FEC"/>
    <w:rsid w:val="00BC427B"/>
    <w:rsid w:val="00BC7376"/>
    <w:rsid w:val="00BD669A"/>
    <w:rsid w:val="00BF61CD"/>
    <w:rsid w:val="00BF65E6"/>
    <w:rsid w:val="00C13F2B"/>
    <w:rsid w:val="00C23DE3"/>
    <w:rsid w:val="00C43D65"/>
    <w:rsid w:val="00C84833"/>
    <w:rsid w:val="00C9044F"/>
    <w:rsid w:val="00C92F94"/>
    <w:rsid w:val="00CA259E"/>
    <w:rsid w:val="00CD3F4F"/>
    <w:rsid w:val="00CE22C4"/>
    <w:rsid w:val="00D2420D"/>
    <w:rsid w:val="00D27341"/>
    <w:rsid w:val="00D30382"/>
    <w:rsid w:val="00D32E0B"/>
    <w:rsid w:val="00D413F9"/>
    <w:rsid w:val="00D44E50"/>
    <w:rsid w:val="00D57447"/>
    <w:rsid w:val="00D90060"/>
    <w:rsid w:val="00D92B95"/>
    <w:rsid w:val="00D952A2"/>
    <w:rsid w:val="00DB34B4"/>
    <w:rsid w:val="00DC187B"/>
    <w:rsid w:val="00DC6B2F"/>
    <w:rsid w:val="00DF21E3"/>
    <w:rsid w:val="00DF7130"/>
    <w:rsid w:val="00E03F71"/>
    <w:rsid w:val="00E142BA"/>
    <w:rsid w:val="00E154B5"/>
    <w:rsid w:val="00E21125"/>
    <w:rsid w:val="00E232F0"/>
    <w:rsid w:val="00E52791"/>
    <w:rsid w:val="00E83195"/>
    <w:rsid w:val="00EA3629"/>
    <w:rsid w:val="00EB0B3E"/>
    <w:rsid w:val="00EC3311"/>
    <w:rsid w:val="00F00A4F"/>
    <w:rsid w:val="00F12439"/>
    <w:rsid w:val="00F177A3"/>
    <w:rsid w:val="00F33CD8"/>
    <w:rsid w:val="00F37CFE"/>
    <w:rsid w:val="00F439C9"/>
    <w:rsid w:val="00F772A1"/>
    <w:rsid w:val="00F8078C"/>
    <w:rsid w:val="00FB113E"/>
    <w:rsid w:val="00FC6CDF"/>
    <w:rsid w:val="00FC796B"/>
    <w:rsid w:val="00FD1DE2"/>
    <w:rsid w:val="00FF1889"/>
    <w:rsid w:val="00FF3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2D07BA"/>
  <w15:chartTrackingRefBased/>
  <w15:docId w15:val="{C34CB6A3-1BF3-4F7B-970C-3BA98E58F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0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439"/>
    <w:pPr>
      <w:spacing w:line="288" w:lineRule="auto"/>
    </w:pPr>
    <w:rPr>
      <w:sz w:val="20"/>
    </w:rPr>
  </w:style>
  <w:style w:type="paragraph" w:styleId="Heading1">
    <w:name w:val="heading 1"/>
    <w:basedOn w:val="Normal"/>
    <w:link w:val="Heading1Char"/>
    <w:uiPriority w:val="9"/>
    <w:qFormat/>
    <w:rsid w:val="00F12439"/>
    <w:pPr>
      <w:spacing w:before="360" w:after="120"/>
      <w:outlineLvl w:val="0"/>
    </w:pPr>
    <w:rPr>
      <w:rFonts w:asciiTheme="majorHAnsi" w:eastAsiaTheme="majorEastAsia" w:hAnsiTheme="majorHAnsi" w:cstheme="majorBidi"/>
      <w:b/>
      <w:color w:val="262626" w:themeColor="text1" w:themeTint="D9"/>
      <w:spacing w:val="48"/>
      <w:sz w:val="32"/>
      <w:szCs w:val="32"/>
    </w:rPr>
  </w:style>
  <w:style w:type="paragraph" w:styleId="Heading2">
    <w:name w:val="heading 2"/>
    <w:basedOn w:val="Normal"/>
    <w:link w:val="Heading2Char"/>
    <w:uiPriority w:val="9"/>
    <w:rsid w:val="00F12439"/>
    <w:pPr>
      <w:keepNext/>
      <w:keepLines/>
      <w:spacing w:after="0"/>
      <w:outlineLvl w:val="1"/>
    </w:pPr>
    <w:rPr>
      <w:rFonts w:eastAsiaTheme="majorEastAsia" w:cstheme="majorBidi"/>
      <w:caps/>
      <w:szCs w:val="26"/>
    </w:rPr>
  </w:style>
  <w:style w:type="paragraph" w:styleId="Heading3">
    <w:name w:val="heading 3"/>
    <w:basedOn w:val="Normal"/>
    <w:link w:val="Heading3Char"/>
    <w:uiPriority w:val="9"/>
    <w:qFormat/>
    <w:rsid w:val="00F12439"/>
    <w:pPr>
      <w:spacing w:after="18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9F04D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98A983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6C47D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98A98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6C47D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5765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6C47D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5765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922D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922D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80AE7"/>
  </w:style>
  <w:style w:type="character" w:customStyle="1" w:styleId="HeaderChar">
    <w:name w:val="Header Char"/>
    <w:basedOn w:val="DefaultParagraphFont"/>
    <w:link w:val="Header"/>
    <w:uiPriority w:val="99"/>
    <w:semiHidden/>
    <w:rsid w:val="007E705E"/>
    <w:rPr>
      <w:sz w:val="20"/>
    </w:rPr>
  </w:style>
  <w:style w:type="paragraph" w:styleId="Footer">
    <w:name w:val="footer"/>
    <w:basedOn w:val="Normal"/>
    <w:link w:val="FooterChar"/>
    <w:uiPriority w:val="99"/>
    <w:semiHidden/>
    <w:rsid w:val="00380AE7"/>
  </w:style>
  <w:style w:type="character" w:customStyle="1" w:styleId="FooterChar">
    <w:name w:val="Footer Char"/>
    <w:basedOn w:val="DefaultParagraphFont"/>
    <w:link w:val="Footer"/>
    <w:uiPriority w:val="99"/>
    <w:semiHidden/>
    <w:rsid w:val="007E705E"/>
    <w:rPr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12439"/>
    <w:rPr>
      <w:rFonts w:asciiTheme="majorHAnsi" w:eastAsiaTheme="majorEastAsia" w:hAnsiTheme="majorHAnsi" w:cstheme="majorBidi"/>
      <w:b/>
      <w:color w:val="262626" w:themeColor="text1" w:themeTint="D9"/>
      <w:spacing w:val="48"/>
      <w:sz w:val="32"/>
      <w:szCs w:val="32"/>
    </w:rPr>
  </w:style>
  <w:style w:type="paragraph" w:styleId="ListBullet">
    <w:name w:val="List Bullet"/>
    <w:basedOn w:val="Normal"/>
    <w:uiPriority w:val="10"/>
    <w:semiHidden/>
    <w:rsid w:val="00BC7376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/>
  </w:style>
  <w:style w:type="paragraph" w:styleId="ListBullet2">
    <w:name w:val="List Bullet 2"/>
    <w:basedOn w:val="Normal"/>
    <w:uiPriority w:val="99"/>
    <w:semiHidden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12439"/>
    <w:rPr>
      <w:rFonts w:eastAsiaTheme="majorEastAsia" w:cstheme="majorBidi"/>
      <w:caps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12439"/>
    <w:rPr>
      <w:b/>
      <w:bCs/>
      <w:sz w:val="20"/>
    </w:rPr>
  </w:style>
  <w:style w:type="paragraph" w:styleId="Title">
    <w:name w:val="Title"/>
    <w:basedOn w:val="Normal"/>
    <w:link w:val="TitleChar"/>
    <w:uiPriority w:val="11"/>
    <w:qFormat/>
    <w:rsid w:val="001E2574"/>
    <w:pPr>
      <w:shd w:val="clear" w:color="auto" w:fill="EFEBF5" w:themeFill="accent5"/>
      <w:tabs>
        <w:tab w:val="center" w:pos="4770"/>
      </w:tabs>
      <w:spacing w:after="240" w:line="216" w:lineRule="auto"/>
      <w:contextualSpacing/>
      <w:jc w:val="center"/>
    </w:pPr>
    <w:rPr>
      <w:rFonts w:asciiTheme="majorHAnsi" w:eastAsiaTheme="majorEastAsia" w:hAnsiTheme="majorHAnsi" w:cstheme="majorBidi"/>
      <w:b/>
      <w:color w:val="262626" w:themeColor="text1" w:themeTint="D9"/>
      <w:spacing w:val="100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1E2574"/>
    <w:rPr>
      <w:rFonts w:asciiTheme="majorHAnsi" w:eastAsiaTheme="majorEastAsia" w:hAnsiTheme="majorHAnsi" w:cstheme="majorBidi"/>
      <w:b/>
      <w:color w:val="262626" w:themeColor="text1" w:themeTint="D9"/>
      <w:spacing w:val="100"/>
      <w:kern w:val="28"/>
      <w:sz w:val="70"/>
      <w:szCs w:val="56"/>
      <w:shd w:val="clear" w:color="auto" w:fill="EFEBF5" w:themeFill="accent5"/>
    </w:r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05E"/>
    <w:rPr>
      <w:rFonts w:asciiTheme="majorHAnsi" w:eastAsiaTheme="majorEastAsia" w:hAnsiTheme="majorHAnsi" w:cstheme="majorBidi"/>
      <w:i/>
      <w:iCs/>
      <w:color w:val="98A983" w:themeColor="accent1" w:themeShade="BF"/>
      <w:sz w:val="20"/>
    </w:rPr>
  </w:style>
  <w:style w:type="paragraph" w:styleId="ListNumber">
    <w:name w:val="List Number"/>
    <w:basedOn w:val="Normal"/>
    <w:uiPriority w:val="11"/>
    <w:semiHidden/>
    <w:rsid w:val="00BC7376"/>
    <w:pPr>
      <w:numPr>
        <w:numId w:val="6"/>
      </w:numPr>
      <w:contextualSpacing/>
    </w:pPr>
  </w:style>
  <w:style w:type="paragraph" w:styleId="TOCHeading">
    <w:name w:val="TOC Heading"/>
    <w:basedOn w:val="Heading1"/>
    <w:next w:val="Normal"/>
    <w:uiPriority w:val="39"/>
    <w:semiHidden/>
    <w:qFormat/>
    <w:rsid w:val="002922D0"/>
    <w:pPr>
      <w:outlineLvl w:val="9"/>
    </w:pPr>
  </w:style>
  <w:style w:type="paragraph" w:styleId="Subtitle">
    <w:name w:val="Subtitle"/>
    <w:basedOn w:val="Normal"/>
    <w:next w:val="Normal"/>
    <w:link w:val="SubtitleChar"/>
    <w:uiPriority w:val="12"/>
    <w:qFormat/>
    <w:rsid w:val="001E2574"/>
    <w:pPr>
      <w:numPr>
        <w:ilvl w:val="1"/>
      </w:numPr>
      <w:spacing w:before="120" w:after="40"/>
      <w:jc w:val="center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2"/>
    <w:rsid w:val="001E2574"/>
    <w:rPr>
      <w:rFonts w:eastAsiaTheme="minorEastAsia"/>
      <w:color w:val="5A5A5A" w:themeColor="text1" w:themeTint="A5"/>
      <w:sz w:val="20"/>
    </w:rPr>
  </w:style>
  <w:style w:type="character" w:styleId="BookTitle">
    <w:name w:val="Book Title"/>
    <w:basedOn w:val="DefaultParagraphFont"/>
    <w:uiPriority w:val="33"/>
    <w:semiHidden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qFormat/>
    <w:rsid w:val="002922D0"/>
    <w:rPr>
      <w:b/>
      <w:bCs/>
      <w:caps w:val="0"/>
      <w:smallCaps/>
      <w:color w:val="CAD3BF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2922D0"/>
    <w:pPr>
      <w:pBdr>
        <w:top w:val="single" w:sz="4" w:space="10" w:color="CAD3BF" w:themeColor="accent1"/>
        <w:bottom w:val="single" w:sz="4" w:space="10" w:color="CAD3BF" w:themeColor="accent1"/>
      </w:pBdr>
      <w:spacing w:before="360" w:after="360"/>
      <w:jc w:val="center"/>
    </w:pPr>
    <w:rPr>
      <w:i/>
      <w:iCs/>
      <w:color w:val="CAD3B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E705E"/>
    <w:rPr>
      <w:i/>
      <w:iCs/>
      <w:color w:val="CAD3BF" w:themeColor="accent1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7E705E"/>
    <w:rPr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05E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05E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paragraph" w:styleId="Caption">
    <w:name w:val="caption"/>
    <w:basedOn w:val="Normal"/>
    <w:next w:val="Normal"/>
    <w:uiPriority w:val="35"/>
    <w:semiHidden/>
    <w:qFormat/>
    <w:rsid w:val="002922D0"/>
    <w:pPr>
      <w:spacing w:after="200"/>
    </w:pPr>
    <w:rPr>
      <w:i/>
      <w:iCs/>
      <w:color w:val="444D26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rsid w:val="002922D0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705E"/>
    <w:rPr>
      <w:rFonts w:ascii="Segoe UI" w:hAnsi="Segoe UI" w:cs="Segoe UI"/>
      <w:sz w:val="20"/>
      <w:szCs w:val="18"/>
    </w:rPr>
  </w:style>
  <w:style w:type="paragraph" w:styleId="BodyText3">
    <w:name w:val="Body Text 3"/>
    <w:basedOn w:val="Normal"/>
    <w:link w:val="BodyText3Char"/>
    <w:uiPriority w:val="99"/>
    <w:semiHidden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E705E"/>
    <w:rPr>
      <w:sz w:val="20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E705E"/>
    <w:rPr>
      <w:sz w:val="20"/>
      <w:szCs w:val="16"/>
    </w:rPr>
  </w:style>
  <w:style w:type="character" w:styleId="CommentReference">
    <w:name w:val="annotation reference"/>
    <w:basedOn w:val="DefaultParagraphFont"/>
    <w:uiPriority w:val="99"/>
    <w:semiHidden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705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705E"/>
    <w:rPr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rsid w:val="002922D0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E705E"/>
    <w:rPr>
      <w:rFonts w:ascii="Segoe UI" w:hAnsi="Segoe UI" w:cs="Segoe UI"/>
      <w:sz w:val="20"/>
      <w:szCs w:val="16"/>
    </w:rPr>
  </w:style>
  <w:style w:type="paragraph" w:styleId="EndnoteText">
    <w:name w:val="endnote text"/>
    <w:basedOn w:val="Normal"/>
    <w:link w:val="EndnoteTextChar"/>
    <w:uiPriority w:val="99"/>
    <w:semiHidden/>
    <w:rsid w:val="002922D0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E705E"/>
    <w:rPr>
      <w:sz w:val="20"/>
      <w:szCs w:val="20"/>
    </w:rPr>
  </w:style>
  <w:style w:type="paragraph" w:styleId="EnvelopeReturn">
    <w:name w:val="envelope return"/>
    <w:basedOn w:val="Normal"/>
    <w:uiPriority w:val="99"/>
    <w:semiHidden/>
    <w:rsid w:val="002922D0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rsid w:val="002922D0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E705E"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2922D0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705E"/>
    <w:rPr>
      <w:rFonts w:ascii="Consolas" w:hAnsi="Consolas"/>
      <w:sz w:val="20"/>
      <w:szCs w:val="20"/>
    </w:rPr>
  </w:style>
  <w:style w:type="character" w:styleId="HTMLTypewriter">
    <w:name w:val="HTML Typewriter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E705E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rsid w:val="002922D0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E705E"/>
    <w:rPr>
      <w:rFonts w:ascii="Consolas" w:hAnsi="Consolas"/>
      <w:sz w:val="20"/>
      <w:szCs w:val="21"/>
    </w:rPr>
  </w:style>
  <w:style w:type="paragraph" w:styleId="Bibliography">
    <w:name w:val="Bibliography"/>
    <w:basedOn w:val="Normal"/>
    <w:next w:val="Normal"/>
    <w:uiPriority w:val="37"/>
    <w:semiHidden/>
    <w:rsid w:val="006C47D8"/>
  </w:style>
  <w:style w:type="paragraph" w:styleId="BlockText">
    <w:name w:val="Block Text"/>
    <w:basedOn w:val="Normal"/>
    <w:uiPriority w:val="99"/>
    <w:semiHidden/>
    <w:rsid w:val="006C47D8"/>
    <w:pPr>
      <w:pBdr>
        <w:top w:val="single" w:sz="2" w:space="10" w:color="CAD3BF" w:themeColor="accent1" w:frame="1"/>
        <w:left w:val="single" w:sz="2" w:space="10" w:color="CAD3BF" w:themeColor="accent1" w:frame="1"/>
        <w:bottom w:val="single" w:sz="2" w:space="10" w:color="CAD3BF" w:themeColor="accent1" w:frame="1"/>
        <w:right w:val="single" w:sz="2" w:space="10" w:color="CAD3BF" w:themeColor="accent1" w:frame="1"/>
      </w:pBdr>
      <w:ind w:left="1152" w:right="1152"/>
    </w:pPr>
    <w:rPr>
      <w:rFonts w:eastAsiaTheme="minorEastAsia"/>
      <w:i/>
      <w:iCs/>
      <w:color w:val="CAD3BF" w:themeColor="accent1"/>
    </w:rPr>
  </w:style>
  <w:style w:type="paragraph" w:styleId="BodyText2">
    <w:name w:val="Body Text 2"/>
    <w:basedOn w:val="Normal"/>
    <w:link w:val="BodyText2Char"/>
    <w:uiPriority w:val="99"/>
    <w:semiHidden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E705E"/>
    <w:rPr>
      <w:sz w:val="20"/>
    </w:rPr>
  </w:style>
  <w:style w:type="paragraph" w:styleId="BodyTextFirstIndent">
    <w:name w:val="Body Text First Indent"/>
    <w:basedOn w:val="Normal"/>
    <w:link w:val="BodyTextFirstIndentChar"/>
    <w:uiPriority w:val="99"/>
    <w:semiHidden/>
    <w:rsid w:val="00012B5D"/>
    <w:pPr>
      <w:ind w:firstLine="360"/>
    </w:pPr>
  </w:style>
  <w:style w:type="character" w:customStyle="1" w:styleId="BodyTextFirstIndentChar">
    <w:name w:val="Body Text First Indent Char"/>
    <w:basedOn w:val="DefaultParagraphFont"/>
    <w:link w:val="BodyTextFirstIndent"/>
    <w:uiPriority w:val="99"/>
    <w:semiHidden/>
    <w:rsid w:val="007E705E"/>
    <w:rPr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E705E"/>
    <w:rPr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E705E"/>
    <w:rPr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E705E"/>
    <w:rPr>
      <w:sz w:val="20"/>
    </w:rPr>
  </w:style>
  <w:style w:type="paragraph" w:styleId="Closing">
    <w:name w:val="Closing"/>
    <w:basedOn w:val="Normal"/>
    <w:link w:val="ClosingChar"/>
    <w:uiPriority w:val="99"/>
    <w:semiHidden/>
    <w:rsid w:val="006C47D8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E705E"/>
    <w:rPr>
      <w:sz w:val="20"/>
    </w:rPr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F6F2" w:themeFill="accent1" w:themeFillTint="33"/>
    </w:tcPr>
    <w:tblStylePr w:type="firstRow">
      <w:rPr>
        <w:b/>
        <w:bCs/>
      </w:rPr>
      <w:tblPr/>
      <w:tcPr>
        <w:shd w:val="clear" w:color="auto" w:fill="E9EDE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EDE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8A98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8A983" w:themeFill="accent1" w:themeFillShade="BF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9F3" w:themeFill="accent2" w:themeFillTint="33"/>
    </w:tcPr>
    <w:tblStylePr w:type="firstRow">
      <w:rPr>
        <w:b/>
        <w:bCs/>
      </w:rPr>
      <w:tblPr/>
      <w:tcPr>
        <w:shd w:val="clear" w:color="auto" w:fill="FDF3E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F3E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F3AF5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F3AF5B" w:themeFill="accent2" w:themeFillShade="BF"/>
      </w:tc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shd w:val="clear" w:color="auto" w:fill="FDF0E2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BF3" w:themeFill="accent3" w:themeFillTint="33"/>
    </w:tcPr>
    <w:tblStylePr w:type="firstRow">
      <w:rPr>
        <w:b/>
        <w:bCs/>
      </w:rPr>
      <w:tblPr/>
      <w:tcPr>
        <w:shd w:val="clear" w:color="auto" w:fill="FCF7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F7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ECB6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ECB61" w:themeFill="accent3" w:themeFillShade="BF"/>
      </w:tc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AFB" w:themeFill="accent4" w:themeFillTint="33"/>
    </w:tcPr>
    <w:tblStylePr w:type="firstRow">
      <w:rPr>
        <w:b/>
        <w:bCs/>
      </w:rPr>
      <w:tblPr/>
      <w:tcPr>
        <w:shd w:val="clear" w:color="auto" w:fill="FBF6F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F6F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195A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195A9" w:themeFill="accent4" w:themeFillShade="BF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FBFD" w:themeFill="accent5" w:themeFillTint="33"/>
    </w:tcPr>
    <w:tblStylePr w:type="firstRow">
      <w:rPr>
        <w:b/>
        <w:bCs/>
      </w:rPr>
      <w:tblPr/>
      <w:tcPr>
        <w:shd w:val="clear" w:color="auto" w:fill="F8F7F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8F7F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E9AC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E9ACC" w:themeFill="accent5" w:themeFillShade="BF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F7FA" w:themeFill="accent6" w:themeFillTint="33"/>
    </w:tcPr>
    <w:tblStylePr w:type="firstRow">
      <w:rPr>
        <w:b/>
        <w:bCs/>
      </w:rPr>
      <w:tblPr/>
      <w:tcPr>
        <w:shd w:val="clear" w:color="auto" w:fill="ECF0F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F0F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85A1C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85A1C3" w:themeFill="accent6" w:themeFillShade="BF"/>
      </w:tc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shd w:val="clear" w:color="auto" w:fill="E7ECF3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9FA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CF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D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9A6B7" w:themeFill="accent4" w:themeFillShade="CC"/>
      </w:tcPr>
    </w:tblStylePr>
    <w:tblStylePr w:type="lastRow">
      <w:rPr>
        <w:b/>
        <w:bCs/>
        <w:color w:val="D9A6B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C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0D276" w:themeFill="accent3" w:themeFillShade="CC"/>
      </w:tcPr>
    </w:tblStylePr>
    <w:tblStylePr w:type="lastRow">
      <w:rPr>
        <w:b/>
        <w:bCs/>
        <w:color w:val="F0D27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DFDFE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4ADCB" w:themeFill="accent6" w:themeFillShade="CC"/>
      </w:tcPr>
    </w:tblStylePr>
    <w:tblStylePr w:type="lastRow">
      <w:rPr>
        <w:b/>
        <w:bCs/>
        <w:color w:val="94ADC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FBF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BABD5" w:themeFill="accent5" w:themeFillShade="CC"/>
      </w:tcPr>
    </w:tblStylePr>
    <w:tblStylePr w:type="lastRow">
      <w:rPr>
        <w:b/>
        <w:bCs/>
        <w:color w:val="BBABD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CAD3BF" w:themeColor="accent1"/>
        <w:bottom w:val="single" w:sz="4" w:space="0" w:color="CAD3BF" w:themeColor="accent1"/>
        <w:right w:val="single" w:sz="4" w:space="0" w:color="CAD3B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A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E62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E62" w:themeColor="accent1" w:themeShade="99"/>
          <w:insideV w:val="nil"/>
        </w:tcBorders>
        <w:shd w:val="clear" w:color="auto" w:fill="7A8E62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E62" w:themeFill="accent1" w:themeFillShade="99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4E9D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FBE3C5" w:themeColor="accent2"/>
        <w:bottom w:val="single" w:sz="4" w:space="0" w:color="FBE3C5" w:themeColor="accent2"/>
        <w:right w:val="single" w:sz="4" w:space="0" w:color="FBE3C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F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F911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F911D" w:themeColor="accent2" w:themeShade="99"/>
          <w:insideV w:val="nil"/>
        </w:tcBorders>
        <w:shd w:val="clear" w:color="auto" w:fill="EF911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911D" w:themeFill="accent2" w:themeFillShade="99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0E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6EAEE" w:themeColor="accent4"/>
        <w:left w:val="single" w:sz="4" w:space="0" w:color="F9EDC7" w:themeColor="accent3"/>
        <w:bottom w:val="single" w:sz="4" w:space="0" w:color="F9EDC7" w:themeColor="accent3"/>
        <w:right w:val="single" w:sz="4" w:space="0" w:color="F9EDC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D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6EAE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7B82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7B825" w:themeColor="accent3" w:themeShade="99"/>
          <w:insideV w:val="nil"/>
        </w:tcBorders>
        <w:shd w:val="clear" w:color="auto" w:fill="E7B82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B825" w:themeFill="accent3" w:themeFillShade="99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9EDC7" w:themeColor="accent3"/>
        <w:left w:val="single" w:sz="4" w:space="0" w:color="F6EAEE" w:themeColor="accent4"/>
        <w:bottom w:val="single" w:sz="4" w:space="0" w:color="F6EAEE" w:themeColor="accent4"/>
        <w:right w:val="single" w:sz="4" w:space="0" w:color="F6EAEE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EDC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C6381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C6381" w:themeColor="accent4" w:themeShade="99"/>
          <w:insideV w:val="nil"/>
        </w:tcBorders>
        <w:shd w:val="clear" w:color="auto" w:fill="BC6381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6381" w:themeFill="accent4" w:themeFillShade="99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AF4F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D0DBE8" w:themeColor="accent6"/>
        <w:left w:val="single" w:sz="4" w:space="0" w:color="EFEBF5" w:themeColor="accent5"/>
        <w:bottom w:val="single" w:sz="4" w:space="0" w:color="EFEBF5" w:themeColor="accent5"/>
        <w:right w:val="single" w:sz="4" w:space="0" w:color="EFEBF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DFE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DBE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86BB5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6BB5" w:themeColor="accent5" w:themeShade="99"/>
          <w:insideV w:val="nil"/>
        </w:tcBorders>
        <w:shd w:val="clear" w:color="auto" w:fill="886BB5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6BB5" w:themeFill="accent5" w:themeFillShade="99"/>
      </w:tcPr>
    </w:tblStylePr>
    <w:tblStylePr w:type="band1Vert">
      <w:tblPr/>
      <w:tcPr>
        <w:shd w:val="clear" w:color="auto" w:fill="F8F7FB" w:themeFill="accent5" w:themeFillTint="66"/>
      </w:tcPr>
    </w:tblStylePr>
    <w:tblStylePr w:type="band1Horz">
      <w:tblPr/>
      <w:tcPr>
        <w:shd w:val="clear" w:color="auto" w:fill="F7F5F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FEBF5" w:themeColor="accent5"/>
        <w:left w:val="single" w:sz="4" w:space="0" w:color="D0DBE8" w:themeColor="accent6"/>
        <w:bottom w:val="single" w:sz="4" w:space="0" w:color="D0DBE8" w:themeColor="accent6"/>
        <w:right w:val="single" w:sz="4" w:space="0" w:color="D0DBE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BF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FEBF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980A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980AE" w:themeColor="accent6" w:themeShade="99"/>
          <w:insideV w:val="nil"/>
        </w:tcBorders>
        <w:shd w:val="clear" w:color="auto" w:fill="5980A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80AE" w:themeFill="accent6" w:themeFillShade="99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7ECF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765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8A98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0790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3AF5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9D15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ECB6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74767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195A9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F4F9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E9AC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86A9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A1C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7E705E"/>
    <w:rPr>
      <w:sz w:val="20"/>
    </w:rPr>
  </w:style>
  <w:style w:type="paragraph" w:styleId="E-mailSignature">
    <w:name w:val="E-mail Signature"/>
    <w:basedOn w:val="Normal"/>
    <w:link w:val="E-mailSignatureChar"/>
    <w:uiPriority w:val="99"/>
    <w:semiHidden/>
    <w:rsid w:val="006C47D8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7E705E"/>
    <w:rPr>
      <w:sz w:val="20"/>
    </w:rPr>
  </w:style>
  <w:style w:type="character" w:styleId="EndnoteReference">
    <w:name w:val="endnote reference"/>
    <w:basedOn w:val="DefaultParagraphFont"/>
    <w:uiPriority w:val="99"/>
    <w:semiHidden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rsid w:val="006C47D8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rsid w:val="006C47D8"/>
    <w:rPr>
      <w:color w:val="7F6F6F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9EDE5" w:themeColor="accent1" w:themeTint="66"/>
        <w:left w:val="single" w:sz="4" w:space="0" w:color="E9EDE5" w:themeColor="accent1" w:themeTint="66"/>
        <w:bottom w:val="single" w:sz="4" w:space="0" w:color="E9EDE5" w:themeColor="accent1" w:themeTint="66"/>
        <w:right w:val="single" w:sz="4" w:space="0" w:color="E9EDE5" w:themeColor="accent1" w:themeTint="66"/>
        <w:insideH w:val="single" w:sz="4" w:space="0" w:color="E9EDE5" w:themeColor="accent1" w:themeTint="66"/>
        <w:insideV w:val="single" w:sz="4" w:space="0" w:color="E9EDE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DF3E7" w:themeColor="accent2" w:themeTint="66"/>
        <w:left w:val="single" w:sz="4" w:space="0" w:color="FDF3E7" w:themeColor="accent2" w:themeTint="66"/>
        <w:bottom w:val="single" w:sz="4" w:space="0" w:color="FDF3E7" w:themeColor="accent2" w:themeTint="66"/>
        <w:right w:val="single" w:sz="4" w:space="0" w:color="FDF3E7" w:themeColor="accent2" w:themeTint="66"/>
        <w:insideH w:val="single" w:sz="4" w:space="0" w:color="FDF3E7" w:themeColor="accent2" w:themeTint="66"/>
        <w:insideV w:val="single" w:sz="4" w:space="0" w:color="FDF3E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CF7E8" w:themeColor="accent3" w:themeTint="66"/>
        <w:left w:val="single" w:sz="4" w:space="0" w:color="FCF7E8" w:themeColor="accent3" w:themeTint="66"/>
        <w:bottom w:val="single" w:sz="4" w:space="0" w:color="FCF7E8" w:themeColor="accent3" w:themeTint="66"/>
        <w:right w:val="single" w:sz="4" w:space="0" w:color="FCF7E8" w:themeColor="accent3" w:themeTint="66"/>
        <w:insideH w:val="single" w:sz="4" w:space="0" w:color="FCF7E8" w:themeColor="accent3" w:themeTint="66"/>
        <w:insideV w:val="single" w:sz="4" w:space="0" w:color="FCF7E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BF6F8" w:themeColor="accent4" w:themeTint="66"/>
        <w:left w:val="single" w:sz="4" w:space="0" w:color="FBF6F8" w:themeColor="accent4" w:themeTint="66"/>
        <w:bottom w:val="single" w:sz="4" w:space="0" w:color="FBF6F8" w:themeColor="accent4" w:themeTint="66"/>
        <w:right w:val="single" w:sz="4" w:space="0" w:color="FBF6F8" w:themeColor="accent4" w:themeTint="66"/>
        <w:insideH w:val="single" w:sz="4" w:space="0" w:color="FBF6F8" w:themeColor="accent4" w:themeTint="66"/>
        <w:insideV w:val="single" w:sz="4" w:space="0" w:color="FBF6F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8F7FB" w:themeColor="accent5" w:themeTint="66"/>
        <w:left w:val="single" w:sz="4" w:space="0" w:color="F8F7FB" w:themeColor="accent5" w:themeTint="66"/>
        <w:bottom w:val="single" w:sz="4" w:space="0" w:color="F8F7FB" w:themeColor="accent5" w:themeTint="66"/>
        <w:right w:val="single" w:sz="4" w:space="0" w:color="F8F7FB" w:themeColor="accent5" w:themeTint="66"/>
        <w:insideH w:val="single" w:sz="4" w:space="0" w:color="F8F7FB" w:themeColor="accent5" w:themeTint="66"/>
        <w:insideV w:val="single" w:sz="4" w:space="0" w:color="F8F7F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CF0F5" w:themeColor="accent6" w:themeTint="66"/>
        <w:left w:val="single" w:sz="4" w:space="0" w:color="ECF0F5" w:themeColor="accent6" w:themeTint="66"/>
        <w:bottom w:val="single" w:sz="4" w:space="0" w:color="ECF0F5" w:themeColor="accent6" w:themeTint="66"/>
        <w:right w:val="single" w:sz="4" w:space="0" w:color="ECF0F5" w:themeColor="accent6" w:themeTint="66"/>
        <w:insideH w:val="single" w:sz="4" w:space="0" w:color="ECF0F5" w:themeColor="accent6" w:themeTint="66"/>
        <w:insideV w:val="single" w:sz="4" w:space="0" w:color="ECF0F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DFE4D8" w:themeColor="accent1" w:themeTint="99"/>
        <w:bottom w:val="single" w:sz="2" w:space="0" w:color="DFE4D8" w:themeColor="accent1" w:themeTint="99"/>
        <w:insideH w:val="single" w:sz="2" w:space="0" w:color="DFE4D8" w:themeColor="accent1" w:themeTint="99"/>
        <w:insideV w:val="single" w:sz="2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FE4D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FE4D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CEEDC" w:themeColor="accent2" w:themeTint="99"/>
        <w:bottom w:val="single" w:sz="2" w:space="0" w:color="FCEEDC" w:themeColor="accent2" w:themeTint="99"/>
        <w:insideH w:val="single" w:sz="2" w:space="0" w:color="FCEEDC" w:themeColor="accent2" w:themeTint="99"/>
        <w:insideV w:val="single" w:sz="2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EED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EED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BF4DD" w:themeColor="accent3" w:themeTint="99"/>
        <w:bottom w:val="single" w:sz="2" w:space="0" w:color="FBF4DD" w:themeColor="accent3" w:themeTint="99"/>
        <w:insideH w:val="single" w:sz="2" w:space="0" w:color="FBF4DD" w:themeColor="accent3" w:themeTint="99"/>
        <w:insideV w:val="single" w:sz="2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F4D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F4D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9F2F4" w:themeColor="accent4" w:themeTint="99"/>
        <w:bottom w:val="single" w:sz="2" w:space="0" w:color="F9F2F4" w:themeColor="accent4" w:themeTint="99"/>
        <w:insideH w:val="single" w:sz="2" w:space="0" w:color="F9F2F4" w:themeColor="accent4" w:themeTint="99"/>
        <w:insideV w:val="single" w:sz="2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9F2F4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9F2F4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5F3F9" w:themeColor="accent5" w:themeTint="99"/>
        <w:bottom w:val="single" w:sz="2" w:space="0" w:color="F5F3F9" w:themeColor="accent5" w:themeTint="99"/>
        <w:insideH w:val="single" w:sz="2" w:space="0" w:color="F5F3F9" w:themeColor="accent5" w:themeTint="99"/>
        <w:insideV w:val="single" w:sz="2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5F3F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5F3F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2E9F1" w:themeColor="accent6" w:themeTint="99"/>
        <w:bottom w:val="single" w:sz="2" w:space="0" w:color="E2E9F1" w:themeColor="accent6" w:themeTint="99"/>
        <w:insideH w:val="single" w:sz="2" w:space="0" w:color="E2E9F1" w:themeColor="accent6" w:themeTint="99"/>
        <w:insideV w:val="single" w:sz="2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2E9F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2E9F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bottom w:val="single" w:sz="4" w:space="0" w:color="DFE4D8" w:themeColor="accent1" w:themeTint="99"/>
        </w:tcBorders>
      </w:tcPr>
    </w:tblStylePr>
    <w:tblStylePr w:type="nwCell">
      <w:tblPr/>
      <w:tcPr>
        <w:tcBorders>
          <w:bottom w:val="single" w:sz="4" w:space="0" w:color="DFE4D8" w:themeColor="accent1" w:themeTint="99"/>
        </w:tcBorders>
      </w:tcPr>
    </w:tblStylePr>
    <w:tblStylePr w:type="seCell">
      <w:tblPr/>
      <w:tcPr>
        <w:tcBorders>
          <w:top w:val="single" w:sz="4" w:space="0" w:color="DFE4D8" w:themeColor="accent1" w:themeTint="99"/>
        </w:tcBorders>
      </w:tcPr>
    </w:tblStylePr>
    <w:tblStylePr w:type="swCell">
      <w:tblPr/>
      <w:tcPr>
        <w:tcBorders>
          <w:top w:val="single" w:sz="4" w:space="0" w:color="DFE4D8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bottom w:val="single" w:sz="4" w:space="0" w:color="FCEEDC" w:themeColor="accent2" w:themeTint="99"/>
        </w:tcBorders>
      </w:tcPr>
    </w:tblStylePr>
    <w:tblStylePr w:type="nwCell">
      <w:tblPr/>
      <w:tcPr>
        <w:tcBorders>
          <w:bottom w:val="single" w:sz="4" w:space="0" w:color="FCEEDC" w:themeColor="accent2" w:themeTint="99"/>
        </w:tcBorders>
      </w:tcPr>
    </w:tblStylePr>
    <w:tblStylePr w:type="seCell">
      <w:tblPr/>
      <w:tcPr>
        <w:tcBorders>
          <w:top w:val="single" w:sz="4" w:space="0" w:color="FCEEDC" w:themeColor="accent2" w:themeTint="99"/>
        </w:tcBorders>
      </w:tcPr>
    </w:tblStylePr>
    <w:tblStylePr w:type="swCell">
      <w:tblPr/>
      <w:tcPr>
        <w:tcBorders>
          <w:top w:val="single" w:sz="4" w:space="0" w:color="FCEEDC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bottom w:val="single" w:sz="4" w:space="0" w:color="FBF4DD" w:themeColor="accent3" w:themeTint="99"/>
        </w:tcBorders>
      </w:tcPr>
    </w:tblStylePr>
    <w:tblStylePr w:type="nwCell">
      <w:tblPr/>
      <w:tcPr>
        <w:tcBorders>
          <w:bottom w:val="single" w:sz="4" w:space="0" w:color="FBF4DD" w:themeColor="accent3" w:themeTint="99"/>
        </w:tcBorders>
      </w:tcPr>
    </w:tblStylePr>
    <w:tblStylePr w:type="seCell">
      <w:tblPr/>
      <w:tcPr>
        <w:tcBorders>
          <w:top w:val="single" w:sz="4" w:space="0" w:color="FBF4DD" w:themeColor="accent3" w:themeTint="99"/>
        </w:tcBorders>
      </w:tcPr>
    </w:tblStylePr>
    <w:tblStylePr w:type="swCell">
      <w:tblPr/>
      <w:tcPr>
        <w:tcBorders>
          <w:top w:val="single" w:sz="4" w:space="0" w:color="FBF4D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bottom w:val="single" w:sz="4" w:space="0" w:color="F9F2F4" w:themeColor="accent4" w:themeTint="99"/>
        </w:tcBorders>
      </w:tcPr>
    </w:tblStylePr>
    <w:tblStylePr w:type="nwCell">
      <w:tblPr/>
      <w:tcPr>
        <w:tcBorders>
          <w:bottom w:val="single" w:sz="4" w:space="0" w:color="F9F2F4" w:themeColor="accent4" w:themeTint="99"/>
        </w:tcBorders>
      </w:tcPr>
    </w:tblStylePr>
    <w:tblStylePr w:type="seCell">
      <w:tblPr/>
      <w:tcPr>
        <w:tcBorders>
          <w:top w:val="single" w:sz="4" w:space="0" w:color="F9F2F4" w:themeColor="accent4" w:themeTint="99"/>
        </w:tcBorders>
      </w:tcPr>
    </w:tblStylePr>
    <w:tblStylePr w:type="swCell">
      <w:tblPr/>
      <w:tcPr>
        <w:tcBorders>
          <w:top w:val="single" w:sz="4" w:space="0" w:color="F9F2F4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bottom w:val="single" w:sz="4" w:space="0" w:color="F5F3F9" w:themeColor="accent5" w:themeTint="99"/>
        </w:tcBorders>
      </w:tcPr>
    </w:tblStylePr>
    <w:tblStylePr w:type="nwCell">
      <w:tblPr/>
      <w:tcPr>
        <w:tcBorders>
          <w:bottom w:val="single" w:sz="4" w:space="0" w:color="F5F3F9" w:themeColor="accent5" w:themeTint="99"/>
        </w:tcBorders>
      </w:tcPr>
    </w:tblStylePr>
    <w:tblStylePr w:type="seCell">
      <w:tblPr/>
      <w:tcPr>
        <w:tcBorders>
          <w:top w:val="single" w:sz="4" w:space="0" w:color="F5F3F9" w:themeColor="accent5" w:themeTint="99"/>
        </w:tcBorders>
      </w:tcPr>
    </w:tblStylePr>
    <w:tblStylePr w:type="swCell">
      <w:tblPr/>
      <w:tcPr>
        <w:tcBorders>
          <w:top w:val="single" w:sz="4" w:space="0" w:color="F5F3F9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bottom w:val="single" w:sz="4" w:space="0" w:color="E2E9F1" w:themeColor="accent6" w:themeTint="99"/>
        </w:tcBorders>
      </w:tcPr>
    </w:tblStylePr>
    <w:tblStylePr w:type="nwCell">
      <w:tblPr/>
      <w:tcPr>
        <w:tcBorders>
          <w:bottom w:val="single" w:sz="4" w:space="0" w:color="E2E9F1" w:themeColor="accent6" w:themeTint="99"/>
        </w:tcBorders>
      </w:tcPr>
    </w:tblStylePr>
    <w:tblStylePr w:type="seCell">
      <w:tblPr/>
      <w:tcPr>
        <w:tcBorders>
          <w:top w:val="single" w:sz="4" w:space="0" w:color="E2E9F1" w:themeColor="accent6" w:themeTint="99"/>
        </w:tcBorders>
      </w:tcPr>
    </w:tblStylePr>
    <w:tblStylePr w:type="swCell">
      <w:tblPr/>
      <w:tcPr>
        <w:tcBorders>
          <w:top w:val="single" w:sz="4" w:space="0" w:color="E2E9F1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D3BF" w:themeColor="accent1"/>
          <w:left w:val="single" w:sz="4" w:space="0" w:color="CAD3BF" w:themeColor="accent1"/>
          <w:bottom w:val="single" w:sz="4" w:space="0" w:color="CAD3BF" w:themeColor="accent1"/>
          <w:right w:val="single" w:sz="4" w:space="0" w:color="CAD3BF" w:themeColor="accent1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E3C5" w:themeColor="accent2"/>
          <w:left w:val="single" w:sz="4" w:space="0" w:color="FBE3C5" w:themeColor="accent2"/>
          <w:bottom w:val="single" w:sz="4" w:space="0" w:color="FBE3C5" w:themeColor="accent2"/>
          <w:right w:val="single" w:sz="4" w:space="0" w:color="FBE3C5" w:themeColor="accent2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EDC7" w:themeColor="accent3"/>
          <w:left w:val="single" w:sz="4" w:space="0" w:color="F9EDC7" w:themeColor="accent3"/>
          <w:bottom w:val="single" w:sz="4" w:space="0" w:color="F9EDC7" w:themeColor="accent3"/>
          <w:right w:val="single" w:sz="4" w:space="0" w:color="F9EDC7" w:themeColor="accent3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EAEE" w:themeColor="accent4"/>
          <w:left w:val="single" w:sz="4" w:space="0" w:color="F6EAEE" w:themeColor="accent4"/>
          <w:bottom w:val="single" w:sz="4" w:space="0" w:color="F6EAEE" w:themeColor="accent4"/>
          <w:right w:val="single" w:sz="4" w:space="0" w:color="F6EAEE" w:themeColor="accent4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EBF5" w:themeColor="accent5"/>
          <w:left w:val="single" w:sz="4" w:space="0" w:color="EFEBF5" w:themeColor="accent5"/>
          <w:bottom w:val="single" w:sz="4" w:space="0" w:color="EFEBF5" w:themeColor="accent5"/>
          <w:right w:val="single" w:sz="4" w:space="0" w:color="EFEBF5" w:themeColor="accent5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DBE8" w:themeColor="accent6"/>
          <w:left w:val="single" w:sz="4" w:space="0" w:color="D0DBE8" w:themeColor="accent6"/>
          <w:bottom w:val="single" w:sz="4" w:space="0" w:color="D0DBE8" w:themeColor="accent6"/>
          <w:right w:val="single" w:sz="4" w:space="0" w:color="D0DBE8" w:themeColor="accent6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6F2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AD3BF" w:themeFill="accent1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9EDE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9F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BE3C5" w:themeFill="accent2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3E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B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EDC7" w:themeFill="accent3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7E8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A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6EAEE" w:themeFill="accent4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BF6F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FEBF5" w:themeFill="accent5"/>
      </w:tcPr>
    </w:tblStylePr>
    <w:tblStylePr w:type="band1Vert">
      <w:tblPr/>
      <w:tcPr>
        <w:shd w:val="clear" w:color="auto" w:fill="F8F7FB" w:themeFill="accent5" w:themeFillTint="66"/>
      </w:tcPr>
    </w:tblStylePr>
    <w:tblStylePr w:type="band1Horz">
      <w:tblPr/>
      <w:tcPr>
        <w:shd w:val="clear" w:color="auto" w:fill="F8F7FB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7F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0DBE8" w:themeFill="accent6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CF0F5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bottom w:val="single" w:sz="4" w:space="0" w:color="DFE4D8" w:themeColor="accent1" w:themeTint="99"/>
        </w:tcBorders>
      </w:tcPr>
    </w:tblStylePr>
    <w:tblStylePr w:type="nwCell">
      <w:tblPr/>
      <w:tcPr>
        <w:tcBorders>
          <w:bottom w:val="single" w:sz="4" w:space="0" w:color="DFE4D8" w:themeColor="accent1" w:themeTint="99"/>
        </w:tcBorders>
      </w:tcPr>
    </w:tblStylePr>
    <w:tblStylePr w:type="seCell">
      <w:tblPr/>
      <w:tcPr>
        <w:tcBorders>
          <w:top w:val="single" w:sz="4" w:space="0" w:color="DFE4D8" w:themeColor="accent1" w:themeTint="99"/>
        </w:tcBorders>
      </w:tcPr>
    </w:tblStylePr>
    <w:tblStylePr w:type="swCell">
      <w:tblPr/>
      <w:tcPr>
        <w:tcBorders>
          <w:top w:val="single" w:sz="4" w:space="0" w:color="DFE4D8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bottom w:val="single" w:sz="4" w:space="0" w:color="FCEEDC" w:themeColor="accent2" w:themeTint="99"/>
        </w:tcBorders>
      </w:tcPr>
    </w:tblStylePr>
    <w:tblStylePr w:type="nwCell">
      <w:tblPr/>
      <w:tcPr>
        <w:tcBorders>
          <w:bottom w:val="single" w:sz="4" w:space="0" w:color="FCEEDC" w:themeColor="accent2" w:themeTint="99"/>
        </w:tcBorders>
      </w:tcPr>
    </w:tblStylePr>
    <w:tblStylePr w:type="seCell">
      <w:tblPr/>
      <w:tcPr>
        <w:tcBorders>
          <w:top w:val="single" w:sz="4" w:space="0" w:color="FCEEDC" w:themeColor="accent2" w:themeTint="99"/>
        </w:tcBorders>
      </w:tcPr>
    </w:tblStylePr>
    <w:tblStylePr w:type="swCell">
      <w:tblPr/>
      <w:tcPr>
        <w:tcBorders>
          <w:top w:val="single" w:sz="4" w:space="0" w:color="FCEEDC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bottom w:val="single" w:sz="4" w:space="0" w:color="FBF4DD" w:themeColor="accent3" w:themeTint="99"/>
        </w:tcBorders>
      </w:tcPr>
    </w:tblStylePr>
    <w:tblStylePr w:type="nwCell">
      <w:tblPr/>
      <w:tcPr>
        <w:tcBorders>
          <w:bottom w:val="single" w:sz="4" w:space="0" w:color="FBF4DD" w:themeColor="accent3" w:themeTint="99"/>
        </w:tcBorders>
      </w:tcPr>
    </w:tblStylePr>
    <w:tblStylePr w:type="seCell">
      <w:tblPr/>
      <w:tcPr>
        <w:tcBorders>
          <w:top w:val="single" w:sz="4" w:space="0" w:color="FBF4DD" w:themeColor="accent3" w:themeTint="99"/>
        </w:tcBorders>
      </w:tcPr>
    </w:tblStylePr>
    <w:tblStylePr w:type="swCell">
      <w:tblPr/>
      <w:tcPr>
        <w:tcBorders>
          <w:top w:val="single" w:sz="4" w:space="0" w:color="FBF4D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bottom w:val="single" w:sz="4" w:space="0" w:color="F9F2F4" w:themeColor="accent4" w:themeTint="99"/>
        </w:tcBorders>
      </w:tcPr>
    </w:tblStylePr>
    <w:tblStylePr w:type="nwCell">
      <w:tblPr/>
      <w:tcPr>
        <w:tcBorders>
          <w:bottom w:val="single" w:sz="4" w:space="0" w:color="F9F2F4" w:themeColor="accent4" w:themeTint="99"/>
        </w:tcBorders>
      </w:tcPr>
    </w:tblStylePr>
    <w:tblStylePr w:type="seCell">
      <w:tblPr/>
      <w:tcPr>
        <w:tcBorders>
          <w:top w:val="single" w:sz="4" w:space="0" w:color="F9F2F4" w:themeColor="accent4" w:themeTint="99"/>
        </w:tcBorders>
      </w:tcPr>
    </w:tblStylePr>
    <w:tblStylePr w:type="swCell">
      <w:tblPr/>
      <w:tcPr>
        <w:tcBorders>
          <w:top w:val="single" w:sz="4" w:space="0" w:color="F9F2F4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bottom w:val="single" w:sz="4" w:space="0" w:color="F5F3F9" w:themeColor="accent5" w:themeTint="99"/>
        </w:tcBorders>
      </w:tcPr>
    </w:tblStylePr>
    <w:tblStylePr w:type="nwCell">
      <w:tblPr/>
      <w:tcPr>
        <w:tcBorders>
          <w:bottom w:val="single" w:sz="4" w:space="0" w:color="F5F3F9" w:themeColor="accent5" w:themeTint="99"/>
        </w:tcBorders>
      </w:tcPr>
    </w:tblStylePr>
    <w:tblStylePr w:type="seCell">
      <w:tblPr/>
      <w:tcPr>
        <w:tcBorders>
          <w:top w:val="single" w:sz="4" w:space="0" w:color="F5F3F9" w:themeColor="accent5" w:themeTint="99"/>
        </w:tcBorders>
      </w:tcPr>
    </w:tblStylePr>
    <w:tblStylePr w:type="swCell">
      <w:tblPr/>
      <w:tcPr>
        <w:tcBorders>
          <w:top w:val="single" w:sz="4" w:space="0" w:color="F5F3F9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bottom w:val="single" w:sz="4" w:space="0" w:color="E2E9F1" w:themeColor="accent6" w:themeTint="99"/>
        </w:tcBorders>
      </w:tcPr>
    </w:tblStylePr>
    <w:tblStylePr w:type="nwCell">
      <w:tblPr/>
      <w:tcPr>
        <w:tcBorders>
          <w:bottom w:val="single" w:sz="4" w:space="0" w:color="E2E9F1" w:themeColor="accent6" w:themeTint="99"/>
        </w:tcBorders>
      </w:tcPr>
    </w:tblStylePr>
    <w:tblStylePr w:type="seCell">
      <w:tblPr/>
      <w:tcPr>
        <w:tcBorders>
          <w:top w:val="single" w:sz="4" w:space="0" w:color="E2E9F1" w:themeColor="accent6" w:themeTint="99"/>
        </w:tcBorders>
      </w:tcPr>
    </w:tblStylePr>
    <w:tblStylePr w:type="swCell">
      <w:tblPr/>
      <w:tcPr>
        <w:tcBorders>
          <w:top w:val="single" w:sz="4" w:space="0" w:color="E2E9F1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7E705E"/>
    <w:rPr>
      <w:rFonts w:asciiTheme="majorHAnsi" w:eastAsiaTheme="majorEastAsia" w:hAnsiTheme="majorHAnsi" w:cstheme="majorBidi"/>
      <w:color w:val="98A983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05E"/>
    <w:rPr>
      <w:rFonts w:asciiTheme="majorHAnsi" w:eastAsiaTheme="majorEastAsia" w:hAnsiTheme="majorHAnsi" w:cstheme="majorBidi"/>
      <w:color w:val="657651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05E"/>
    <w:rPr>
      <w:rFonts w:asciiTheme="majorHAnsi" w:eastAsiaTheme="majorEastAsia" w:hAnsiTheme="majorHAnsi" w:cstheme="majorBidi"/>
      <w:i/>
      <w:iCs/>
      <w:color w:val="657651" w:themeColor="accent1" w:themeShade="7F"/>
      <w:sz w:val="20"/>
    </w:rPr>
  </w:style>
  <w:style w:type="character" w:styleId="HTMLAcronym">
    <w:name w:val="HTML Acronym"/>
    <w:basedOn w:val="DefaultParagraphFont"/>
    <w:uiPriority w:val="99"/>
    <w:semiHidden/>
    <w:rsid w:val="006C47D8"/>
  </w:style>
  <w:style w:type="paragraph" w:styleId="HTMLAddress">
    <w:name w:val="HTML Address"/>
    <w:basedOn w:val="Normal"/>
    <w:link w:val="HTMLAddressChar"/>
    <w:uiPriority w:val="99"/>
    <w:semiHidden/>
    <w:rsid w:val="006C47D8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E705E"/>
    <w:rPr>
      <w:i/>
      <w:iCs/>
      <w:sz w:val="20"/>
    </w:rPr>
  </w:style>
  <w:style w:type="character" w:styleId="HTMLCite">
    <w:name w:val="HTML Cite"/>
    <w:basedOn w:val="DefaultParagraphFont"/>
    <w:uiPriority w:val="99"/>
    <w:semiHidden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rsid w:val="006C47D8"/>
    <w:rPr>
      <w:i/>
      <w:iCs/>
    </w:rPr>
  </w:style>
  <w:style w:type="character" w:styleId="Hyperlink">
    <w:name w:val="Hyperlink"/>
    <w:basedOn w:val="DefaultParagraphFont"/>
    <w:uiPriority w:val="99"/>
    <w:semiHidden/>
    <w:rsid w:val="006C47D8"/>
    <w:rPr>
      <w:color w:val="8E58B6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6C47D8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6C47D8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6C47D8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6C47D8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6C47D8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6C47D8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6C47D8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6C47D8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6C47D8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6C47D8"/>
    <w:rPr>
      <w:i/>
      <w:iCs/>
      <w:color w:val="CAD3BF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  <w:insideH w:val="single" w:sz="8" w:space="0" w:color="CAD3BF" w:themeColor="accent1"/>
        <w:insideV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18" w:space="0" w:color="CAD3BF" w:themeColor="accent1"/>
          <w:right w:val="single" w:sz="8" w:space="0" w:color="CAD3BF" w:themeColor="accent1"/>
          <w:insideH w:val="nil"/>
          <w:insideV w:val="single" w:sz="8" w:space="0" w:color="CAD3B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H w:val="nil"/>
          <w:insideV w:val="single" w:sz="8" w:space="0" w:color="CAD3B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band1Vert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V w:val="single" w:sz="8" w:space="0" w:color="CAD3BF" w:themeColor="accent1"/>
        </w:tcBorders>
        <w:shd w:val="clear" w:color="auto" w:fill="F1F4EF" w:themeFill="accent1" w:themeFillTint="3F"/>
      </w:tcPr>
    </w:tblStylePr>
    <w:tblStylePr w:type="band2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V w:val="single" w:sz="8" w:space="0" w:color="CAD3BF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  <w:insideH w:val="single" w:sz="8" w:space="0" w:color="FBE3C5" w:themeColor="accent2"/>
        <w:insideV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18" w:space="0" w:color="FBE3C5" w:themeColor="accent2"/>
          <w:right w:val="single" w:sz="8" w:space="0" w:color="FBE3C5" w:themeColor="accent2"/>
          <w:insideH w:val="nil"/>
          <w:insideV w:val="single" w:sz="8" w:space="0" w:color="FBE3C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H w:val="nil"/>
          <w:insideV w:val="single" w:sz="8" w:space="0" w:color="FBE3C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band1Vert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V w:val="single" w:sz="8" w:space="0" w:color="FBE3C5" w:themeColor="accent2"/>
        </w:tcBorders>
        <w:shd w:val="clear" w:color="auto" w:fill="FEF8F0" w:themeFill="accent2" w:themeFillTint="3F"/>
      </w:tcPr>
    </w:tblStylePr>
    <w:tblStylePr w:type="band2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V w:val="single" w:sz="8" w:space="0" w:color="FBE3C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  <w:insideH w:val="single" w:sz="8" w:space="0" w:color="F9EDC7" w:themeColor="accent3"/>
        <w:insideV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18" w:space="0" w:color="F9EDC7" w:themeColor="accent3"/>
          <w:right w:val="single" w:sz="8" w:space="0" w:color="F9EDC7" w:themeColor="accent3"/>
          <w:insideH w:val="nil"/>
          <w:insideV w:val="single" w:sz="8" w:space="0" w:color="F9EDC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H w:val="nil"/>
          <w:insideV w:val="single" w:sz="8" w:space="0" w:color="F9EDC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band1Vert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V w:val="single" w:sz="8" w:space="0" w:color="F9EDC7" w:themeColor="accent3"/>
        </w:tcBorders>
        <w:shd w:val="clear" w:color="auto" w:fill="FDFAF1" w:themeFill="accent3" w:themeFillTint="3F"/>
      </w:tcPr>
    </w:tblStylePr>
    <w:tblStylePr w:type="band2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V w:val="single" w:sz="8" w:space="0" w:color="F9EDC7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  <w:insideH w:val="single" w:sz="8" w:space="0" w:color="F6EAEE" w:themeColor="accent4"/>
        <w:insideV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18" w:space="0" w:color="F6EAEE" w:themeColor="accent4"/>
          <w:right w:val="single" w:sz="8" w:space="0" w:color="F6EAEE" w:themeColor="accent4"/>
          <w:insideH w:val="nil"/>
          <w:insideV w:val="single" w:sz="8" w:space="0" w:color="F6EAE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H w:val="nil"/>
          <w:insideV w:val="single" w:sz="8" w:space="0" w:color="F6EAE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band1Vert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V w:val="single" w:sz="8" w:space="0" w:color="F6EAEE" w:themeColor="accent4"/>
        </w:tcBorders>
        <w:shd w:val="clear" w:color="auto" w:fill="FCF9FA" w:themeFill="accent4" w:themeFillTint="3F"/>
      </w:tcPr>
    </w:tblStylePr>
    <w:tblStylePr w:type="band2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V w:val="single" w:sz="8" w:space="0" w:color="F6EAEE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  <w:insideH w:val="single" w:sz="8" w:space="0" w:color="EFEBF5" w:themeColor="accent5"/>
        <w:insideV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18" w:space="0" w:color="EFEBF5" w:themeColor="accent5"/>
          <w:right w:val="single" w:sz="8" w:space="0" w:color="EFEBF5" w:themeColor="accent5"/>
          <w:insideH w:val="nil"/>
          <w:insideV w:val="single" w:sz="8" w:space="0" w:color="EFEBF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H w:val="nil"/>
          <w:insideV w:val="single" w:sz="8" w:space="0" w:color="EFEBF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band1Vert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  <w:shd w:val="clear" w:color="auto" w:fill="FAF9FC" w:themeFill="accent5" w:themeFillTint="3F"/>
      </w:tcPr>
    </w:tblStylePr>
    <w:tblStylePr w:type="band1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V w:val="single" w:sz="8" w:space="0" w:color="EFEBF5" w:themeColor="accent5"/>
        </w:tcBorders>
        <w:shd w:val="clear" w:color="auto" w:fill="FAF9FC" w:themeFill="accent5" w:themeFillTint="3F"/>
      </w:tcPr>
    </w:tblStylePr>
    <w:tblStylePr w:type="band2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V w:val="single" w:sz="8" w:space="0" w:color="EFEBF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  <w:insideH w:val="single" w:sz="8" w:space="0" w:color="D0DBE8" w:themeColor="accent6"/>
        <w:insideV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18" w:space="0" w:color="D0DBE8" w:themeColor="accent6"/>
          <w:right w:val="single" w:sz="8" w:space="0" w:color="D0DBE8" w:themeColor="accent6"/>
          <w:insideH w:val="nil"/>
          <w:insideV w:val="single" w:sz="8" w:space="0" w:color="D0DBE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H w:val="nil"/>
          <w:insideV w:val="single" w:sz="8" w:space="0" w:color="D0DBE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band1Vert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V w:val="single" w:sz="8" w:space="0" w:color="D0DBE8" w:themeColor="accent6"/>
        </w:tcBorders>
        <w:shd w:val="clear" w:color="auto" w:fill="F3F6F9" w:themeFill="accent6" w:themeFillTint="3F"/>
      </w:tcPr>
    </w:tblStylePr>
    <w:tblStylePr w:type="band2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V w:val="single" w:sz="8" w:space="0" w:color="D0DBE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band1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band1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band1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band1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band1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band1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8" w:space="0" w:color="CAD3BF" w:themeColor="accent1"/>
        <w:bottom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D3BF" w:themeColor="accent1"/>
          <w:left w:val="nil"/>
          <w:bottom w:val="single" w:sz="8" w:space="0" w:color="CAD3B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D3BF" w:themeColor="accent1"/>
          <w:left w:val="nil"/>
          <w:bottom w:val="single" w:sz="8" w:space="0" w:color="CAD3B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8" w:space="0" w:color="FBE3C5" w:themeColor="accent2"/>
        <w:bottom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E3C5" w:themeColor="accent2"/>
          <w:left w:val="nil"/>
          <w:bottom w:val="single" w:sz="8" w:space="0" w:color="FBE3C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E3C5" w:themeColor="accent2"/>
          <w:left w:val="nil"/>
          <w:bottom w:val="single" w:sz="8" w:space="0" w:color="FBE3C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8" w:space="0" w:color="F9EDC7" w:themeColor="accent3"/>
        <w:bottom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EDC7" w:themeColor="accent3"/>
          <w:left w:val="nil"/>
          <w:bottom w:val="single" w:sz="8" w:space="0" w:color="F9EDC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EDC7" w:themeColor="accent3"/>
          <w:left w:val="nil"/>
          <w:bottom w:val="single" w:sz="8" w:space="0" w:color="F9EDC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8" w:space="0" w:color="F6EAEE" w:themeColor="accent4"/>
        <w:bottom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EAEE" w:themeColor="accent4"/>
          <w:left w:val="nil"/>
          <w:bottom w:val="single" w:sz="8" w:space="0" w:color="F6EAE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EAEE" w:themeColor="accent4"/>
          <w:left w:val="nil"/>
          <w:bottom w:val="single" w:sz="8" w:space="0" w:color="F6EAE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8" w:space="0" w:color="EFEBF5" w:themeColor="accent5"/>
        <w:bottom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EBF5" w:themeColor="accent5"/>
          <w:left w:val="nil"/>
          <w:bottom w:val="single" w:sz="8" w:space="0" w:color="EFEBF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EBF5" w:themeColor="accent5"/>
          <w:left w:val="nil"/>
          <w:bottom w:val="single" w:sz="8" w:space="0" w:color="EFEBF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8" w:space="0" w:color="D0DBE8" w:themeColor="accent6"/>
        <w:bottom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DBE8" w:themeColor="accent6"/>
          <w:left w:val="nil"/>
          <w:bottom w:val="single" w:sz="8" w:space="0" w:color="D0DBE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DBE8" w:themeColor="accent6"/>
          <w:left w:val="nil"/>
          <w:bottom w:val="single" w:sz="8" w:space="0" w:color="D0DBE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6C47D8"/>
  </w:style>
  <w:style w:type="paragraph" w:styleId="List">
    <w:name w:val="List"/>
    <w:basedOn w:val="Normal"/>
    <w:uiPriority w:val="99"/>
    <w:semiHidden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bottom w:val="single" w:sz="4" w:space="0" w:color="DFE4D8" w:themeColor="accent1" w:themeTint="99"/>
        <w:insideH w:val="single" w:sz="4" w:space="0" w:color="DFE4D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bottom w:val="single" w:sz="4" w:space="0" w:color="FCEEDC" w:themeColor="accent2" w:themeTint="99"/>
        <w:insideH w:val="single" w:sz="4" w:space="0" w:color="FCEED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bottom w:val="single" w:sz="4" w:space="0" w:color="FBF4DD" w:themeColor="accent3" w:themeTint="99"/>
        <w:insideH w:val="single" w:sz="4" w:space="0" w:color="FBF4D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bottom w:val="single" w:sz="4" w:space="0" w:color="F9F2F4" w:themeColor="accent4" w:themeTint="99"/>
        <w:insideH w:val="single" w:sz="4" w:space="0" w:color="F9F2F4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bottom w:val="single" w:sz="4" w:space="0" w:color="F5F3F9" w:themeColor="accent5" w:themeTint="99"/>
        <w:insideH w:val="single" w:sz="4" w:space="0" w:color="F5F3F9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bottom w:val="single" w:sz="4" w:space="0" w:color="E2E9F1" w:themeColor="accent6" w:themeTint="99"/>
        <w:insideH w:val="single" w:sz="4" w:space="0" w:color="E2E9F1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AD3BF" w:themeColor="accent1"/>
        <w:left w:val="single" w:sz="4" w:space="0" w:color="CAD3BF" w:themeColor="accent1"/>
        <w:bottom w:val="single" w:sz="4" w:space="0" w:color="CAD3BF" w:themeColor="accent1"/>
        <w:right w:val="single" w:sz="4" w:space="0" w:color="CAD3B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AD3BF" w:themeColor="accent1"/>
          <w:right w:val="single" w:sz="4" w:space="0" w:color="CAD3BF" w:themeColor="accent1"/>
        </w:tcBorders>
      </w:tcPr>
    </w:tblStylePr>
    <w:tblStylePr w:type="band1Horz">
      <w:tblPr/>
      <w:tcPr>
        <w:tcBorders>
          <w:top w:val="single" w:sz="4" w:space="0" w:color="CAD3BF" w:themeColor="accent1"/>
          <w:bottom w:val="single" w:sz="4" w:space="0" w:color="CAD3B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AD3BF" w:themeColor="accent1"/>
          <w:left w:val="nil"/>
        </w:tcBorders>
      </w:tcPr>
    </w:tblStylePr>
    <w:tblStylePr w:type="swCell">
      <w:tblPr/>
      <w:tcPr>
        <w:tcBorders>
          <w:top w:val="double" w:sz="4" w:space="0" w:color="CAD3BF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BE3C5" w:themeColor="accent2"/>
        <w:left w:val="single" w:sz="4" w:space="0" w:color="FBE3C5" w:themeColor="accent2"/>
        <w:bottom w:val="single" w:sz="4" w:space="0" w:color="FBE3C5" w:themeColor="accent2"/>
        <w:right w:val="single" w:sz="4" w:space="0" w:color="FBE3C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BE3C5" w:themeColor="accent2"/>
          <w:right w:val="single" w:sz="4" w:space="0" w:color="FBE3C5" w:themeColor="accent2"/>
        </w:tcBorders>
      </w:tcPr>
    </w:tblStylePr>
    <w:tblStylePr w:type="band1Horz">
      <w:tblPr/>
      <w:tcPr>
        <w:tcBorders>
          <w:top w:val="single" w:sz="4" w:space="0" w:color="FBE3C5" w:themeColor="accent2"/>
          <w:bottom w:val="single" w:sz="4" w:space="0" w:color="FBE3C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BE3C5" w:themeColor="accent2"/>
          <w:left w:val="nil"/>
        </w:tcBorders>
      </w:tcPr>
    </w:tblStylePr>
    <w:tblStylePr w:type="swCell">
      <w:tblPr/>
      <w:tcPr>
        <w:tcBorders>
          <w:top w:val="double" w:sz="4" w:space="0" w:color="FBE3C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9EDC7" w:themeColor="accent3"/>
        <w:left w:val="single" w:sz="4" w:space="0" w:color="F9EDC7" w:themeColor="accent3"/>
        <w:bottom w:val="single" w:sz="4" w:space="0" w:color="F9EDC7" w:themeColor="accent3"/>
        <w:right w:val="single" w:sz="4" w:space="0" w:color="F9EDC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EDC7" w:themeColor="accent3"/>
          <w:right w:val="single" w:sz="4" w:space="0" w:color="F9EDC7" w:themeColor="accent3"/>
        </w:tcBorders>
      </w:tcPr>
    </w:tblStylePr>
    <w:tblStylePr w:type="band1Horz">
      <w:tblPr/>
      <w:tcPr>
        <w:tcBorders>
          <w:top w:val="single" w:sz="4" w:space="0" w:color="F9EDC7" w:themeColor="accent3"/>
          <w:bottom w:val="single" w:sz="4" w:space="0" w:color="F9EDC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EDC7" w:themeColor="accent3"/>
          <w:left w:val="nil"/>
        </w:tcBorders>
      </w:tcPr>
    </w:tblStylePr>
    <w:tblStylePr w:type="swCell">
      <w:tblPr/>
      <w:tcPr>
        <w:tcBorders>
          <w:top w:val="double" w:sz="4" w:space="0" w:color="F9EDC7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6EAEE" w:themeColor="accent4"/>
        <w:left w:val="single" w:sz="4" w:space="0" w:color="F6EAEE" w:themeColor="accent4"/>
        <w:bottom w:val="single" w:sz="4" w:space="0" w:color="F6EAEE" w:themeColor="accent4"/>
        <w:right w:val="single" w:sz="4" w:space="0" w:color="F6EAEE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6EAEE" w:themeColor="accent4"/>
          <w:right w:val="single" w:sz="4" w:space="0" w:color="F6EAEE" w:themeColor="accent4"/>
        </w:tcBorders>
      </w:tcPr>
    </w:tblStylePr>
    <w:tblStylePr w:type="band1Horz">
      <w:tblPr/>
      <w:tcPr>
        <w:tcBorders>
          <w:top w:val="single" w:sz="4" w:space="0" w:color="F6EAEE" w:themeColor="accent4"/>
          <w:bottom w:val="single" w:sz="4" w:space="0" w:color="F6EAEE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6EAEE" w:themeColor="accent4"/>
          <w:left w:val="nil"/>
        </w:tcBorders>
      </w:tcPr>
    </w:tblStylePr>
    <w:tblStylePr w:type="swCell">
      <w:tblPr/>
      <w:tcPr>
        <w:tcBorders>
          <w:top w:val="double" w:sz="4" w:space="0" w:color="F6EAEE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FEBF5" w:themeColor="accent5"/>
        <w:left w:val="single" w:sz="4" w:space="0" w:color="EFEBF5" w:themeColor="accent5"/>
        <w:bottom w:val="single" w:sz="4" w:space="0" w:color="EFEBF5" w:themeColor="accent5"/>
        <w:right w:val="single" w:sz="4" w:space="0" w:color="EFEBF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FEBF5" w:themeColor="accent5"/>
          <w:right w:val="single" w:sz="4" w:space="0" w:color="EFEBF5" w:themeColor="accent5"/>
        </w:tcBorders>
      </w:tcPr>
    </w:tblStylePr>
    <w:tblStylePr w:type="band1Horz">
      <w:tblPr/>
      <w:tcPr>
        <w:tcBorders>
          <w:top w:val="single" w:sz="4" w:space="0" w:color="EFEBF5" w:themeColor="accent5"/>
          <w:bottom w:val="single" w:sz="4" w:space="0" w:color="EFEBF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FEBF5" w:themeColor="accent5"/>
          <w:left w:val="nil"/>
        </w:tcBorders>
      </w:tcPr>
    </w:tblStylePr>
    <w:tblStylePr w:type="swCell">
      <w:tblPr/>
      <w:tcPr>
        <w:tcBorders>
          <w:top w:val="double" w:sz="4" w:space="0" w:color="EFEBF5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D0DBE8" w:themeColor="accent6"/>
        <w:left w:val="single" w:sz="4" w:space="0" w:color="D0DBE8" w:themeColor="accent6"/>
        <w:bottom w:val="single" w:sz="4" w:space="0" w:color="D0DBE8" w:themeColor="accent6"/>
        <w:right w:val="single" w:sz="4" w:space="0" w:color="D0DBE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0DBE8" w:themeColor="accent6"/>
          <w:right w:val="single" w:sz="4" w:space="0" w:color="D0DBE8" w:themeColor="accent6"/>
        </w:tcBorders>
      </w:tcPr>
    </w:tblStylePr>
    <w:tblStylePr w:type="band1Horz">
      <w:tblPr/>
      <w:tcPr>
        <w:tcBorders>
          <w:top w:val="single" w:sz="4" w:space="0" w:color="D0DBE8" w:themeColor="accent6"/>
          <w:bottom w:val="single" w:sz="4" w:space="0" w:color="D0DBE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0DBE8" w:themeColor="accent6"/>
          <w:left w:val="nil"/>
        </w:tcBorders>
      </w:tcPr>
    </w:tblStylePr>
    <w:tblStylePr w:type="swCell">
      <w:tblPr/>
      <w:tcPr>
        <w:tcBorders>
          <w:top w:val="double" w:sz="4" w:space="0" w:color="D0DBE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D3BF" w:themeColor="accent1"/>
          <w:left w:val="single" w:sz="4" w:space="0" w:color="CAD3BF" w:themeColor="accent1"/>
          <w:bottom w:val="single" w:sz="4" w:space="0" w:color="CAD3BF" w:themeColor="accent1"/>
          <w:right w:val="single" w:sz="4" w:space="0" w:color="CAD3BF" w:themeColor="accent1"/>
          <w:insideH w:val="nil"/>
        </w:tcBorders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E3C5" w:themeColor="accent2"/>
          <w:left w:val="single" w:sz="4" w:space="0" w:color="FBE3C5" w:themeColor="accent2"/>
          <w:bottom w:val="single" w:sz="4" w:space="0" w:color="FBE3C5" w:themeColor="accent2"/>
          <w:right w:val="single" w:sz="4" w:space="0" w:color="FBE3C5" w:themeColor="accent2"/>
          <w:insideH w:val="nil"/>
        </w:tcBorders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EDC7" w:themeColor="accent3"/>
          <w:left w:val="single" w:sz="4" w:space="0" w:color="F9EDC7" w:themeColor="accent3"/>
          <w:bottom w:val="single" w:sz="4" w:space="0" w:color="F9EDC7" w:themeColor="accent3"/>
          <w:right w:val="single" w:sz="4" w:space="0" w:color="F9EDC7" w:themeColor="accent3"/>
          <w:insideH w:val="nil"/>
        </w:tcBorders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EAEE" w:themeColor="accent4"/>
          <w:left w:val="single" w:sz="4" w:space="0" w:color="F6EAEE" w:themeColor="accent4"/>
          <w:bottom w:val="single" w:sz="4" w:space="0" w:color="F6EAEE" w:themeColor="accent4"/>
          <w:right w:val="single" w:sz="4" w:space="0" w:color="F6EAEE" w:themeColor="accent4"/>
          <w:insideH w:val="nil"/>
        </w:tcBorders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EBF5" w:themeColor="accent5"/>
          <w:left w:val="single" w:sz="4" w:space="0" w:color="EFEBF5" w:themeColor="accent5"/>
          <w:bottom w:val="single" w:sz="4" w:space="0" w:color="EFEBF5" w:themeColor="accent5"/>
          <w:right w:val="single" w:sz="4" w:space="0" w:color="EFEBF5" w:themeColor="accent5"/>
          <w:insideH w:val="nil"/>
        </w:tcBorders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DBE8" w:themeColor="accent6"/>
          <w:left w:val="single" w:sz="4" w:space="0" w:color="D0DBE8" w:themeColor="accent6"/>
          <w:bottom w:val="single" w:sz="4" w:space="0" w:color="D0DBE8" w:themeColor="accent6"/>
          <w:right w:val="single" w:sz="4" w:space="0" w:color="D0DBE8" w:themeColor="accent6"/>
          <w:insideH w:val="nil"/>
        </w:tcBorders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AD3BF" w:themeColor="accent1"/>
        <w:left w:val="single" w:sz="24" w:space="0" w:color="CAD3BF" w:themeColor="accent1"/>
        <w:bottom w:val="single" w:sz="24" w:space="0" w:color="CAD3BF" w:themeColor="accent1"/>
        <w:right w:val="single" w:sz="24" w:space="0" w:color="CAD3BF" w:themeColor="accent1"/>
      </w:tblBorders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BE3C5" w:themeColor="accent2"/>
        <w:left w:val="single" w:sz="24" w:space="0" w:color="FBE3C5" w:themeColor="accent2"/>
        <w:bottom w:val="single" w:sz="24" w:space="0" w:color="FBE3C5" w:themeColor="accent2"/>
        <w:right w:val="single" w:sz="24" w:space="0" w:color="FBE3C5" w:themeColor="accent2"/>
      </w:tblBorders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EDC7" w:themeColor="accent3"/>
        <w:left w:val="single" w:sz="24" w:space="0" w:color="F9EDC7" w:themeColor="accent3"/>
        <w:bottom w:val="single" w:sz="24" w:space="0" w:color="F9EDC7" w:themeColor="accent3"/>
        <w:right w:val="single" w:sz="24" w:space="0" w:color="F9EDC7" w:themeColor="accent3"/>
      </w:tblBorders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6EAEE" w:themeColor="accent4"/>
        <w:left w:val="single" w:sz="24" w:space="0" w:color="F6EAEE" w:themeColor="accent4"/>
        <w:bottom w:val="single" w:sz="24" w:space="0" w:color="F6EAEE" w:themeColor="accent4"/>
        <w:right w:val="single" w:sz="24" w:space="0" w:color="F6EAEE" w:themeColor="accent4"/>
      </w:tblBorders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FEBF5" w:themeColor="accent5"/>
        <w:left w:val="single" w:sz="24" w:space="0" w:color="EFEBF5" w:themeColor="accent5"/>
        <w:bottom w:val="single" w:sz="24" w:space="0" w:color="EFEBF5" w:themeColor="accent5"/>
        <w:right w:val="single" w:sz="24" w:space="0" w:color="EFEBF5" w:themeColor="accent5"/>
      </w:tblBorders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0DBE8" w:themeColor="accent6"/>
        <w:left w:val="single" w:sz="24" w:space="0" w:color="D0DBE8" w:themeColor="accent6"/>
        <w:bottom w:val="single" w:sz="24" w:space="0" w:color="D0DBE8" w:themeColor="accent6"/>
        <w:right w:val="single" w:sz="24" w:space="0" w:color="D0DBE8" w:themeColor="accent6"/>
      </w:tblBorders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CAD3BF" w:themeColor="accent1"/>
        <w:bottom w:val="single" w:sz="4" w:space="0" w:color="CAD3B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AD3B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BE3C5" w:themeColor="accent2"/>
        <w:bottom w:val="single" w:sz="4" w:space="0" w:color="FBE3C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BE3C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9EDC7" w:themeColor="accent3"/>
        <w:bottom w:val="single" w:sz="4" w:space="0" w:color="F9EDC7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9EDC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6EAEE" w:themeColor="accent4"/>
        <w:bottom w:val="single" w:sz="4" w:space="0" w:color="F6EAEE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6EAEE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EFEBF5" w:themeColor="accent5"/>
        <w:bottom w:val="single" w:sz="4" w:space="0" w:color="EFEBF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FEBF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D0DBE8" w:themeColor="accent6"/>
        <w:bottom w:val="single" w:sz="4" w:space="0" w:color="D0DBE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0DBE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AD3B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AD3B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AD3B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AD3B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BE3C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BE3C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BE3C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BE3C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EDC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EDC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EDC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EDC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6EAEE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6EAEE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6EAEE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6EAEE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FEBF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FEBF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FEBF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FEBF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0DBE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0DBE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0DBE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0DBE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7DECF" w:themeColor="accent1" w:themeTint="BF"/>
        <w:left w:val="single" w:sz="8" w:space="0" w:color="D7DECF" w:themeColor="accent1" w:themeTint="BF"/>
        <w:bottom w:val="single" w:sz="8" w:space="0" w:color="D7DECF" w:themeColor="accent1" w:themeTint="BF"/>
        <w:right w:val="single" w:sz="8" w:space="0" w:color="D7DECF" w:themeColor="accent1" w:themeTint="BF"/>
        <w:insideH w:val="single" w:sz="8" w:space="0" w:color="D7DECF" w:themeColor="accent1" w:themeTint="BF"/>
        <w:insideV w:val="single" w:sz="8" w:space="0" w:color="D7DECF" w:themeColor="accent1" w:themeTint="BF"/>
      </w:tblBorders>
    </w:tblPr>
    <w:tcPr>
      <w:shd w:val="clear" w:color="auto" w:fill="F1F4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7DE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CE9D3" w:themeColor="accent2" w:themeTint="BF"/>
        <w:left w:val="single" w:sz="8" w:space="0" w:color="FCE9D3" w:themeColor="accent2" w:themeTint="BF"/>
        <w:bottom w:val="single" w:sz="8" w:space="0" w:color="FCE9D3" w:themeColor="accent2" w:themeTint="BF"/>
        <w:right w:val="single" w:sz="8" w:space="0" w:color="FCE9D3" w:themeColor="accent2" w:themeTint="BF"/>
        <w:insideH w:val="single" w:sz="8" w:space="0" w:color="FCE9D3" w:themeColor="accent2" w:themeTint="BF"/>
        <w:insideV w:val="single" w:sz="8" w:space="0" w:color="FCE9D3" w:themeColor="accent2" w:themeTint="BF"/>
      </w:tblBorders>
    </w:tblPr>
    <w:tcPr>
      <w:shd w:val="clear" w:color="auto" w:fill="FEF8F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E9D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shd w:val="clear" w:color="auto" w:fill="FDF0E2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AF1D4" w:themeColor="accent3" w:themeTint="BF"/>
        <w:left w:val="single" w:sz="8" w:space="0" w:color="FAF1D4" w:themeColor="accent3" w:themeTint="BF"/>
        <w:bottom w:val="single" w:sz="8" w:space="0" w:color="FAF1D4" w:themeColor="accent3" w:themeTint="BF"/>
        <w:right w:val="single" w:sz="8" w:space="0" w:color="FAF1D4" w:themeColor="accent3" w:themeTint="BF"/>
        <w:insideH w:val="single" w:sz="8" w:space="0" w:color="FAF1D4" w:themeColor="accent3" w:themeTint="BF"/>
        <w:insideV w:val="single" w:sz="8" w:space="0" w:color="FAF1D4" w:themeColor="accent3" w:themeTint="BF"/>
      </w:tblBorders>
    </w:tblPr>
    <w:tcPr>
      <w:shd w:val="clear" w:color="auto" w:fill="FDFAF1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F1D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8EFF2" w:themeColor="accent4" w:themeTint="BF"/>
        <w:left w:val="single" w:sz="8" w:space="0" w:color="F8EFF2" w:themeColor="accent4" w:themeTint="BF"/>
        <w:bottom w:val="single" w:sz="8" w:space="0" w:color="F8EFF2" w:themeColor="accent4" w:themeTint="BF"/>
        <w:right w:val="single" w:sz="8" w:space="0" w:color="F8EFF2" w:themeColor="accent4" w:themeTint="BF"/>
        <w:insideH w:val="single" w:sz="8" w:space="0" w:color="F8EFF2" w:themeColor="accent4" w:themeTint="BF"/>
        <w:insideV w:val="single" w:sz="8" w:space="0" w:color="F8EFF2" w:themeColor="accent4" w:themeTint="BF"/>
      </w:tblBorders>
    </w:tblPr>
    <w:tcPr>
      <w:shd w:val="clear" w:color="auto" w:fill="FCF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8EFF2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2EFF7" w:themeColor="accent5" w:themeTint="BF"/>
        <w:left w:val="single" w:sz="8" w:space="0" w:color="F2EFF7" w:themeColor="accent5" w:themeTint="BF"/>
        <w:bottom w:val="single" w:sz="8" w:space="0" w:color="F2EFF7" w:themeColor="accent5" w:themeTint="BF"/>
        <w:right w:val="single" w:sz="8" w:space="0" w:color="F2EFF7" w:themeColor="accent5" w:themeTint="BF"/>
        <w:insideH w:val="single" w:sz="8" w:space="0" w:color="F2EFF7" w:themeColor="accent5" w:themeTint="BF"/>
        <w:insideV w:val="single" w:sz="8" w:space="0" w:color="F2EFF7" w:themeColor="accent5" w:themeTint="BF"/>
      </w:tblBorders>
    </w:tblPr>
    <w:tcPr>
      <w:shd w:val="clear" w:color="auto" w:fill="FAF9F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2EFF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BE3ED" w:themeColor="accent6" w:themeTint="BF"/>
        <w:left w:val="single" w:sz="8" w:space="0" w:color="DBE3ED" w:themeColor="accent6" w:themeTint="BF"/>
        <w:bottom w:val="single" w:sz="8" w:space="0" w:color="DBE3ED" w:themeColor="accent6" w:themeTint="BF"/>
        <w:right w:val="single" w:sz="8" w:space="0" w:color="DBE3ED" w:themeColor="accent6" w:themeTint="BF"/>
        <w:insideH w:val="single" w:sz="8" w:space="0" w:color="DBE3ED" w:themeColor="accent6" w:themeTint="BF"/>
        <w:insideV w:val="single" w:sz="8" w:space="0" w:color="DBE3ED" w:themeColor="accent6" w:themeTint="BF"/>
      </w:tblBorders>
    </w:tblPr>
    <w:tcPr>
      <w:shd w:val="clear" w:color="auto" w:fill="F3F6F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E3ED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shd w:val="clear" w:color="auto" w:fill="E7ECF3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  <w:insideH w:val="single" w:sz="8" w:space="0" w:color="CAD3BF" w:themeColor="accent1"/>
        <w:insideV w:val="single" w:sz="8" w:space="0" w:color="CAD3BF" w:themeColor="accent1"/>
      </w:tblBorders>
    </w:tblPr>
    <w:tcPr>
      <w:shd w:val="clear" w:color="auto" w:fill="F1F4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9FA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6F2" w:themeFill="accent1" w:themeFillTint="33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tcBorders>
          <w:insideH w:val="single" w:sz="6" w:space="0" w:color="CAD3BF" w:themeColor="accent1"/>
          <w:insideV w:val="single" w:sz="6" w:space="0" w:color="CAD3BF" w:themeColor="accent1"/>
        </w:tcBorders>
        <w:shd w:val="clear" w:color="auto" w:fill="E4E9D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  <w:insideH w:val="single" w:sz="8" w:space="0" w:color="FBE3C5" w:themeColor="accent2"/>
        <w:insideV w:val="single" w:sz="8" w:space="0" w:color="FBE3C5" w:themeColor="accent2"/>
      </w:tblBorders>
    </w:tblPr>
    <w:tcPr>
      <w:shd w:val="clear" w:color="auto" w:fill="FEF8F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9F3" w:themeFill="accent2" w:themeFillTint="33"/>
      </w:tc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tcBorders>
          <w:insideH w:val="single" w:sz="6" w:space="0" w:color="FBE3C5" w:themeColor="accent2"/>
          <w:insideV w:val="single" w:sz="6" w:space="0" w:color="FBE3C5" w:themeColor="accent2"/>
        </w:tcBorders>
        <w:shd w:val="clear" w:color="auto" w:fill="FDF0E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  <w:insideH w:val="single" w:sz="8" w:space="0" w:color="F9EDC7" w:themeColor="accent3"/>
        <w:insideV w:val="single" w:sz="8" w:space="0" w:color="F9EDC7" w:themeColor="accent3"/>
      </w:tblBorders>
    </w:tblPr>
    <w:tcPr>
      <w:shd w:val="clear" w:color="auto" w:fill="FDFAF1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D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BF3" w:themeFill="accent3" w:themeFillTint="33"/>
      </w:tc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tcBorders>
          <w:insideH w:val="single" w:sz="6" w:space="0" w:color="F9EDC7" w:themeColor="accent3"/>
          <w:insideV w:val="single" w:sz="6" w:space="0" w:color="F9EDC7" w:themeColor="accent3"/>
        </w:tcBorders>
        <w:shd w:val="clear" w:color="auto" w:fill="FCF5E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  <w:insideH w:val="single" w:sz="8" w:space="0" w:color="F6EAEE" w:themeColor="accent4"/>
        <w:insideV w:val="single" w:sz="8" w:space="0" w:color="F6EAEE" w:themeColor="accent4"/>
      </w:tblBorders>
    </w:tblPr>
    <w:tcPr>
      <w:shd w:val="clear" w:color="auto" w:fill="FCF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B" w:themeFill="accent4" w:themeFillTint="33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tcBorders>
          <w:insideH w:val="single" w:sz="6" w:space="0" w:color="F6EAEE" w:themeColor="accent4"/>
          <w:insideV w:val="single" w:sz="6" w:space="0" w:color="F6EAEE" w:themeColor="accent4"/>
        </w:tcBorders>
        <w:shd w:val="clear" w:color="auto" w:fill="FAF4F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  <w:insideH w:val="single" w:sz="8" w:space="0" w:color="EFEBF5" w:themeColor="accent5"/>
        <w:insideV w:val="single" w:sz="8" w:space="0" w:color="EFEBF5" w:themeColor="accent5"/>
      </w:tblBorders>
    </w:tblPr>
    <w:tcPr>
      <w:shd w:val="clear" w:color="auto" w:fill="FAF9F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DFDFE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BFD" w:themeFill="accent5" w:themeFillTint="33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tcBorders>
          <w:insideH w:val="single" w:sz="6" w:space="0" w:color="EFEBF5" w:themeColor="accent5"/>
          <w:insideV w:val="single" w:sz="6" w:space="0" w:color="EFEBF5" w:themeColor="accent5"/>
        </w:tcBorders>
        <w:shd w:val="clear" w:color="auto" w:fill="F7F5F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  <w:insideH w:val="single" w:sz="8" w:space="0" w:color="D0DBE8" w:themeColor="accent6"/>
        <w:insideV w:val="single" w:sz="8" w:space="0" w:color="D0DBE8" w:themeColor="accent6"/>
      </w:tblBorders>
    </w:tblPr>
    <w:tcPr>
      <w:shd w:val="clear" w:color="auto" w:fill="F3F6F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FBF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7FA" w:themeFill="accent6" w:themeFillTint="33"/>
      </w:tc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tcBorders>
          <w:insideH w:val="single" w:sz="6" w:space="0" w:color="D0DBE8" w:themeColor="accent6"/>
          <w:insideV w:val="single" w:sz="6" w:space="0" w:color="D0DBE8" w:themeColor="accent6"/>
        </w:tcBorders>
        <w:shd w:val="clear" w:color="auto" w:fill="E7ECF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1F4E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AD3B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AD3B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4E9D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4E9D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8F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E3C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E3C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F0E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F0E2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AF1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EDC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EDC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F5E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F5E3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F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EAE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EAE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AF4F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AF4F6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F9F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EBF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EBF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F5F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F5F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F6F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DBE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DBE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ECF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ECF3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bottom w:val="single" w:sz="8" w:space="0" w:color="CAD3B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AD3BF" w:themeColor="accen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CAD3BF" w:themeColor="accent1"/>
          <w:bottom w:val="single" w:sz="8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AD3BF" w:themeColor="accent1"/>
          <w:bottom w:val="single" w:sz="8" w:space="0" w:color="CAD3BF" w:themeColor="accent1"/>
        </w:tcBorders>
      </w:tc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shd w:val="clear" w:color="auto" w:fill="F1F4E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bottom w:val="single" w:sz="8" w:space="0" w:color="FBE3C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BE3C5" w:themeColor="accent2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BE3C5" w:themeColor="accent2"/>
          <w:bottom w:val="single" w:sz="8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BE3C5" w:themeColor="accent2"/>
          <w:bottom w:val="single" w:sz="8" w:space="0" w:color="FBE3C5" w:themeColor="accent2"/>
        </w:tcBorders>
      </w:tc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shd w:val="clear" w:color="auto" w:fill="FEF8F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bottom w:val="single" w:sz="8" w:space="0" w:color="F9EDC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EDC7" w:themeColor="accent3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9EDC7" w:themeColor="accent3"/>
          <w:bottom w:val="single" w:sz="8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EDC7" w:themeColor="accent3"/>
          <w:bottom w:val="single" w:sz="8" w:space="0" w:color="F9EDC7" w:themeColor="accent3"/>
        </w:tcBorders>
      </w:tc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shd w:val="clear" w:color="auto" w:fill="FDFAF1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bottom w:val="single" w:sz="8" w:space="0" w:color="F6EAEE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6EAEE" w:themeColor="accent4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6EAEE" w:themeColor="accent4"/>
          <w:bottom w:val="single" w:sz="8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6EAEE" w:themeColor="accent4"/>
          <w:bottom w:val="single" w:sz="8" w:space="0" w:color="F6EAEE" w:themeColor="accent4"/>
        </w:tcBorders>
      </w:tc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shd w:val="clear" w:color="auto" w:fill="FCF9F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bottom w:val="single" w:sz="8" w:space="0" w:color="EFEBF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FEBF5" w:themeColor="accent5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EFEBF5" w:themeColor="accent5"/>
          <w:bottom w:val="single" w:sz="8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FEBF5" w:themeColor="accent5"/>
          <w:bottom w:val="single" w:sz="8" w:space="0" w:color="EFEBF5" w:themeColor="accent5"/>
        </w:tcBorders>
      </w:tcPr>
    </w:tblStylePr>
    <w:tblStylePr w:type="band1Vert">
      <w:tblPr/>
      <w:tcPr>
        <w:shd w:val="clear" w:color="auto" w:fill="FAF9FC" w:themeFill="accent5" w:themeFillTint="3F"/>
      </w:tcPr>
    </w:tblStylePr>
    <w:tblStylePr w:type="band1Horz">
      <w:tblPr/>
      <w:tcPr>
        <w:shd w:val="clear" w:color="auto" w:fill="FAF9FC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bottom w:val="single" w:sz="8" w:space="0" w:color="D0DBE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DBE8" w:themeColor="accent6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D0DBE8" w:themeColor="accent6"/>
          <w:bottom w:val="single" w:sz="8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DBE8" w:themeColor="accent6"/>
          <w:bottom w:val="single" w:sz="8" w:space="0" w:color="D0DBE8" w:themeColor="accent6"/>
        </w:tcBorders>
      </w:tc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shd w:val="clear" w:color="auto" w:fill="F3F6F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AD3B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AD3B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AD3B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F4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BE3C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BE3C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8F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EDC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EDC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EDC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AF1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6EAE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6EAE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6EAE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F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FEBF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FEBF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FEBF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F9F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DBE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DBE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DBE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F6F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7DECF" w:themeColor="accent1" w:themeTint="BF"/>
        <w:left w:val="single" w:sz="8" w:space="0" w:color="D7DECF" w:themeColor="accent1" w:themeTint="BF"/>
        <w:bottom w:val="single" w:sz="8" w:space="0" w:color="D7DECF" w:themeColor="accent1" w:themeTint="BF"/>
        <w:right w:val="single" w:sz="8" w:space="0" w:color="D7DECF" w:themeColor="accent1" w:themeTint="BF"/>
        <w:insideH w:val="single" w:sz="8" w:space="0" w:color="D7DE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7DECF" w:themeColor="accent1" w:themeTint="BF"/>
          <w:left w:val="single" w:sz="8" w:space="0" w:color="D7DECF" w:themeColor="accent1" w:themeTint="BF"/>
          <w:bottom w:val="single" w:sz="8" w:space="0" w:color="D7DECF" w:themeColor="accent1" w:themeTint="BF"/>
          <w:right w:val="single" w:sz="8" w:space="0" w:color="D7DECF" w:themeColor="accent1" w:themeTint="BF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7DECF" w:themeColor="accent1" w:themeTint="BF"/>
          <w:left w:val="single" w:sz="8" w:space="0" w:color="D7DECF" w:themeColor="accent1" w:themeTint="BF"/>
          <w:bottom w:val="single" w:sz="8" w:space="0" w:color="D7DECF" w:themeColor="accent1" w:themeTint="BF"/>
          <w:right w:val="single" w:sz="8" w:space="0" w:color="D7DE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F4E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CE9D3" w:themeColor="accent2" w:themeTint="BF"/>
        <w:left w:val="single" w:sz="8" w:space="0" w:color="FCE9D3" w:themeColor="accent2" w:themeTint="BF"/>
        <w:bottom w:val="single" w:sz="8" w:space="0" w:color="FCE9D3" w:themeColor="accent2" w:themeTint="BF"/>
        <w:right w:val="single" w:sz="8" w:space="0" w:color="FCE9D3" w:themeColor="accent2" w:themeTint="BF"/>
        <w:insideH w:val="single" w:sz="8" w:space="0" w:color="FCE9D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E9D3" w:themeColor="accent2" w:themeTint="BF"/>
          <w:left w:val="single" w:sz="8" w:space="0" w:color="FCE9D3" w:themeColor="accent2" w:themeTint="BF"/>
          <w:bottom w:val="single" w:sz="8" w:space="0" w:color="FCE9D3" w:themeColor="accent2" w:themeTint="BF"/>
          <w:right w:val="single" w:sz="8" w:space="0" w:color="FCE9D3" w:themeColor="accent2" w:themeTint="BF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E9D3" w:themeColor="accent2" w:themeTint="BF"/>
          <w:left w:val="single" w:sz="8" w:space="0" w:color="FCE9D3" w:themeColor="accent2" w:themeTint="BF"/>
          <w:bottom w:val="single" w:sz="8" w:space="0" w:color="FCE9D3" w:themeColor="accent2" w:themeTint="BF"/>
          <w:right w:val="single" w:sz="8" w:space="0" w:color="FCE9D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8F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AF1D4" w:themeColor="accent3" w:themeTint="BF"/>
        <w:left w:val="single" w:sz="8" w:space="0" w:color="FAF1D4" w:themeColor="accent3" w:themeTint="BF"/>
        <w:bottom w:val="single" w:sz="8" w:space="0" w:color="FAF1D4" w:themeColor="accent3" w:themeTint="BF"/>
        <w:right w:val="single" w:sz="8" w:space="0" w:color="FAF1D4" w:themeColor="accent3" w:themeTint="BF"/>
        <w:insideH w:val="single" w:sz="8" w:space="0" w:color="FAF1D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F1D4" w:themeColor="accent3" w:themeTint="BF"/>
          <w:left w:val="single" w:sz="8" w:space="0" w:color="FAF1D4" w:themeColor="accent3" w:themeTint="BF"/>
          <w:bottom w:val="single" w:sz="8" w:space="0" w:color="FAF1D4" w:themeColor="accent3" w:themeTint="BF"/>
          <w:right w:val="single" w:sz="8" w:space="0" w:color="FAF1D4" w:themeColor="accent3" w:themeTint="BF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F1D4" w:themeColor="accent3" w:themeTint="BF"/>
          <w:left w:val="single" w:sz="8" w:space="0" w:color="FAF1D4" w:themeColor="accent3" w:themeTint="BF"/>
          <w:bottom w:val="single" w:sz="8" w:space="0" w:color="FAF1D4" w:themeColor="accent3" w:themeTint="BF"/>
          <w:right w:val="single" w:sz="8" w:space="0" w:color="FAF1D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AF1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8EFF2" w:themeColor="accent4" w:themeTint="BF"/>
        <w:left w:val="single" w:sz="8" w:space="0" w:color="F8EFF2" w:themeColor="accent4" w:themeTint="BF"/>
        <w:bottom w:val="single" w:sz="8" w:space="0" w:color="F8EFF2" w:themeColor="accent4" w:themeTint="BF"/>
        <w:right w:val="single" w:sz="8" w:space="0" w:color="F8EFF2" w:themeColor="accent4" w:themeTint="BF"/>
        <w:insideH w:val="single" w:sz="8" w:space="0" w:color="F8EFF2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8EFF2" w:themeColor="accent4" w:themeTint="BF"/>
          <w:left w:val="single" w:sz="8" w:space="0" w:color="F8EFF2" w:themeColor="accent4" w:themeTint="BF"/>
          <w:bottom w:val="single" w:sz="8" w:space="0" w:color="F8EFF2" w:themeColor="accent4" w:themeTint="BF"/>
          <w:right w:val="single" w:sz="8" w:space="0" w:color="F8EFF2" w:themeColor="accent4" w:themeTint="BF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EFF2" w:themeColor="accent4" w:themeTint="BF"/>
          <w:left w:val="single" w:sz="8" w:space="0" w:color="F8EFF2" w:themeColor="accent4" w:themeTint="BF"/>
          <w:bottom w:val="single" w:sz="8" w:space="0" w:color="F8EFF2" w:themeColor="accent4" w:themeTint="BF"/>
          <w:right w:val="single" w:sz="8" w:space="0" w:color="F8EFF2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F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2EFF7" w:themeColor="accent5" w:themeTint="BF"/>
        <w:left w:val="single" w:sz="8" w:space="0" w:color="F2EFF7" w:themeColor="accent5" w:themeTint="BF"/>
        <w:bottom w:val="single" w:sz="8" w:space="0" w:color="F2EFF7" w:themeColor="accent5" w:themeTint="BF"/>
        <w:right w:val="single" w:sz="8" w:space="0" w:color="F2EFF7" w:themeColor="accent5" w:themeTint="BF"/>
        <w:insideH w:val="single" w:sz="8" w:space="0" w:color="F2EFF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2EFF7" w:themeColor="accent5" w:themeTint="BF"/>
          <w:left w:val="single" w:sz="8" w:space="0" w:color="F2EFF7" w:themeColor="accent5" w:themeTint="BF"/>
          <w:bottom w:val="single" w:sz="8" w:space="0" w:color="F2EFF7" w:themeColor="accent5" w:themeTint="BF"/>
          <w:right w:val="single" w:sz="8" w:space="0" w:color="F2EFF7" w:themeColor="accent5" w:themeTint="BF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EFF7" w:themeColor="accent5" w:themeTint="BF"/>
          <w:left w:val="single" w:sz="8" w:space="0" w:color="F2EFF7" w:themeColor="accent5" w:themeTint="BF"/>
          <w:bottom w:val="single" w:sz="8" w:space="0" w:color="F2EFF7" w:themeColor="accent5" w:themeTint="BF"/>
          <w:right w:val="single" w:sz="8" w:space="0" w:color="F2EFF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9F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F9F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BE3ED" w:themeColor="accent6" w:themeTint="BF"/>
        <w:left w:val="single" w:sz="8" w:space="0" w:color="DBE3ED" w:themeColor="accent6" w:themeTint="BF"/>
        <w:bottom w:val="single" w:sz="8" w:space="0" w:color="DBE3ED" w:themeColor="accent6" w:themeTint="BF"/>
        <w:right w:val="single" w:sz="8" w:space="0" w:color="DBE3ED" w:themeColor="accent6" w:themeTint="BF"/>
        <w:insideH w:val="single" w:sz="8" w:space="0" w:color="DBE3ED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E3ED" w:themeColor="accent6" w:themeTint="BF"/>
          <w:left w:val="single" w:sz="8" w:space="0" w:color="DBE3ED" w:themeColor="accent6" w:themeTint="BF"/>
          <w:bottom w:val="single" w:sz="8" w:space="0" w:color="DBE3ED" w:themeColor="accent6" w:themeTint="BF"/>
          <w:right w:val="single" w:sz="8" w:space="0" w:color="DBE3ED" w:themeColor="accent6" w:themeTint="BF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E3ED" w:themeColor="accent6" w:themeTint="BF"/>
          <w:left w:val="single" w:sz="8" w:space="0" w:color="DBE3ED" w:themeColor="accent6" w:themeTint="BF"/>
          <w:bottom w:val="single" w:sz="8" w:space="0" w:color="DBE3ED" w:themeColor="accent6" w:themeTint="BF"/>
          <w:right w:val="single" w:sz="8" w:space="0" w:color="DBE3ED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F6F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E705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6C47D8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E705E"/>
    <w:rPr>
      <w:sz w:val="20"/>
    </w:rPr>
  </w:style>
  <w:style w:type="character" w:styleId="PageNumber">
    <w:name w:val="page number"/>
    <w:basedOn w:val="DefaultParagraphFont"/>
    <w:uiPriority w:val="99"/>
    <w:semiHidden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E705E"/>
    <w:rPr>
      <w:sz w:val="20"/>
    </w:rPr>
  </w:style>
  <w:style w:type="paragraph" w:styleId="Signature">
    <w:name w:val="Signature"/>
    <w:basedOn w:val="Normal"/>
    <w:link w:val="SignatureChar"/>
    <w:uiPriority w:val="99"/>
    <w:semiHidden/>
    <w:rsid w:val="006C47D8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E705E"/>
    <w:rPr>
      <w:sz w:val="20"/>
    </w:rPr>
  </w:style>
  <w:style w:type="character" w:styleId="Strong">
    <w:name w:val="Strong"/>
    <w:basedOn w:val="DefaultParagraphFont"/>
    <w:uiPriority w:val="22"/>
    <w:semiHidden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6C47D8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6C47D8"/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6C47D8"/>
    <w:pPr>
      <w:spacing w:after="100"/>
      <w:ind w:left="1760"/>
    </w:pPr>
  </w:style>
  <w:style w:type="character" w:customStyle="1" w:styleId="UnresolvedMention1">
    <w:name w:val="Unresolved Mention1"/>
    <w:basedOn w:val="DefaultParagraphFont"/>
    <w:uiPriority w:val="99"/>
    <w:semiHidden/>
    <w:rsid w:val="00FC796B"/>
    <w:rPr>
      <w:color w:val="605E5C"/>
      <w:shd w:val="clear" w:color="auto" w:fill="E1DFDD"/>
    </w:rPr>
  </w:style>
  <w:style w:type="character" w:customStyle="1" w:styleId="Bold">
    <w:name w:val="Bold"/>
    <w:basedOn w:val="DefaultParagraphFont"/>
    <w:uiPriority w:val="1"/>
    <w:qFormat/>
    <w:rsid w:val="00D32E0B"/>
    <w:rPr>
      <w:b/>
      <w:bCs/>
    </w:rPr>
  </w:style>
  <w:style w:type="character" w:customStyle="1" w:styleId="Shade">
    <w:name w:val="Shade"/>
    <w:uiPriority w:val="1"/>
    <w:qFormat/>
    <w:rsid w:val="001E2574"/>
    <w:rPr>
      <w:bdr w:val="none" w:sz="0" w:space="0" w:color="auto"/>
      <w:shd w:val="clear" w:color="auto" w:fill="EFEBF5" w:themeFill="accent5"/>
    </w:rPr>
  </w:style>
  <w:style w:type="character" w:styleId="UnresolvedMention">
    <w:name w:val="Unresolved Mention"/>
    <w:basedOn w:val="DefaultParagraphFont"/>
    <w:uiPriority w:val="99"/>
    <w:semiHidden/>
    <w:unhideWhenUsed/>
    <w:rsid w:val="008E0B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k-blankenship.github.io/kendra-blankenship-portfolio-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://www.linkedin.com/in/kendra-blankenship-70177038b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ndr\AppData\Roaming\Microsoft\Templates\ATS%20classic%20HR%20resume.dotx" TargetMode="External"/></Relationships>
</file>

<file path=word/theme/theme1.xml><?xml version="1.0" encoding="utf-8"?>
<a:theme xmlns:a="http://schemas.openxmlformats.org/drawingml/2006/main" name="Office Theme">
  <a:themeElements>
    <a:clrScheme name="Custom 33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CAD3BF"/>
      </a:accent1>
      <a:accent2>
        <a:srgbClr val="FBE3C5"/>
      </a:accent2>
      <a:accent3>
        <a:srgbClr val="F9EDC7"/>
      </a:accent3>
      <a:accent4>
        <a:srgbClr val="F6EAEE"/>
      </a:accent4>
      <a:accent5>
        <a:srgbClr val="EFEBF5"/>
      </a:accent5>
      <a:accent6>
        <a:srgbClr val="D0DBE8"/>
      </a:accent6>
      <a:hlink>
        <a:srgbClr val="8E58B6"/>
      </a:hlink>
      <a:folHlink>
        <a:srgbClr val="7F6F6F"/>
      </a:folHlink>
    </a:clrScheme>
    <a:fontScheme name="Custom 15">
      <a:majorFont>
        <a:latin typeface="Speak Pro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0A072D3-1E8C-4A55-9BC5-A78E612D01A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E752862-61BA-4B5E-A96A-86EE3BBC84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E0D3648-234F-4A0C-8692-8F3C9F49E234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379DDD15-C6EB-4CF8-9815-7F3AE8E7A06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classic HR resume</Template>
  <TotalTime>0</TotalTime>
  <Pages>5</Pages>
  <Words>1448</Words>
  <Characters>8259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Kendra Blankenship</dc:creator>
  <cp:keywords/>
  <dc:description/>
  <cp:lastModifiedBy>Kendra Blankenship</cp:lastModifiedBy>
  <cp:revision>2</cp:revision>
  <dcterms:created xsi:type="dcterms:W3CDTF">2026-06-06T01:23:00Z</dcterms:created>
  <dcterms:modified xsi:type="dcterms:W3CDTF">2026-06-06T01:23:00Z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