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95B33">
      <w:pPr>
        <w:rPr>
          <w:rFonts w:ascii="Times New Roman" w:hAnsi="Times New Roman" w:cs="Times New Roman"/>
          <w:b/>
          <w:bCs/>
          <w:sz w:val="36"/>
          <w:szCs w:val="36"/>
        </w:rPr>
      </w:pPr>
      <w:r>
        <w:rPr>
          <w:rFonts w:ascii="Times New Roman" w:hAnsi="Times New Roman" w:cs="Times New Roman"/>
          <w:b/>
          <w:bCs/>
          <w:sz w:val="36"/>
          <w:szCs w:val="36"/>
        </w:rPr>
        <w:t>Machine Learning Mini Project</w:t>
      </w:r>
    </w:p>
    <w:p w14:paraId="2C3F6641">
      <w:pPr>
        <w:rPr>
          <w:rFonts w:ascii="Times New Roman" w:hAnsi="Times New Roman" w:cs="Times New Roman"/>
          <w:b/>
          <w:bCs/>
          <w:sz w:val="36"/>
          <w:szCs w:val="36"/>
        </w:rPr>
      </w:pPr>
    </w:p>
    <w:p w14:paraId="6D874331">
      <w:pPr>
        <w:rPr>
          <w:rFonts w:ascii="Times New Roman" w:hAnsi="Times New Roman" w:cs="Times New Roman"/>
          <w:b/>
          <w:bCs/>
          <w:sz w:val="36"/>
          <w:szCs w:val="36"/>
        </w:rPr>
      </w:pPr>
      <w:r>
        <w:rPr>
          <w:rFonts w:ascii="Times New Roman" w:hAnsi="Times New Roman" w:cs="Times New Roman"/>
          <w:b/>
          <w:bCs/>
          <w:sz w:val="36"/>
          <w:szCs w:val="36"/>
        </w:rPr>
        <w:t>Justus Onyango</w:t>
      </w:r>
      <w:r>
        <w:rPr>
          <w:rFonts w:ascii="Times New Roman" w:hAnsi="Times New Roman" w:cs="Times New Roman"/>
          <w:b/>
          <w:bCs/>
          <w:sz w:val="36"/>
          <w:szCs w:val="36"/>
        </w:rPr>
        <w:tab/>
      </w:r>
      <w:r>
        <w:rPr>
          <w:rFonts w:ascii="Times New Roman" w:hAnsi="Times New Roman" w:cs="Times New Roman"/>
          <w:b/>
          <w:bCs/>
          <w:sz w:val="36"/>
          <w:szCs w:val="36"/>
        </w:rPr>
        <w:t>191948</w:t>
      </w:r>
    </w:p>
    <w:p w14:paraId="6489DEDA">
      <w:pPr>
        <w:rPr>
          <w:rFonts w:ascii="Times New Roman" w:hAnsi="Times New Roman" w:cs="Times New Roman"/>
          <w:b/>
          <w:bCs/>
          <w:sz w:val="36"/>
          <w:szCs w:val="36"/>
        </w:rPr>
      </w:pPr>
      <w:r>
        <w:rPr>
          <w:rFonts w:ascii="Times New Roman" w:hAnsi="Times New Roman" w:cs="Times New Roman"/>
          <w:b/>
          <w:bCs/>
          <w:sz w:val="36"/>
          <w:szCs w:val="36"/>
        </w:rPr>
        <w:t>Caxton Kiptoo</w:t>
      </w:r>
      <w:r>
        <w:rPr>
          <w:rFonts w:ascii="Times New Roman" w:hAnsi="Times New Roman" w:cs="Times New Roman"/>
          <w:b/>
          <w:bCs/>
          <w:sz w:val="36"/>
          <w:szCs w:val="36"/>
        </w:rPr>
        <w:tab/>
      </w:r>
      <w:r>
        <w:rPr>
          <w:rFonts w:ascii="Times New Roman" w:hAnsi="Times New Roman" w:cs="Times New Roman"/>
          <w:b/>
          <w:bCs/>
          <w:sz w:val="36"/>
          <w:szCs w:val="36"/>
        </w:rPr>
        <w:t>180657</w:t>
      </w:r>
    </w:p>
    <w:p w14:paraId="2E424C75">
      <w:pPr>
        <w:rPr>
          <w:rFonts w:hint="default" w:ascii="Times New Roman" w:hAnsi="Times New Roman" w:cs="Times New Roman"/>
          <w:b/>
          <w:bCs/>
          <w:sz w:val="36"/>
          <w:szCs w:val="36"/>
          <w:lang w:val="en-GB"/>
        </w:rPr>
      </w:pPr>
      <w:r>
        <w:rPr>
          <w:rFonts w:hint="default" w:ascii="Times New Roman" w:hAnsi="Times New Roman" w:cs="Times New Roman"/>
          <w:b/>
          <w:bCs/>
          <w:sz w:val="36"/>
          <w:szCs w:val="36"/>
          <w:lang w:val="en-GB"/>
        </w:rPr>
        <w:t>Paul Gitungo</w:t>
      </w:r>
      <w:r>
        <w:rPr>
          <w:rFonts w:hint="default" w:ascii="Times New Roman" w:hAnsi="Times New Roman" w:cs="Times New Roman"/>
          <w:b/>
          <w:bCs/>
          <w:sz w:val="36"/>
          <w:szCs w:val="36"/>
          <w:lang w:val="en-GB"/>
        </w:rPr>
        <w:tab/>
        <w:t/>
      </w:r>
      <w:r>
        <w:rPr>
          <w:rFonts w:hint="default" w:ascii="Times New Roman" w:hAnsi="Times New Roman" w:cs="Times New Roman"/>
          <w:b/>
          <w:bCs/>
          <w:sz w:val="36"/>
          <w:szCs w:val="36"/>
          <w:lang w:val="en-GB"/>
        </w:rPr>
        <w:tab/>
        <w:t>190093</w:t>
      </w:r>
      <w:bookmarkStart w:id="0" w:name="_GoBack"/>
      <w:bookmarkEnd w:id="0"/>
    </w:p>
    <w:p w14:paraId="4C430C88">
      <w:pPr>
        <w:rPr>
          <w:rFonts w:ascii="Times New Roman" w:hAnsi="Times New Roman" w:cs="Times New Roman"/>
          <w:b/>
          <w:bCs/>
          <w:sz w:val="36"/>
          <w:szCs w:val="36"/>
        </w:rPr>
      </w:pPr>
    </w:p>
    <w:p w14:paraId="6FF245EB">
      <w:pPr>
        <w:rPr>
          <w:rFonts w:ascii="Times New Roman" w:hAnsi="Times New Roman" w:cs="Times New Roman"/>
          <w:b/>
          <w:bCs/>
          <w:sz w:val="36"/>
          <w:szCs w:val="36"/>
        </w:rPr>
      </w:pPr>
    </w:p>
    <w:p w14:paraId="14D8A117">
      <w:pPr>
        <w:rPr>
          <w:rFonts w:ascii="Times New Roman" w:hAnsi="Times New Roman" w:cs="Times New Roman"/>
          <w:b/>
          <w:bCs/>
          <w:sz w:val="36"/>
          <w:szCs w:val="36"/>
        </w:rPr>
      </w:pPr>
      <w:r>
        <w:rPr>
          <w:rFonts w:ascii="Times New Roman" w:hAnsi="Times New Roman" w:cs="Times New Roman"/>
          <w:b/>
          <w:bCs/>
          <w:sz w:val="36"/>
          <w:szCs w:val="36"/>
        </w:rPr>
        <w:t>Comparative Analysis of Machine Learning Models for Predicting Financial Inclusion in East Africa Report</w:t>
      </w:r>
    </w:p>
    <w:p w14:paraId="4D6E4CB9">
      <w:pPr>
        <w:rPr>
          <w:rFonts w:ascii="Times New Roman" w:hAnsi="Times New Roman" w:cs="Times New Roman"/>
          <w:b/>
          <w:bCs/>
          <w:sz w:val="36"/>
          <w:szCs w:val="36"/>
        </w:rPr>
      </w:pPr>
    </w:p>
    <w:p w14:paraId="12165E03">
      <w:pPr>
        <w:rPr>
          <w:rFonts w:ascii="Times New Roman" w:hAnsi="Times New Roman" w:cs="Times New Roman"/>
          <w:b/>
          <w:bCs/>
          <w:sz w:val="28"/>
          <w:szCs w:val="28"/>
        </w:rPr>
      </w:pPr>
      <w:r>
        <w:rPr>
          <w:rFonts w:ascii="Times New Roman" w:hAnsi="Times New Roman" w:cs="Times New Roman"/>
          <w:b/>
          <w:bCs/>
          <w:sz w:val="28"/>
          <w:szCs w:val="28"/>
        </w:rPr>
        <w:t>1. Problem and Dataset Identification</w:t>
      </w:r>
    </w:p>
    <w:p w14:paraId="7AF74753">
      <w:pPr>
        <w:rPr>
          <w:rFonts w:ascii="Times New Roman" w:hAnsi="Times New Roman" w:cs="Times New Roman"/>
          <w:b/>
          <w:bCs/>
        </w:rPr>
      </w:pPr>
      <w:r>
        <w:rPr>
          <w:rFonts w:ascii="Times New Roman" w:hAnsi="Times New Roman" w:cs="Times New Roman"/>
          <w:b/>
          <w:bCs/>
        </w:rPr>
        <w:t>1.1 Machine Learning Application Problem</w:t>
      </w:r>
    </w:p>
    <w:p w14:paraId="7B7840E5">
      <w:pPr>
        <w:rPr>
          <w:rFonts w:ascii="Times New Roman" w:hAnsi="Times New Roman" w:cs="Times New Roman"/>
        </w:rPr>
      </w:pPr>
      <w:r>
        <w:rPr>
          <w:rFonts w:ascii="Times New Roman" w:hAnsi="Times New Roman" w:cs="Times New Roman"/>
        </w:rPr>
        <w:t>Financial inclusion remains a major challenge in many African countries, including Kenya and the wider East African region. Although access to formal financial services has improved over recent years, a significant proportion of the population still does not own a bank account. Identifying individuals who are likely to have access to formal financial services is important for governments, financial institutions, and policymakers in designing interventions that promote inclusive economic growth.</w:t>
      </w:r>
    </w:p>
    <w:p w14:paraId="4F5E9A3C">
      <w:pPr>
        <w:rPr>
          <w:rFonts w:ascii="Times New Roman" w:hAnsi="Times New Roman" w:cs="Times New Roman"/>
        </w:rPr>
      </w:pPr>
      <w:r>
        <w:rPr>
          <w:rFonts w:ascii="Times New Roman" w:hAnsi="Times New Roman" w:cs="Times New Roman"/>
        </w:rPr>
        <w:t>This study addresses the machine learning problem of predicting bank account ownership based on an individual's demographic and socioeconomic characteristics. The task is formulated as a binary classification problem, where the objective is to determine whether a respondent owns a bank account ("Yes") or does not own a bank account ("No").</w:t>
      </w:r>
    </w:p>
    <w:p w14:paraId="1718FF0E">
      <w:pPr>
        <w:rPr>
          <w:rFonts w:ascii="Times New Roman" w:hAnsi="Times New Roman" w:cs="Times New Roman"/>
        </w:rPr>
      </w:pPr>
    </w:p>
    <w:p w14:paraId="24E46CB2">
      <w:pPr>
        <w:rPr>
          <w:rFonts w:ascii="Times New Roman" w:hAnsi="Times New Roman" w:cs="Times New Roman"/>
          <w:b/>
          <w:bCs/>
        </w:rPr>
      </w:pPr>
      <w:r>
        <w:rPr>
          <w:rFonts w:ascii="Times New Roman" w:hAnsi="Times New Roman" w:cs="Times New Roman"/>
          <w:b/>
          <w:bCs/>
        </w:rPr>
        <w:t>1.2 Relevance to Africa</w:t>
      </w:r>
    </w:p>
    <w:p w14:paraId="6A2AB490">
      <w:pPr>
        <w:rPr>
          <w:rFonts w:ascii="Times New Roman" w:hAnsi="Times New Roman" w:cs="Times New Roman"/>
        </w:rPr>
      </w:pPr>
      <w:r>
        <w:rPr>
          <w:rFonts w:ascii="Times New Roman" w:hAnsi="Times New Roman" w:cs="Times New Roman"/>
        </w:rPr>
        <w:t>Financial inclusion remains a key development priority in Africa because it supports poverty reduction, economic growth, entrepreneurship, and improved access to financial services. In East Africa, countries such as Kenya, Uganda, Tanzania, and Rwanda have made considerable progress through mobile money and digital banking innovations, yet a substantial proportion of the population remains financially excluded, particularly in rural areas.</w:t>
      </w:r>
    </w:p>
    <w:p w14:paraId="035DF898">
      <w:pPr>
        <w:rPr>
          <w:rFonts w:ascii="Times New Roman" w:hAnsi="Times New Roman" w:cs="Times New Roman"/>
        </w:rPr>
      </w:pPr>
      <w:r>
        <w:rPr>
          <w:rFonts w:ascii="Times New Roman" w:hAnsi="Times New Roman" w:cs="Times New Roman"/>
        </w:rPr>
        <w:t>Accurately identifying the factors associated with bank account ownership can assist governments, financial institutions, and policymakers in designing targeted interventions that expand access to formal financial services. By applying machine learning techniques to predict financial inclusion, this study contributes to evidence-based decision-making aimed at improving financial access across the East African region.</w:t>
      </w:r>
    </w:p>
    <w:p w14:paraId="31B538E5">
      <w:pPr>
        <w:rPr>
          <w:rFonts w:ascii="Times New Roman" w:hAnsi="Times New Roman" w:cs="Times New Roman"/>
        </w:rPr>
      </w:pPr>
    </w:p>
    <w:p w14:paraId="7B4FD22D">
      <w:pPr>
        <w:rPr>
          <w:rFonts w:ascii="Times New Roman" w:hAnsi="Times New Roman" w:cs="Times New Roman"/>
          <w:b/>
          <w:bCs/>
        </w:rPr>
      </w:pPr>
      <w:r>
        <w:rPr>
          <w:rFonts w:ascii="Times New Roman" w:hAnsi="Times New Roman" w:cs="Times New Roman"/>
          <w:b/>
          <w:bCs/>
        </w:rPr>
        <w:t>1.3 Dataset selection and justification</w:t>
      </w:r>
    </w:p>
    <w:p w14:paraId="2603DFCA">
      <w:pPr>
        <w:rPr>
          <w:rFonts w:ascii="Times New Roman" w:hAnsi="Times New Roman" w:cs="Times New Roman"/>
        </w:rPr>
      </w:pPr>
      <w:r>
        <w:rPr>
          <w:rFonts w:ascii="Times New Roman" w:hAnsi="Times New Roman" w:cs="Times New Roman"/>
        </w:rPr>
        <w:t>The study uses the Financial Inclusion in Africa dataset obtained from Zindi. The dataset contains 23,524 observations(respondents) collected from four East African countries: Kenya, Uganda, Tanzania, and Rwanda- a large enough sample size. The Financial Inclusion in Africa dataset was selected because it directly addresses the problem investigated in this study: predicting bank account ownership using machine learning techniques. It contains demographic and socioeconomic variables such as age, gender, education level, employment status, household size, location type, cellphone access, and marital status, with bank account ownership as the target variable.</w:t>
      </w:r>
    </w:p>
    <w:p w14:paraId="42105CB5">
      <w:pPr>
        <w:rPr>
          <w:rFonts w:ascii="Times New Roman" w:hAnsi="Times New Roman" w:cs="Times New Roman"/>
        </w:rPr>
      </w:pPr>
      <w:r>
        <w:rPr>
          <w:rFonts w:ascii="Times New Roman" w:hAnsi="Times New Roman" w:cs="Times New Roman"/>
        </w:rPr>
        <w:t>, that are known to influence financial inclusion, making it appropriate for developing classification models.</w:t>
      </w:r>
    </w:p>
    <w:p w14:paraId="16EA8A33">
      <w:pPr>
        <w:rPr>
          <w:rFonts w:ascii="Times New Roman" w:hAnsi="Times New Roman" w:cs="Times New Roman"/>
        </w:rPr>
      </w:pPr>
    </w:p>
    <w:p w14:paraId="4A4F5C64">
      <w:pPr>
        <w:rPr>
          <w:rFonts w:ascii="Times New Roman" w:hAnsi="Times New Roman" w:cs="Times New Roman"/>
        </w:rPr>
      </w:pPr>
      <w:r>
        <w:rPr>
          <w:rFonts w:ascii="Times New Roman" w:hAnsi="Times New Roman" w:cs="Times New Roman"/>
        </w:rPr>
        <w:t>Machine Learning Methods:</w:t>
      </w:r>
    </w:p>
    <w:p w14:paraId="61983AE6">
      <w:pPr>
        <w:rPr>
          <w:rFonts w:ascii="Times New Roman" w:hAnsi="Times New Roman" w:cs="Times New Roman"/>
        </w:rPr>
      </w:pPr>
      <w:r>
        <w:rPr>
          <w:rFonts w:ascii="Times New Roman" w:hAnsi="Times New Roman" w:cs="Times New Roman"/>
        </w:rPr>
        <w:t>To evaluate the predictive performance of different classification techniques, four supervised machine learning algorithms were implemented:</w:t>
      </w:r>
    </w:p>
    <w:p w14:paraId="281869D7">
      <w:pPr>
        <w:numPr>
          <w:ilvl w:val="0"/>
          <w:numId w:val="1"/>
        </w:numPr>
        <w:rPr>
          <w:rFonts w:ascii="Times New Roman" w:hAnsi="Times New Roman" w:cs="Times New Roman"/>
        </w:rPr>
      </w:pPr>
      <w:r>
        <w:rPr>
          <w:rFonts w:ascii="Times New Roman" w:hAnsi="Times New Roman" w:cs="Times New Roman"/>
        </w:rPr>
        <w:t xml:space="preserve">K-Nearest Neighbors (KNN) </w:t>
      </w:r>
    </w:p>
    <w:p w14:paraId="4BA1203E">
      <w:pPr>
        <w:numPr>
          <w:ilvl w:val="0"/>
          <w:numId w:val="1"/>
        </w:numPr>
        <w:rPr>
          <w:rFonts w:ascii="Times New Roman" w:hAnsi="Times New Roman" w:cs="Times New Roman"/>
        </w:rPr>
      </w:pPr>
      <w:r>
        <w:rPr>
          <w:rFonts w:ascii="Times New Roman" w:hAnsi="Times New Roman" w:cs="Times New Roman"/>
        </w:rPr>
        <w:t xml:space="preserve">Decision Tree (DT) </w:t>
      </w:r>
    </w:p>
    <w:p w14:paraId="7F5EBAC5">
      <w:pPr>
        <w:numPr>
          <w:ilvl w:val="0"/>
          <w:numId w:val="1"/>
        </w:numPr>
        <w:rPr>
          <w:rFonts w:ascii="Times New Roman" w:hAnsi="Times New Roman" w:cs="Times New Roman"/>
        </w:rPr>
      </w:pPr>
      <w:r>
        <w:rPr>
          <w:rFonts w:ascii="Times New Roman" w:hAnsi="Times New Roman" w:cs="Times New Roman"/>
        </w:rPr>
        <w:t xml:space="preserve">Support Vector Machine (SVM) </w:t>
      </w:r>
    </w:p>
    <w:p w14:paraId="70300602">
      <w:pPr>
        <w:numPr>
          <w:ilvl w:val="0"/>
          <w:numId w:val="1"/>
        </w:numPr>
        <w:rPr>
          <w:rFonts w:ascii="Times New Roman" w:hAnsi="Times New Roman" w:cs="Times New Roman"/>
        </w:rPr>
      </w:pPr>
      <w:r>
        <w:rPr>
          <w:rFonts w:ascii="Times New Roman" w:hAnsi="Times New Roman" w:cs="Times New Roman"/>
        </w:rPr>
        <w:t xml:space="preserve">Artificial Neural Network (ANN) </w:t>
      </w:r>
    </w:p>
    <w:p w14:paraId="6F02D853">
      <w:pPr>
        <w:rPr>
          <w:rFonts w:ascii="Times New Roman" w:hAnsi="Times New Roman" w:cs="Times New Roman"/>
        </w:rPr>
      </w:pPr>
      <w:r>
        <w:rPr>
          <w:rFonts w:ascii="Times New Roman" w:hAnsi="Times New Roman" w:cs="Times New Roman"/>
        </w:rPr>
        <w:t>The four models were implemented using Python and evaluated using Stratified 2-Fold Cross-Validation. Model performance was assessed using Accuracy, Precision, Recall, and F1-Score to provide a comprehensive comparison of their predictive capabilities.</w:t>
      </w:r>
    </w:p>
    <w:p w14:paraId="2241B88A">
      <w:pPr>
        <w:rPr>
          <w:rFonts w:ascii="Times New Roman" w:hAnsi="Times New Roman" w:cs="Times New Roman"/>
        </w:rPr>
      </w:pPr>
      <w:r>
        <w:rPr>
          <w:rFonts w:ascii="Times New Roman" w:hAnsi="Times New Roman" w:cs="Times New Roman"/>
        </w:rPr>
        <w:br w:type="page"/>
      </w:r>
    </w:p>
    <w:p w14:paraId="232ABB08">
      <w:pPr>
        <w:rPr>
          <w:rFonts w:ascii="Times New Roman" w:hAnsi="Times New Roman" w:cs="Times New Roman"/>
          <w:sz w:val="28"/>
          <w:szCs w:val="28"/>
        </w:rPr>
      </w:pPr>
      <w:r>
        <w:rPr>
          <w:rFonts w:ascii="Times New Roman" w:hAnsi="Times New Roman" w:cs="Times New Roman"/>
          <w:b/>
          <w:bCs/>
          <w:sz w:val="28"/>
          <w:szCs w:val="28"/>
        </w:rPr>
        <w:t>2. Related Work</w:t>
      </w:r>
    </w:p>
    <w:p w14:paraId="3955D8AE">
      <w:pPr>
        <w:rPr>
          <w:rFonts w:ascii="Times New Roman" w:hAnsi="Times New Roman" w:cs="Times New Roman"/>
        </w:rPr>
      </w:pPr>
      <w:r>
        <w:rPr>
          <w:rFonts w:ascii="Times New Roman" w:hAnsi="Times New Roman" w:cs="Times New Roman"/>
        </w:rPr>
        <w:t>Financial inclusion has attracted significant research attention because of its contribution to economic development, poverty reduction, and improved living standards. Access to formal financial services enables individuals to save securely, obtain credit, make digital payments, and participate more effectively in economic activities. As financial services become increasingly digitized, researchers have explored the use of artificial intelligence and machine learning to understand and predict financial inclusion using demographic, economic, and social characteristics.</w:t>
      </w:r>
    </w:p>
    <w:p w14:paraId="2D665C96">
      <w:pPr>
        <w:rPr>
          <w:rFonts w:ascii="Times New Roman" w:hAnsi="Times New Roman" w:cs="Times New Roman"/>
        </w:rPr>
      </w:pPr>
      <w:r>
        <w:rPr>
          <w:rFonts w:ascii="Times New Roman" w:hAnsi="Times New Roman" w:cs="Times New Roman"/>
        </w:rPr>
        <w:t>Ismail et al. (2021) investigated the use of machine learning algorithms to predict financial inclusion in Africa using the Financial Inclusion in Africa dataset obtained from Zindi. The study compared several supervised learning algorithms, including Decision Tree (DT), K-Nearest Neighbors (KNN), Support Vector Machine (SVM), Random Forest, Gradient Boosting, and Extreme Gradient Boosting (XGBoost). The results showed that XGBoost achieved the highest prediction accuracy of approximately 89.23%, outperforming the other models. The authors concluded that machine learning techniques can effectively identify individuals who are likely to own bank accounts and can assist policymakers and financial institutions in improving financial inclusion.</w:t>
      </w:r>
    </w:p>
    <w:p w14:paraId="4AFAA402">
      <w:pPr>
        <w:rPr>
          <w:rFonts w:ascii="Times New Roman" w:hAnsi="Times New Roman" w:cs="Times New Roman"/>
        </w:rPr>
      </w:pPr>
      <w:r>
        <w:rPr>
          <w:rFonts w:ascii="Times New Roman" w:hAnsi="Times New Roman" w:cs="Times New Roman"/>
        </w:rPr>
        <w:t>Adesanya and Emilia (2025) examined the application of artificial intelligence in promoting financial inclusion in selected East African countries. The study explored how AI-driven analytical techniques can support the identification of factors influencing access to formal financial services and improve decision-making within the financial sector. The authors concluded that artificial intelligence has considerable potential to enhance financial inclusion by supporting evidence-based policies and expanding access to financial services for underserved populations.</w:t>
      </w:r>
    </w:p>
    <w:p w14:paraId="0C72BF70">
      <w:pPr>
        <w:rPr>
          <w:rFonts w:ascii="Times New Roman" w:hAnsi="Times New Roman" w:cs="Times New Roman"/>
        </w:rPr>
      </w:pPr>
      <w:r>
        <w:rPr>
          <w:rFonts w:ascii="Times New Roman" w:hAnsi="Times New Roman" w:cs="Times New Roman"/>
        </w:rPr>
        <w:t>The Afrobarometer Policy Paper (2025) examined bank account ownership across thirty-five African countries using survey data. The report found that individuals with higher levels of education, formal employment, urban residence, and mobile phone ownership were more likely to own bank accounts than those without these characteristics. The report further emphasized the growing role of digital financial services and mobile technology in expanding financial inclusion across Africa and highlighted the need for policies that reduce barriers to accessing formal financial services.</w:t>
      </w:r>
    </w:p>
    <w:p w14:paraId="2926F5F1">
      <w:pPr>
        <w:rPr>
          <w:rFonts w:ascii="Times New Roman" w:hAnsi="Times New Roman" w:cs="Times New Roman"/>
        </w:rPr>
      </w:pPr>
      <w:r>
        <w:rPr>
          <w:rFonts w:ascii="Times New Roman" w:hAnsi="Times New Roman" w:cs="Times New Roman"/>
        </w:rPr>
        <w:t>Wale and Makina (2017) investigated the determinants of account ownership and the use of financial services among individuals in selected Sub-Saharan African economies. Their findings showed that socioeconomic factors such as income, education, employment status, age, and place of residence significantly influence access to formal financial services. The study emphasized that improving financial inclusion requires policies that address socioeconomic inequalities while expanding access to affordable financial services for disadvantaged populations.</w:t>
      </w:r>
    </w:p>
    <w:p w14:paraId="56B5F89D">
      <w:pPr>
        <w:rPr>
          <w:rFonts w:ascii="Times New Roman" w:hAnsi="Times New Roman" w:cs="Times New Roman"/>
        </w:rPr>
      </w:pPr>
      <w:r>
        <w:rPr>
          <w:rFonts w:ascii="Times New Roman" w:hAnsi="Times New Roman" w:cs="Times New Roman"/>
        </w:rPr>
        <w:t>Although previous studies have demonstrated the usefulness of artificial intelligence and machine learning in analysing financial inclusion, most have focused on comparing many algorithms or identifying the best-performing predictive model. The present study narrows the comparison to four supervised machine learning algorithms: K-Nearest Neighbors (KNN), Decision Tree (DT), Support Vector Machine (SVM), and Artificial Neural Network (ANN), using the Financial Inclusion in Africa dataset. In addition, the study employs 2-fold stratified cross-validation to evaluate model performance, providing a fair and consistent comparison.</w:t>
      </w:r>
    </w:p>
    <w:p w14:paraId="4130C68C">
      <w:pPr>
        <w:rPr>
          <w:rFonts w:ascii="Times New Roman" w:hAnsi="Times New Roman" w:cs="Times New Roman"/>
        </w:rPr>
      </w:pPr>
    </w:p>
    <w:p w14:paraId="073DB298">
      <w:pPr>
        <w:rPr>
          <w:rFonts w:ascii="Times New Roman" w:hAnsi="Times New Roman" w:cs="Times New Roman"/>
          <w:b/>
          <w:bCs/>
        </w:rPr>
      </w:pPr>
      <w:r>
        <w:rPr>
          <w:rFonts w:ascii="Times New Roman" w:hAnsi="Times New Roman" w:cs="Times New Roman"/>
          <w:b/>
          <w:bCs/>
        </w:rPr>
        <w:t xml:space="preserve">References </w:t>
      </w:r>
    </w:p>
    <w:p w14:paraId="05A26E6B">
      <w:pPr>
        <w:rPr>
          <w:rFonts w:ascii="Times New Roman" w:hAnsi="Times New Roman" w:cs="Times New Roman"/>
        </w:rPr>
      </w:pPr>
      <w:r>
        <w:rPr>
          <w:rFonts w:ascii="Times New Roman" w:hAnsi="Times New Roman" w:cs="Times New Roman"/>
          <w:b/>
          <w:bCs/>
        </w:rPr>
        <w:t>Adesanya, A. O., &amp; Emilia, V. Y. (2025).</w:t>
      </w:r>
      <w:r>
        <w:rPr>
          <w:rFonts w:ascii="Times New Roman" w:hAnsi="Times New Roman" w:cs="Times New Roman"/>
        </w:rPr>
        <w:t xml:space="preserve"> Artificial intelligence and financial inclusion in selected East African countries. </w:t>
      </w:r>
      <w:r>
        <w:rPr>
          <w:rFonts w:ascii="Times New Roman" w:hAnsi="Times New Roman" w:cs="Times New Roman"/>
          <w:i/>
          <w:iCs/>
        </w:rPr>
        <w:t>Journal of the Management Sciences, 62</w:t>
      </w:r>
      <w:r>
        <w:rPr>
          <w:rFonts w:ascii="Times New Roman" w:hAnsi="Times New Roman" w:cs="Times New Roman"/>
        </w:rPr>
        <w:t xml:space="preserve">(2), 202–221. </w:t>
      </w:r>
      <w:r>
        <w:fldChar w:fldCharType="begin"/>
      </w:r>
      <w:r>
        <w:instrText xml:space="preserve"> HYPERLINK "https://journals.unizik.edu.ng/jfms/article/view/7292" \t "_new" </w:instrText>
      </w:r>
      <w:r>
        <w:fldChar w:fldCharType="separate"/>
      </w:r>
      <w:r>
        <w:rPr>
          <w:rStyle w:val="13"/>
          <w:rFonts w:ascii="Times New Roman" w:hAnsi="Times New Roman" w:cs="Times New Roman"/>
        </w:rPr>
        <w:t>https://journals.unizik.edu.ng/jfms/article/view/7292</w:t>
      </w:r>
      <w:r>
        <w:rPr>
          <w:rStyle w:val="13"/>
          <w:rFonts w:ascii="Times New Roman" w:hAnsi="Times New Roman" w:cs="Times New Roman"/>
        </w:rPr>
        <w:fldChar w:fldCharType="end"/>
      </w:r>
    </w:p>
    <w:p w14:paraId="1BC4BB6C">
      <w:pPr>
        <w:rPr>
          <w:rFonts w:ascii="Times New Roman" w:hAnsi="Times New Roman" w:cs="Times New Roman"/>
        </w:rPr>
      </w:pPr>
      <w:r>
        <w:rPr>
          <w:rFonts w:ascii="Times New Roman" w:hAnsi="Times New Roman" w:cs="Times New Roman"/>
        </w:rPr>
        <w:t xml:space="preserve">Afrobarometer. (2025). </w:t>
      </w:r>
      <w:r>
        <w:rPr>
          <w:rFonts w:ascii="Times New Roman" w:hAnsi="Times New Roman" w:cs="Times New Roman"/>
          <w:i/>
          <w:iCs/>
        </w:rPr>
        <w:t>Who owns a bank account in Africa? Predictors of financial access and implications for domestic capital mobilisation</w:t>
      </w:r>
      <w:r>
        <w:rPr>
          <w:rFonts w:ascii="Times New Roman" w:hAnsi="Times New Roman" w:cs="Times New Roman"/>
        </w:rPr>
        <w:t xml:space="preserve"> (Policy Paper No. 99).</w:t>
      </w:r>
    </w:p>
    <w:p w14:paraId="6556F154">
      <w:pPr>
        <w:rPr>
          <w:rFonts w:ascii="Times New Roman" w:hAnsi="Times New Roman" w:cs="Times New Roman"/>
        </w:rPr>
      </w:pPr>
      <w:r>
        <w:rPr>
          <w:rFonts w:ascii="Times New Roman" w:hAnsi="Times New Roman" w:cs="Times New Roman"/>
        </w:rPr>
        <w:t xml:space="preserve">Ismail, M., Almazmomi, N., Al-Bahadili, H., &amp; Al-Obeidat, F. (2021). </w:t>
      </w:r>
      <w:r>
        <w:rPr>
          <w:rFonts w:ascii="Times New Roman" w:hAnsi="Times New Roman" w:cs="Times New Roman"/>
          <w:i/>
          <w:iCs/>
        </w:rPr>
        <w:t>Using machine learning algorithms to predict the state of financial inclusion in Africa</w:t>
      </w:r>
      <w:r>
        <w:rPr>
          <w:rFonts w:ascii="Times New Roman" w:hAnsi="Times New Roman" w:cs="Times New Roman"/>
        </w:rPr>
        <w:t xml:space="preserve">. In </w:t>
      </w:r>
      <w:r>
        <w:rPr>
          <w:rFonts w:ascii="Times New Roman" w:hAnsi="Times New Roman" w:cs="Times New Roman"/>
          <w:i/>
          <w:iCs/>
        </w:rPr>
        <w:t>Proceedings of the 12th International Conference on Information and Communication Systems (ICICS 2021)</w:t>
      </w:r>
      <w:r>
        <w:rPr>
          <w:rFonts w:ascii="Times New Roman" w:hAnsi="Times New Roman" w:cs="Times New Roman"/>
        </w:rPr>
        <w:t xml:space="preserve"> (pp. 373–378). IEEE.</w:t>
      </w:r>
    </w:p>
    <w:p w14:paraId="585ABDA8">
      <w:pPr>
        <w:rPr>
          <w:rFonts w:ascii="Times New Roman" w:hAnsi="Times New Roman" w:cs="Times New Roman"/>
        </w:rPr>
      </w:pPr>
      <w:r>
        <w:rPr>
          <w:rFonts w:ascii="Times New Roman" w:hAnsi="Times New Roman" w:cs="Times New Roman"/>
        </w:rPr>
        <w:t xml:space="preserve">Wale, L. E., &amp; Makina, D. (2017). </w:t>
      </w:r>
      <w:r>
        <w:rPr>
          <w:rFonts w:ascii="Times New Roman" w:hAnsi="Times New Roman" w:cs="Times New Roman"/>
          <w:i/>
          <w:iCs/>
        </w:rPr>
        <w:t>Account ownership and use of financial services among individuals: Evidence from selected Sub-Saharan African economies</w:t>
      </w:r>
      <w:r>
        <w:rPr>
          <w:rFonts w:ascii="Times New Roman" w:hAnsi="Times New Roman" w:cs="Times New Roman"/>
        </w:rPr>
        <w:t xml:space="preserve">. </w:t>
      </w:r>
      <w:r>
        <w:rPr>
          <w:rFonts w:ascii="Times New Roman" w:hAnsi="Times New Roman" w:cs="Times New Roman"/>
          <w:i/>
          <w:iCs/>
        </w:rPr>
        <w:t>African Journal of Economic and Management Studies, 8</w:t>
      </w:r>
      <w:r>
        <w:rPr>
          <w:rFonts w:ascii="Times New Roman" w:hAnsi="Times New Roman" w:cs="Times New Roman"/>
        </w:rPr>
        <w:t xml:space="preserve">(1), 19–35. </w:t>
      </w:r>
      <w:r>
        <w:fldChar w:fldCharType="begin"/>
      </w:r>
      <w:r>
        <w:instrText xml:space="preserve"> HYPERLINK "https://doi.org/10.1108/AJEMS-03-2017-146" </w:instrText>
      </w:r>
      <w:r>
        <w:fldChar w:fldCharType="separate"/>
      </w:r>
      <w:r>
        <w:rPr>
          <w:rStyle w:val="13"/>
          <w:rFonts w:ascii="Times New Roman" w:hAnsi="Times New Roman" w:cs="Times New Roman"/>
        </w:rPr>
        <w:t>https://doi.org/10.1108/AJEMS-03-2017-146</w:t>
      </w:r>
      <w:r>
        <w:rPr>
          <w:rStyle w:val="13"/>
          <w:rFonts w:ascii="Times New Roman" w:hAnsi="Times New Roman" w:cs="Times New Roman"/>
        </w:rPr>
        <w:fldChar w:fldCharType="end"/>
      </w:r>
    </w:p>
    <w:p w14:paraId="7D5647EC">
      <w:pPr>
        <w:rPr>
          <w:rFonts w:ascii="Times New Roman" w:hAnsi="Times New Roman" w:cs="Times New Roman"/>
        </w:rPr>
      </w:pPr>
      <w:r>
        <w:rPr>
          <w:rFonts w:ascii="Times New Roman" w:hAnsi="Times New Roman" w:cs="Times New Roman"/>
        </w:rPr>
        <w:br w:type="page"/>
      </w:r>
    </w:p>
    <w:p w14:paraId="636AF117">
      <w:pPr>
        <w:rPr>
          <w:rFonts w:ascii="Times New Roman" w:hAnsi="Times New Roman" w:cs="Times New Roman"/>
        </w:rPr>
      </w:pPr>
      <w:r>
        <w:rPr>
          <w:rFonts w:ascii="Times New Roman" w:hAnsi="Times New Roman" w:cs="Times New Roman"/>
          <w:b/>
          <w:bCs/>
          <w:sz w:val="28"/>
          <w:szCs w:val="28"/>
        </w:rPr>
        <w:t>3. Training Data Construction</w:t>
      </w:r>
    </w:p>
    <w:p w14:paraId="18AFEC87">
      <w:pPr>
        <w:rPr>
          <w:rFonts w:ascii="Times New Roman" w:hAnsi="Times New Roman" w:cs="Times New Roman"/>
          <w:b/>
          <w:bCs/>
        </w:rPr>
      </w:pPr>
      <w:r>
        <w:rPr>
          <w:rFonts w:ascii="Times New Roman" w:hAnsi="Times New Roman" w:cs="Times New Roman"/>
          <w:b/>
          <w:bCs/>
        </w:rPr>
        <w:t>3.1 Dataset Overview</w:t>
      </w:r>
    </w:p>
    <w:p w14:paraId="3011C379">
      <w:pPr>
        <w:rPr>
          <w:rFonts w:ascii="Times New Roman" w:hAnsi="Times New Roman" w:cs="Times New Roman"/>
        </w:rPr>
      </w:pPr>
      <w:r>
        <w:rPr>
          <w:rFonts w:ascii="Times New Roman" w:hAnsi="Times New Roman" w:cs="Times New Roman"/>
        </w:rPr>
        <w:t xml:space="preserve">The Financial Inclusion in Africa dataset was obtained from Zindi and consists of </w:t>
      </w:r>
      <w:r>
        <w:rPr>
          <w:rFonts w:ascii="Times New Roman" w:hAnsi="Times New Roman" w:cs="Times New Roman"/>
          <w:b/>
          <w:bCs/>
        </w:rPr>
        <w:t>23,524 observations</w:t>
      </w:r>
      <w:r>
        <w:rPr>
          <w:rFonts w:ascii="Times New Roman" w:hAnsi="Times New Roman" w:cs="Times New Roman"/>
        </w:rPr>
        <w:t xml:space="preserve"> collected from four East African countries: </w:t>
      </w:r>
      <w:r>
        <w:rPr>
          <w:rFonts w:ascii="Times New Roman" w:hAnsi="Times New Roman" w:cs="Times New Roman"/>
          <w:b/>
          <w:bCs/>
        </w:rPr>
        <w:t>Kenya, Uganda, Tanzania, and Rwanda</w:t>
      </w:r>
      <w:r>
        <w:rPr>
          <w:rFonts w:ascii="Times New Roman" w:hAnsi="Times New Roman" w:cs="Times New Roman"/>
        </w:rPr>
        <w:t xml:space="preserve">. The dataset contains demographic and socioeconomic information about individuals, with the objective of predicting whether a respondent owns a bank account. The target variable is bank_account, which has two classes: </w:t>
      </w:r>
      <w:r>
        <w:rPr>
          <w:rFonts w:ascii="Times New Roman" w:hAnsi="Times New Roman" w:cs="Times New Roman"/>
          <w:b/>
          <w:bCs/>
        </w:rPr>
        <w:t>Yes</w:t>
      </w:r>
      <w:r>
        <w:rPr>
          <w:rFonts w:ascii="Times New Roman" w:hAnsi="Times New Roman" w:cs="Times New Roman"/>
        </w:rPr>
        <w:t xml:space="preserve"> and </w:t>
      </w:r>
      <w:r>
        <w:rPr>
          <w:rFonts w:ascii="Times New Roman" w:hAnsi="Times New Roman" w:cs="Times New Roman"/>
          <w:b/>
          <w:bCs/>
        </w:rPr>
        <w:t>No</w:t>
      </w:r>
      <w:r>
        <w:rPr>
          <w:rFonts w:ascii="Times New Roman" w:hAnsi="Times New Roman" w:cs="Times New Roman"/>
        </w:rPr>
        <w:t>.</w:t>
      </w:r>
    </w:p>
    <w:p w14:paraId="3484B6EC">
      <w:pPr>
        <w:rPr>
          <w:rFonts w:ascii="Times New Roman" w:hAnsi="Times New Roman" w:cs="Times New Roman"/>
        </w:rPr>
      </w:pPr>
      <w:r>
        <w:rPr>
          <w:rFonts w:ascii="Times New Roman" w:hAnsi="Times New Roman" w:cs="Times New Roman"/>
        </w:rPr>
        <w:t>The predictor variables include country, year of survey, location type, cellphone access, household size, age of respondent, gender, relationship with the household head, marital status, education level, and job type.</w:t>
      </w:r>
    </w:p>
    <w:p w14:paraId="626A5DE3">
      <w:pPr>
        <w:rPr>
          <w:rFonts w:ascii="Times New Roman" w:hAnsi="Times New Roman" w:cs="Times New Roman"/>
        </w:rPr>
      </w:pPr>
    </w:p>
    <w:p w14:paraId="25A0CBB9">
      <w:pPr>
        <w:rPr>
          <w:rFonts w:ascii="Times New Roman" w:hAnsi="Times New Roman" w:cs="Times New Roman"/>
          <w:b/>
          <w:bCs/>
        </w:rPr>
      </w:pPr>
      <w:r>
        <w:rPr>
          <w:rFonts w:ascii="Times New Roman" w:hAnsi="Times New Roman" w:cs="Times New Roman"/>
          <w:b/>
          <w:bCs/>
        </w:rPr>
        <w:t>3.2 Data Exploration</w:t>
      </w:r>
    </w:p>
    <w:p w14:paraId="24B42E28">
      <w:pPr>
        <w:rPr>
          <w:rFonts w:ascii="Times New Roman" w:hAnsi="Times New Roman" w:cs="Times New Roman"/>
        </w:rPr>
      </w:pPr>
      <w:r>
        <w:rPr>
          <w:rFonts w:ascii="Times New Roman" w:hAnsi="Times New Roman" w:cs="Times New Roman"/>
        </w:rPr>
        <w:t xml:space="preserve">Before model development, the dataset was explored to understand its structure and quality. The dataset contained </w:t>
      </w:r>
      <w:r>
        <w:rPr>
          <w:rFonts w:ascii="Times New Roman" w:hAnsi="Times New Roman" w:cs="Times New Roman"/>
          <w:b/>
          <w:bCs/>
        </w:rPr>
        <w:t>13 variables</w:t>
      </w:r>
      <w:r>
        <w:rPr>
          <w:rFonts w:ascii="Times New Roman" w:hAnsi="Times New Roman" w:cs="Times New Roman"/>
        </w:rPr>
        <w:t xml:space="preserve">, comprising </w:t>
      </w:r>
      <w:r>
        <w:rPr>
          <w:rFonts w:ascii="Times New Roman" w:hAnsi="Times New Roman" w:cs="Times New Roman"/>
          <w:b/>
          <w:bCs/>
        </w:rPr>
        <w:t>10 categorical variables</w:t>
      </w:r>
      <w:r>
        <w:rPr>
          <w:rFonts w:ascii="Times New Roman" w:hAnsi="Times New Roman" w:cs="Times New Roman"/>
        </w:rPr>
        <w:t xml:space="preserve"> and </w:t>
      </w:r>
      <w:r>
        <w:rPr>
          <w:rFonts w:ascii="Times New Roman" w:hAnsi="Times New Roman" w:cs="Times New Roman"/>
          <w:b/>
          <w:bCs/>
        </w:rPr>
        <w:t>3 numerical variables</w:t>
      </w:r>
      <w:r>
        <w:rPr>
          <w:rFonts w:ascii="Times New Roman" w:hAnsi="Times New Roman" w:cs="Times New Roman"/>
        </w:rPr>
        <w:t xml:space="preserve">. Data exploration confirmed that there were </w:t>
      </w:r>
      <w:r>
        <w:rPr>
          <w:rFonts w:ascii="Times New Roman" w:hAnsi="Times New Roman" w:cs="Times New Roman"/>
          <w:b/>
          <w:bCs/>
        </w:rPr>
        <w:t>23,524 complete observations with no missing values</w:t>
      </w:r>
      <w:r>
        <w:rPr>
          <w:rFonts w:ascii="Times New Roman" w:hAnsi="Times New Roman" w:cs="Times New Roman"/>
        </w:rPr>
        <w:t>, eliminating the need for data imputation.</w:t>
      </w:r>
    </w:p>
    <w:p w14:paraId="2F5B85FB">
      <w:pPr>
        <w:rPr>
          <w:rFonts w:ascii="Times New Roman" w:hAnsi="Times New Roman" w:cs="Times New Roman"/>
        </w:rPr>
      </w:pPr>
      <w:r>
        <w:rPr>
          <w:rFonts w:ascii="Times New Roman" w:hAnsi="Times New Roman" w:cs="Times New Roman"/>
        </w:rPr>
        <w:t>Descriptive statistics and frequency distributions were generated to understand the characteristics of the respondents. The analysis revealed that approximately 86% of respondents did not own a bank account, while 14% owned a bank account, indicating that the dataset was imbalanced.</w:t>
      </w:r>
    </w:p>
    <w:p w14:paraId="652FB2AB">
      <w:pPr>
        <w:rPr>
          <w:rFonts w:ascii="Times New Roman" w:hAnsi="Times New Roman" w:cs="Times New Roman"/>
        </w:rPr>
      </w:pPr>
    </w:p>
    <w:p w14:paraId="71E624B5">
      <w:pPr>
        <w:rPr>
          <w:rFonts w:ascii="Times New Roman" w:hAnsi="Times New Roman" w:cs="Times New Roman"/>
          <w:b/>
          <w:bCs/>
        </w:rPr>
      </w:pPr>
      <w:r>
        <w:rPr>
          <w:rFonts w:ascii="Times New Roman" w:hAnsi="Times New Roman" w:cs="Times New Roman"/>
          <w:b/>
          <w:bCs/>
        </w:rPr>
        <w:t>3.3 Data Cleaning</w:t>
      </w:r>
    </w:p>
    <w:p w14:paraId="251B24BF">
      <w:pPr>
        <w:rPr>
          <w:rFonts w:ascii="Times New Roman" w:hAnsi="Times New Roman" w:cs="Times New Roman"/>
        </w:rPr>
      </w:pPr>
      <w:r>
        <w:rPr>
          <w:rFonts w:ascii="Times New Roman" w:hAnsi="Times New Roman" w:cs="Times New Roman"/>
        </w:rPr>
        <w:t>Data cleaning involved removing variables that did not contribute to prediction.</w:t>
      </w:r>
    </w:p>
    <w:p w14:paraId="1D5D89EE">
      <w:pPr>
        <w:rPr>
          <w:rFonts w:ascii="Times New Roman" w:hAnsi="Times New Roman" w:cs="Times New Roman"/>
        </w:rPr>
      </w:pPr>
      <w:r>
        <w:rPr>
          <w:rFonts w:ascii="Times New Roman" w:hAnsi="Times New Roman" w:cs="Times New Roman"/>
        </w:rPr>
        <w:t>The uniqueid variable was removed because it serves only as an identifier for each respondent and contains no predictive information. Retaining this variable would increase model complexity without improving predictive performance.</w:t>
      </w:r>
    </w:p>
    <w:p w14:paraId="2881416F">
      <w:pPr>
        <w:rPr>
          <w:rFonts w:ascii="Times New Roman" w:hAnsi="Times New Roman" w:cs="Times New Roman"/>
        </w:rPr>
      </w:pPr>
      <w:r>
        <w:rPr>
          <w:rFonts w:ascii="Times New Roman" w:hAnsi="Times New Roman" w:cs="Times New Roman"/>
        </w:rPr>
        <w:t>No records were removed since the dataset contained no missing values or duplicate observations.</w:t>
      </w:r>
    </w:p>
    <w:p w14:paraId="01B80E3A">
      <w:pPr>
        <w:rPr>
          <w:rFonts w:ascii="Times New Roman" w:hAnsi="Times New Roman" w:cs="Times New Roman"/>
        </w:rPr>
      </w:pPr>
    </w:p>
    <w:p w14:paraId="0D0684D1">
      <w:pPr>
        <w:rPr>
          <w:rFonts w:ascii="Times New Roman" w:hAnsi="Times New Roman" w:cs="Times New Roman"/>
          <w:b/>
          <w:bCs/>
        </w:rPr>
      </w:pPr>
      <w:r>
        <w:rPr>
          <w:rFonts w:ascii="Times New Roman" w:hAnsi="Times New Roman" w:cs="Times New Roman"/>
          <w:b/>
          <w:bCs/>
        </w:rPr>
        <w:t>3.4 Feature Engineering and Encoding</w:t>
      </w:r>
    </w:p>
    <w:p w14:paraId="4E21ECD1">
      <w:pPr>
        <w:rPr>
          <w:rFonts w:ascii="Times New Roman" w:hAnsi="Times New Roman" w:cs="Times New Roman"/>
        </w:rPr>
      </w:pPr>
      <w:r>
        <w:rPr>
          <w:rFonts w:ascii="Times New Roman" w:hAnsi="Times New Roman" w:cs="Times New Roman"/>
        </w:rPr>
        <w:t>The dataset contained several categorical variables that could not be processed directly by machine learning algorithms. Therefore, preprocessing techniques were applied to convert categorical information into numerical form.</w:t>
      </w:r>
    </w:p>
    <w:p w14:paraId="0686E2D0">
      <w:pPr>
        <w:rPr>
          <w:rFonts w:ascii="Times New Roman" w:hAnsi="Times New Roman" w:cs="Times New Roman"/>
        </w:rPr>
      </w:pPr>
      <w:r>
        <w:rPr>
          <w:rFonts w:ascii="Times New Roman" w:hAnsi="Times New Roman" w:cs="Times New Roman"/>
        </w:rPr>
        <w:t>The target variable (bank_account) was encoded into binary values:</w:t>
      </w:r>
    </w:p>
    <w:p w14:paraId="7FB80865">
      <w:pPr>
        <w:numPr>
          <w:ilvl w:val="0"/>
          <w:numId w:val="2"/>
        </w:numPr>
        <w:rPr>
          <w:rFonts w:ascii="Times New Roman" w:hAnsi="Times New Roman" w:cs="Times New Roman"/>
        </w:rPr>
      </w:pPr>
      <w:r>
        <w:rPr>
          <w:rFonts w:ascii="Times New Roman" w:hAnsi="Times New Roman" w:cs="Times New Roman"/>
          <w:b/>
          <w:bCs/>
        </w:rPr>
        <w:t>No = 0</w:t>
      </w:r>
      <w:r>
        <w:rPr>
          <w:rFonts w:ascii="Times New Roman" w:hAnsi="Times New Roman" w:cs="Times New Roman"/>
        </w:rPr>
        <w:t xml:space="preserve"> </w:t>
      </w:r>
    </w:p>
    <w:p w14:paraId="52270BCB">
      <w:pPr>
        <w:numPr>
          <w:ilvl w:val="0"/>
          <w:numId w:val="2"/>
        </w:numPr>
        <w:rPr>
          <w:rFonts w:ascii="Times New Roman" w:hAnsi="Times New Roman" w:cs="Times New Roman"/>
        </w:rPr>
      </w:pPr>
      <w:r>
        <w:rPr>
          <w:rFonts w:ascii="Times New Roman" w:hAnsi="Times New Roman" w:cs="Times New Roman"/>
          <w:b/>
          <w:bCs/>
        </w:rPr>
        <w:t>Yes = 1</w:t>
      </w:r>
      <w:r>
        <w:rPr>
          <w:rFonts w:ascii="Times New Roman" w:hAnsi="Times New Roman" w:cs="Times New Roman"/>
        </w:rPr>
        <w:t xml:space="preserve"> </w:t>
      </w:r>
    </w:p>
    <w:p w14:paraId="3EFC4363">
      <w:pPr>
        <w:rPr>
          <w:rFonts w:ascii="Times New Roman" w:hAnsi="Times New Roman" w:cs="Times New Roman"/>
        </w:rPr>
      </w:pPr>
      <w:r>
        <w:rPr>
          <w:rFonts w:ascii="Times New Roman" w:hAnsi="Times New Roman" w:cs="Times New Roman"/>
        </w:rPr>
        <w:t>All categorical predictor variables were transformed using One-Hot Encoding. This approach converts each category into separate binary variables while avoiding the introduction of artificial ordinal relationships between categories.</w:t>
      </w:r>
    </w:p>
    <w:p w14:paraId="6EB2023B">
      <w:pPr>
        <w:rPr>
          <w:rFonts w:ascii="Times New Roman" w:hAnsi="Times New Roman" w:cs="Times New Roman"/>
        </w:rPr>
      </w:pPr>
    </w:p>
    <w:p w14:paraId="3E0C8666">
      <w:pPr>
        <w:rPr>
          <w:rFonts w:ascii="Times New Roman" w:hAnsi="Times New Roman" w:cs="Times New Roman"/>
          <w:b/>
          <w:bCs/>
        </w:rPr>
      </w:pPr>
      <w:r>
        <w:rPr>
          <w:rFonts w:ascii="Times New Roman" w:hAnsi="Times New Roman" w:cs="Times New Roman"/>
          <w:b/>
          <w:bCs/>
        </w:rPr>
        <w:t>3.5 Feature Scaling</w:t>
      </w:r>
    </w:p>
    <w:p w14:paraId="018CBF5D">
      <w:pPr>
        <w:rPr>
          <w:rFonts w:ascii="Times New Roman" w:hAnsi="Times New Roman" w:cs="Times New Roman"/>
        </w:rPr>
      </w:pPr>
      <w:r>
        <w:rPr>
          <w:rFonts w:ascii="Times New Roman" w:hAnsi="Times New Roman" w:cs="Times New Roman"/>
        </w:rPr>
        <w:t>The numerical variables:</w:t>
      </w:r>
    </w:p>
    <w:p w14:paraId="0F961121">
      <w:pPr>
        <w:numPr>
          <w:ilvl w:val="0"/>
          <w:numId w:val="3"/>
        </w:numPr>
        <w:rPr>
          <w:rFonts w:ascii="Times New Roman" w:hAnsi="Times New Roman" w:cs="Times New Roman"/>
        </w:rPr>
      </w:pPr>
      <w:r>
        <w:rPr>
          <w:rFonts w:ascii="Times New Roman" w:hAnsi="Times New Roman" w:cs="Times New Roman"/>
        </w:rPr>
        <w:t xml:space="preserve">Year </w:t>
      </w:r>
    </w:p>
    <w:p w14:paraId="0B1BD744">
      <w:pPr>
        <w:numPr>
          <w:ilvl w:val="0"/>
          <w:numId w:val="3"/>
        </w:numPr>
        <w:rPr>
          <w:rFonts w:ascii="Times New Roman" w:hAnsi="Times New Roman" w:cs="Times New Roman"/>
        </w:rPr>
      </w:pPr>
      <w:r>
        <w:rPr>
          <w:rFonts w:ascii="Times New Roman" w:hAnsi="Times New Roman" w:cs="Times New Roman"/>
        </w:rPr>
        <w:t xml:space="preserve">Household Size </w:t>
      </w:r>
    </w:p>
    <w:p w14:paraId="461DF420">
      <w:pPr>
        <w:numPr>
          <w:ilvl w:val="0"/>
          <w:numId w:val="3"/>
        </w:numPr>
        <w:rPr>
          <w:rFonts w:ascii="Times New Roman" w:hAnsi="Times New Roman" w:cs="Times New Roman"/>
        </w:rPr>
      </w:pPr>
      <w:r>
        <w:rPr>
          <w:rFonts w:ascii="Times New Roman" w:hAnsi="Times New Roman" w:cs="Times New Roman"/>
        </w:rPr>
        <w:t xml:space="preserve">Age of Respondent </w:t>
      </w:r>
    </w:p>
    <w:p w14:paraId="062B5C76">
      <w:pPr>
        <w:rPr>
          <w:rFonts w:ascii="Times New Roman" w:hAnsi="Times New Roman" w:cs="Times New Roman"/>
        </w:rPr>
      </w:pPr>
      <w:r>
        <w:rPr>
          <w:rFonts w:ascii="Times New Roman" w:hAnsi="Times New Roman" w:cs="Times New Roman"/>
        </w:rPr>
        <w:t>were standardized using StandardScaler.</w:t>
      </w:r>
    </w:p>
    <w:p w14:paraId="4886DB28">
      <w:pPr>
        <w:rPr>
          <w:rFonts w:ascii="Times New Roman" w:hAnsi="Times New Roman" w:cs="Times New Roman"/>
          <w:b/>
          <w:bCs/>
        </w:rPr>
      </w:pPr>
      <w:r>
        <w:rPr>
          <w:rFonts w:ascii="Times New Roman" w:hAnsi="Times New Roman" w:cs="Times New Roman"/>
        </w:rPr>
        <w:t>Feature scaling was particularly important because algorithms such as K-Nearest Neighbors (KNN), Support Vector Machine (SVM), and Artificial Neural Networks (ANN) are sensitive to differences in variable scales. Standardization ensures that all numerical features contribute equally during model training.</w:t>
      </w:r>
    </w:p>
    <w:p w14:paraId="78926186">
      <w:pPr>
        <w:rPr>
          <w:rFonts w:ascii="Times New Roman" w:hAnsi="Times New Roman" w:cs="Times New Roman"/>
        </w:rPr>
      </w:pPr>
    </w:p>
    <w:p w14:paraId="22B44346">
      <w:pPr>
        <w:rPr>
          <w:rFonts w:ascii="Times New Roman" w:hAnsi="Times New Roman" w:cs="Times New Roman"/>
          <w:b/>
          <w:bCs/>
        </w:rPr>
      </w:pPr>
      <w:r>
        <w:rPr>
          <w:rFonts w:ascii="Times New Roman" w:hAnsi="Times New Roman" w:cs="Times New Roman"/>
          <w:b/>
          <w:bCs/>
        </w:rPr>
        <w:t>3.6 Training Data Construction</w:t>
      </w:r>
    </w:p>
    <w:p w14:paraId="788595FD">
      <w:pPr>
        <w:rPr>
          <w:rFonts w:ascii="Times New Roman" w:hAnsi="Times New Roman" w:cs="Times New Roman"/>
        </w:rPr>
      </w:pPr>
      <w:r>
        <w:rPr>
          <w:rFonts w:ascii="Times New Roman" w:hAnsi="Times New Roman" w:cs="Times New Roman"/>
        </w:rPr>
        <w:t>After preprocessing, the predictor variables were separated from the target variable.</w:t>
      </w:r>
    </w:p>
    <w:p w14:paraId="37D808A4">
      <w:pPr>
        <w:numPr>
          <w:ilvl w:val="0"/>
          <w:numId w:val="4"/>
        </w:numPr>
        <w:rPr>
          <w:rFonts w:ascii="Times New Roman" w:hAnsi="Times New Roman" w:cs="Times New Roman"/>
        </w:rPr>
      </w:pPr>
      <w:r>
        <w:rPr>
          <w:rFonts w:ascii="Times New Roman" w:hAnsi="Times New Roman" w:cs="Times New Roman"/>
        </w:rPr>
        <w:t xml:space="preserve">Input variables (X): demographic and socioeconomic characteristics. </w:t>
      </w:r>
    </w:p>
    <w:p w14:paraId="75D04D9F">
      <w:pPr>
        <w:numPr>
          <w:ilvl w:val="0"/>
          <w:numId w:val="4"/>
        </w:numPr>
        <w:rPr>
          <w:rFonts w:ascii="Times New Roman" w:hAnsi="Times New Roman" w:cs="Times New Roman"/>
        </w:rPr>
      </w:pPr>
      <w:r>
        <w:rPr>
          <w:rFonts w:ascii="Times New Roman" w:hAnsi="Times New Roman" w:cs="Times New Roman"/>
        </w:rPr>
        <w:t xml:space="preserve">Target variable (y): bank account ownership. </w:t>
      </w:r>
    </w:p>
    <w:p w14:paraId="533EC8FE">
      <w:pPr>
        <w:rPr>
          <w:rFonts w:ascii="Times New Roman" w:hAnsi="Times New Roman" w:cs="Times New Roman"/>
        </w:rPr>
      </w:pPr>
      <w:r>
        <w:rPr>
          <w:rFonts w:ascii="Times New Roman" w:hAnsi="Times New Roman" w:cs="Times New Roman"/>
        </w:rPr>
        <w:t>Following One-Hot Encoding, the original predictor variables expanded from 11 variables to 40 numerical features, which were then used for machine learning model development.</w:t>
      </w:r>
    </w:p>
    <w:p w14:paraId="3D05F6D8">
      <w:pPr>
        <w:rPr>
          <w:rFonts w:ascii="Times New Roman" w:hAnsi="Times New Roman" w:cs="Times New Roman"/>
        </w:rPr>
      </w:pPr>
      <w:r>
        <w:rPr>
          <w:rFonts w:ascii="Times New Roman" w:hAnsi="Times New Roman" w:cs="Times New Roman"/>
        </w:rPr>
        <w:t>To evaluate the predictive performance of the models, Stratified 2-Fold Cross-Validation was employed. Stratification preserved the original class distribution of respondents with and without bank accounts in each fold, ensuring a fair comparison among the machine learning algorithms.</w:t>
      </w:r>
    </w:p>
    <w:p w14:paraId="082E2863">
      <w:pPr>
        <w:rPr>
          <w:rFonts w:ascii="Times New Roman" w:hAnsi="Times New Roman" w:cs="Times New Roman"/>
        </w:rPr>
      </w:pPr>
      <w:r>
        <w:rPr>
          <w:rFonts w:ascii="Times New Roman" w:hAnsi="Times New Roman" w:cs="Times New Roman"/>
        </w:rPr>
        <w:br w:type="page"/>
      </w:r>
    </w:p>
    <w:p w14:paraId="0A5C284A">
      <w:pPr>
        <w:rPr>
          <w:rFonts w:ascii="Times New Roman" w:hAnsi="Times New Roman" w:cs="Times New Roman"/>
          <w:sz w:val="28"/>
          <w:szCs w:val="28"/>
        </w:rPr>
      </w:pPr>
      <w:r>
        <w:rPr>
          <w:rFonts w:ascii="Times New Roman" w:hAnsi="Times New Roman" w:cs="Times New Roman"/>
          <w:b/>
          <w:bCs/>
          <w:sz w:val="28"/>
          <w:szCs w:val="28"/>
        </w:rPr>
        <w:t>4. Classification Accuracy Results and Discussion</w:t>
      </w:r>
    </w:p>
    <w:p w14:paraId="0C8254E9">
      <w:pPr>
        <w:rPr>
          <w:rFonts w:ascii="Times New Roman" w:hAnsi="Times New Roman" w:cs="Times New Roman"/>
        </w:rPr>
      </w:pPr>
      <w:r>
        <w:rPr>
          <w:rFonts w:ascii="Times New Roman" w:hAnsi="Times New Roman" w:cs="Times New Roman"/>
        </w:rPr>
        <w:t>The performance of the four machine learning algorithms was evaluated using Stratified 2-Fold Cross-Validation. To obtain a comprehensive assessment of model performance, four evaluation metrics were considered: Accuracy, Precision, Recall, and F1-Score. The average performance of each model is presented below.</w:t>
      </w:r>
    </w:p>
    <w:p w14:paraId="7F0020B1">
      <w:pPr>
        <w:rPr>
          <w:rFonts w:ascii="Times New Roman" w:hAnsi="Times New Roman" w:cs="Times New Roman"/>
          <w:b/>
          <w:bCs/>
        </w:rPr>
      </w:pPr>
      <w:r>
        <w:rPr>
          <w:rFonts w:ascii="Times New Roman" w:hAnsi="Times New Roman" w:cs="Times New Roman"/>
          <w:b/>
          <w:bCs/>
        </w:rPr>
        <w:t>Performance Comparison of Machine Learning Models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1843"/>
        <w:gridCol w:w="1417"/>
        <w:gridCol w:w="1276"/>
        <w:gridCol w:w="1366"/>
      </w:tblGrid>
      <w:tr w14:paraId="5B11C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3DF565EC">
            <w:pPr>
              <w:spacing w:after="0" w:line="240" w:lineRule="auto"/>
              <w:rPr>
                <w:rFonts w:ascii="Times New Roman" w:hAnsi="Times New Roman" w:cs="Times New Roman"/>
                <w:b/>
                <w:bCs/>
              </w:rPr>
            </w:pPr>
            <w:r>
              <w:rPr>
                <w:rFonts w:ascii="Times New Roman" w:hAnsi="Times New Roman" w:cs="Times New Roman"/>
                <w:b/>
                <w:bCs/>
              </w:rPr>
              <w:t>Model</w:t>
            </w:r>
          </w:p>
        </w:tc>
        <w:tc>
          <w:tcPr>
            <w:tcW w:w="1843" w:type="dxa"/>
          </w:tcPr>
          <w:p w14:paraId="0A53D578">
            <w:pPr>
              <w:spacing w:after="0" w:line="240" w:lineRule="auto"/>
              <w:rPr>
                <w:rFonts w:ascii="Times New Roman" w:hAnsi="Times New Roman" w:cs="Times New Roman"/>
                <w:b/>
                <w:bCs/>
              </w:rPr>
            </w:pPr>
            <w:r>
              <w:rPr>
                <w:rFonts w:ascii="Times New Roman" w:hAnsi="Times New Roman" w:cs="Times New Roman"/>
                <w:b/>
                <w:bCs/>
              </w:rPr>
              <w:t>Accuracy</w:t>
            </w:r>
          </w:p>
        </w:tc>
        <w:tc>
          <w:tcPr>
            <w:tcW w:w="1417" w:type="dxa"/>
          </w:tcPr>
          <w:p w14:paraId="4D31220D">
            <w:pPr>
              <w:spacing w:after="0" w:line="240" w:lineRule="auto"/>
              <w:rPr>
                <w:rFonts w:ascii="Times New Roman" w:hAnsi="Times New Roman" w:cs="Times New Roman"/>
                <w:b/>
                <w:bCs/>
              </w:rPr>
            </w:pPr>
            <w:r>
              <w:rPr>
                <w:rFonts w:ascii="Times New Roman" w:hAnsi="Times New Roman" w:cs="Times New Roman"/>
                <w:b/>
                <w:bCs/>
              </w:rPr>
              <w:t>Precision</w:t>
            </w:r>
          </w:p>
        </w:tc>
        <w:tc>
          <w:tcPr>
            <w:tcW w:w="1276" w:type="dxa"/>
          </w:tcPr>
          <w:p w14:paraId="70F4352C">
            <w:pPr>
              <w:spacing w:after="0" w:line="240" w:lineRule="auto"/>
              <w:rPr>
                <w:rFonts w:ascii="Times New Roman" w:hAnsi="Times New Roman" w:cs="Times New Roman"/>
                <w:b/>
                <w:bCs/>
              </w:rPr>
            </w:pPr>
            <w:r>
              <w:rPr>
                <w:rFonts w:ascii="Times New Roman" w:hAnsi="Times New Roman" w:cs="Times New Roman"/>
                <w:b/>
                <w:bCs/>
              </w:rPr>
              <w:t>Recall</w:t>
            </w:r>
          </w:p>
        </w:tc>
        <w:tc>
          <w:tcPr>
            <w:tcW w:w="1366" w:type="dxa"/>
          </w:tcPr>
          <w:p w14:paraId="63A8BAC4">
            <w:pPr>
              <w:spacing w:after="0" w:line="240" w:lineRule="auto"/>
              <w:rPr>
                <w:rFonts w:ascii="Times New Roman" w:hAnsi="Times New Roman" w:cs="Times New Roman"/>
                <w:b/>
                <w:bCs/>
              </w:rPr>
            </w:pPr>
            <w:r>
              <w:rPr>
                <w:rFonts w:ascii="Times New Roman" w:hAnsi="Times New Roman" w:cs="Times New Roman"/>
                <w:b/>
                <w:bCs/>
              </w:rPr>
              <w:t>F1-Score</w:t>
            </w:r>
          </w:p>
        </w:tc>
      </w:tr>
      <w:tr w14:paraId="5A08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54E673D2">
            <w:pPr>
              <w:spacing w:after="0" w:line="240" w:lineRule="auto"/>
              <w:rPr>
                <w:rFonts w:ascii="Times New Roman" w:hAnsi="Times New Roman" w:cs="Times New Roman"/>
                <w:b/>
                <w:bCs/>
              </w:rPr>
            </w:pPr>
            <w:r>
              <w:rPr>
                <w:rFonts w:ascii="Times New Roman" w:hAnsi="Times New Roman" w:cs="Times New Roman"/>
              </w:rPr>
              <w:t>Artificial Neural Network (ANN)</w:t>
            </w:r>
          </w:p>
        </w:tc>
        <w:tc>
          <w:tcPr>
            <w:tcW w:w="1843" w:type="dxa"/>
            <w:vAlign w:val="center"/>
          </w:tcPr>
          <w:p w14:paraId="58B82116">
            <w:pPr>
              <w:spacing w:after="0" w:line="240" w:lineRule="auto"/>
              <w:rPr>
                <w:rFonts w:ascii="Times New Roman" w:hAnsi="Times New Roman" w:cs="Times New Roman"/>
              </w:rPr>
            </w:pPr>
            <w:r>
              <w:rPr>
                <w:rFonts w:ascii="Times New Roman" w:hAnsi="Times New Roman" w:cs="Times New Roman"/>
              </w:rPr>
              <w:t>0.8862</w:t>
            </w:r>
          </w:p>
          <w:p w14:paraId="10797465">
            <w:pPr>
              <w:spacing w:after="0" w:line="240" w:lineRule="auto"/>
              <w:rPr>
                <w:rFonts w:ascii="Times New Roman" w:hAnsi="Times New Roman" w:cs="Times New Roman"/>
              </w:rPr>
            </w:pPr>
          </w:p>
          <w:p w14:paraId="27F6311B">
            <w:pPr>
              <w:spacing w:after="0" w:line="240" w:lineRule="auto"/>
              <w:rPr>
                <w:rFonts w:ascii="Times New Roman" w:hAnsi="Times New Roman" w:cs="Times New Roman"/>
              </w:rPr>
            </w:pPr>
          </w:p>
        </w:tc>
        <w:tc>
          <w:tcPr>
            <w:tcW w:w="1417" w:type="dxa"/>
          </w:tcPr>
          <w:p w14:paraId="2AC6AF47">
            <w:pPr>
              <w:spacing w:after="0" w:line="240" w:lineRule="auto"/>
              <w:rPr>
                <w:rFonts w:ascii="Times New Roman" w:hAnsi="Times New Roman" w:cs="Times New Roman"/>
                <w:b/>
                <w:bCs/>
              </w:rPr>
            </w:pPr>
            <w:r>
              <w:rPr>
                <w:rFonts w:ascii="Times New Roman" w:hAnsi="Times New Roman" w:cs="Times New Roman"/>
              </w:rPr>
              <w:t>0.6836</w:t>
            </w:r>
          </w:p>
        </w:tc>
        <w:tc>
          <w:tcPr>
            <w:tcW w:w="1276" w:type="dxa"/>
          </w:tcPr>
          <w:p w14:paraId="233F01CC">
            <w:pPr>
              <w:spacing w:after="0" w:line="240" w:lineRule="auto"/>
              <w:rPr>
                <w:rFonts w:ascii="Times New Roman" w:hAnsi="Times New Roman" w:cs="Times New Roman"/>
                <w:b/>
                <w:bCs/>
              </w:rPr>
            </w:pPr>
            <w:r>
              <w:rPr>
                <w:rFonts w:ascii="Times New Roman" w:hAnsi="Times New Roman" w:cs="Times New Roman"/>
              </w:rPr>
              <w:t>0.3575</w:t>
            </w:r>
          </w:p>
        </w:tc>
        <w:tc>
          <w:tcPr>
            <w:tcW w:w="1366" w:type="dxa"/>
          </w:tcPr>
          <w:p w14:paraId="4334C221">
            <w:pPr>
              <w:spacing w:after="0" w:line="240" w:lineRule="auto"/>
              <w:rPr>
                <w:rFonts w:ascii="Times New Roman" w:hAnsi="Times New Roman" w:cs="Times New Roman"/>
                <w:b/>
                <w:bCs/>
              </w:rPr>
            </w:pPr>
            <w:r>
              <w:rPr>
                <w:rFonts w:ascii="Times New Roman" w:hAnsi="Times New Roman" w:cs="Times New Roman"/>
              </w:rPr>
              <w:t>0.4695</w:t>
            </w:r>
          </w:p>
        </w:tc>
      </w:tr>
      <w:tr w14:paraId="5D35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0BE7169F">
            <w:pPr>
              <w:spacing w:after="0" w:line="240" w:lineRule="auto"/>
              <w:rPr>
                <w:rFonts w:ascii="Times New Roman" w:hAnsi="Times New Roman" w:cs="Times New Roman"/>
                <w:b/>
                <w:bCs/>
              </w:rPr>
            </w:pPr>
            <w:r>
              <w:rPr>
                <w:rFonts w:ascii="Times New Roman" w:hAnsi="Times New Roman" w:cs="Times New Roman"/>
              </w:rPr>
              <w:t>K-Nearest Neighbors (KNN)</w:t>
            </w:r>
          </w:p>
        </w:tc>
        <w:tc>
          <w:tcPr>
            <w:tcW w:w="1843" w:type="dxa"/>
          </w:tcPr>
          <w:p w14:paraId="3D19481A">
            <w:pPr>
              <w:spacing w:after="0" w:line="240" w:lineRule="auto"/>
              <w:rPr>
                <w:rFonts w:ascii="Times New Roman" w:hAnsi="Times New Roman" w:cs="Times New Roman"/>
              </w:rPr>
            </w:pPr>
            <w:r>
              <w:rPr>
                <w:rFonts w:ascii="Times New Roman" w:hAnsi="Times New Roman" w:cs="Times New Roman"/>
              </w:rPr>
              <w:t>0.8772</w:t>
            </w:r>
          </w:p>
          <w:p w14:paraId="3B5B7DE5">
            <w:pPr>
              <w:spacing w:after="0" w:line="240" w:lineRule="auto"/>
              <w:rPr>
                <w:rFonts w:ascii="Times New Roman" w:hAnsi="Times New Roman" w:cs="Times New Roman"/>
                <w:b/>
                <w:bCs/>
              </w:rPr>
            </w:pPr>
          </w:p>
        </w:tc>
        <w:tc>
          <w:tcPr>
            <w:tcW w:w="1417" w:type="dxa"/>
          </w:tcPr>
          <w:p w14:paraId="3FF99382">
            <w:pPr>
              <w:spacing w:after="0" w:line="240" w:lineRule="auto"/>
              <w:rPr>
                <w:rFonts w:ascii="Times New Roman" w:hAnsi="Times New Roman" w:cs="Times New Roman"/>
                <w:b/>
                <w:bCs/>
              </w:rPr>
            </w:pPr>
            <w:r>
              <w:rPr>
                <w:rFonts w:ascii="Times New Roman" w:hAnsi="Times New Roman" w:cs="Times New Roman"/>
              </w:rPr>
              <w:t>0.6139</w:t>
            </w:r>
          </w:p>
        </w:tc>
        <w:tc>
          <w:tcPr>
            <w:tcW w:w="1276" w:type="dxa"/>
          </w:tcPr>
          <w:p w14:paraId="649CA97B">
            <w:pPr>
              <w:spacing w:after="0" w:line="240" w:lineRule="auto"/>
              <w:rPr>
                <w:rFonts w:ascii="Times New Roman" w:hAnsi="Times New Roman" w:cs="Times New Roman"/>
                <w:b/>
                <w:bCs/>
              </w:rPr>
            </w:pPr>
            <w:r>
              <w:rPr>
                <w:rFonts w:ascii="Times New Roman" w:hAnsi="Times New Roman" w:cs="Times New Roman"/>
              </w:rPr>
              <w:t>0.3463</w:t>
            </w:r>
          </w:p>
        </w:tc>
        <w:tc>
          <w:tcPr>
            <w:tcW w:w="1366" w:type="dxa"/>
          </w:tcPr>
          <w:p w14:paraId="691EC9EB">
            <w:pPr>
              <w:spacing w:after="0" w:line="240" w:lineRule="auto"/>
              <w:rPr>
                <w:rFonts w:ascii="Times New Roman" w:hAnsi="Times New Roman" w:cs="Times New Roman"/>
                <w:b/>
                <w:bCs/>
              </w:rPr>
            </w:pPr>
            <w:r>
              <w:rPr>
                <w:rFonts w:ascii="Times New Roman" w:hAnsi="Times New Roman" w:cs="Times New Roman"/>
              </w:rPr>
              <w:t>0.4428</w:t>
            </w:r>
          </w:p>
        </w:tc>
      </w:tr>
      <w:tr w14:paraId="4A35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5C3F7DA5">
            <w:pPr>
              <w:spacing w:after="0" w:line="240" w:lineRule="auto"/>
              <w:rPr>
                <w:rFonts w:ascii="Times New Roman" w:hAnsi="Times New Roman" w:cs="Times New Roman"/>
                <w:b/>
                <w:bCs/>
              </w:rPr>
            </w:pPr>
            <w:r>
              <w:rPr>
                <w:rFonts w:ascii="Times New Roman" w:hAnsi="Times New Roman" w:cs="Times New Roman"/>
              </w:rPr>
              <w:t>Decision Tree (DT)</w:t>
            </w:r>
          </w:p>
        </w:tc>
        <w:tc>
          <w:tcPr>
            <w:tcW w:w="1843" w:type="dxa"/>
          </w:tcPr>
          <w:p w14:paraId="47B6AB1F">
            <w:pPr>
              <w:spacing w:after="0" w:line="240" w:lineRule="auto"/>
              <w:rPr>
                <w:rFonts w:ascii="Times New Roman" w:hAnsi="Times New Roman" w:cs="Times New Roman"/>
              </w:rPr>
            </w:pPr>
            <w:r>
              <w:rPr>
                <w:rFonts w:ascii="Times New Roman" w:hAnsi="Times New Roman" w:cs="Times New Roman"/>
              </w:rPr>
              <w:t>0.8164</w:t>
            </w:r>
          </w:p>
          <w:p w14:paraId="0AC40C12">
            <w:pPr>
              <w:spacing w:after="0" w:line="240" w:lineRule="auto"/>
              <w:rPr>
                <w:rFonts w:ascii="Times New Roman" w:hAnsi="Times New Roman" w:cs="Times New Roman"/>
                <w:b/>
                <w:bCs/>
              </w:rPr>
            </w:pPr>
          </w:p>
        </w:tc>
        <w:tc>
          <w:tcPr>
            <w:tcW w:w="1417" w:type="dxa"/>
          </w:tcPr>
          <w:p w14:paraId="1E0FBBF3">
            <w:pPr>
              <w:spacing w:after="0" w:line="240" w:lineRule="auto"/>
              <w:rPr>
                <w:rFonts w:ascii="Times New Roman" w:hAnsi="Times New Roman" w:cs="Times New Roman"/>
                <w:b/>
                <w:bCs/>
              </w:rPr>
            </w:pPr>
            <w:r>
              <w:rPr>
                <w:rFonts w:ascii="Times New Roman" w:hAnsi="Times New Roman" w:cs="Times New Roman"/>
              </w:rPr>
              <w:t>0.3630</w:t>
            </w:r>
          </w:p>
        </w:tc>
        <w:tc>
          <w:tcPr>
            <w:tcW w:w="1276" w:type="dxa"/>
            <w:vAlign w:val="center"/>
          </w:tcPr>
          <w:p w14:paraId="5CAA0F99">
            <w:pPr>
              <w:spacing w:after="0" w:line="240" w:lineRule="auto"/>
              <w:rPr>
                <w:rFonts w:ascii="Times New Roman" w:hAnsi="Times New Roman" w:cs="Times New Roman"/>
                <w:b/>
                <w:bCs/>
              </w:rPr>
            </w:pPr>
            <w:r>
              <w:rPr>
                <w:rFonts w:ascii="Times New Roman" w:hAnsi="Times New Roman" w:cs="Times New Roman"/>
              </w:rPr>
              <w:t>0.4025</w:t>
            </w:r>
          </w:p>
        </w:tc>
        <w:tc>
          <w:tcPr>
            <w:tcW w:w="1366" w:type="dxa"/>
          </w:tcPr>
          <w:p w14:paraId="032554E0">
            <w:pPr>
              <w:spacing w:after="0" w:line="240" w:lineRule="auto"/>
              <w:rPr>
                <w:rFonts w:ascii="Times New Roman" w:hAnsi="Times New Roman" w:cs="Times New Roman"/>
                <w:b/>
                <w:bCs/>
              </w:rPr>
            </w:pPr>
            <w:r>
              <w:rPr>
                <w:rFonts w:ascii="Times New Roman" w:hAnsi="Times New Roman" w:cs="Times New Roman"/>
              </w:rPr>
              <w:t>0.3817</w:t>
            </w:r>
          </w:p>
        </w:tc>
      </w:tr>
      <w:tr w14:paraId="0E8A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0BDD2B15">
            <w:pPr>
              <w:spacing w:after="0" w:line="240" w:lineRule="auto"/>
              <w:rPr>
                <w:rFonts w:ascii="Times New Roman" w:hAnsi="Times New Roman" w:cs="Times New Roman"/>
                <w:b/>
                <w:bCs/>
              </w:rPr>
            </w:pPr>
            <w:r>
              <w:rPr>
                <w:rFonts w:ascii="Times New Roman" w:hAnsi="Times New Roman" w:cs="Times New Roman"/>
              </w:rPr>
              <w:t>Support Vector Machine (SVM)</w:t>
            </w:r>
          </w:p>
        </w:tc>
        <w:tc>
          <w:tcPr>
            <w:tcW w:w="1843" w:type="dxa"/>
          </w:tcPr>
          <w:p w14:paraId="4A7DCB45">
            <w:pPr>
              <w:spacing w:after="0" w:line="240" w:lineRule="auto"/>
              <w:rPr>
                <w:rFonts w:ascii="Times New Roman" w:hAnsi="Times New Roman" w:cs="Times New Roman"/>
              </w:rPr>
            </w:pPr>
            <w:r>
              <w:rPr>
                <w:rFonts w:ascii="Times New Roman" w:hAnsi="Times New Roman" w:cs="Times New Roman"/>
              </w:rPr>
              <w:t>0.7922</w:t>
            </w:r>
          </w:p>
          <w:p w14:paraId="3550DE17">
            <w:pPr>
              <w:spacing w:after="0" w:line="240" w:lineRule="auto"/>
              <w:rPr>
                <w:rFonts w:ascii="Times New Roman" w:hAnsi="Times New Roman" w:cs="Times New Roman"/>
              </w:rPr>
            </w:pPr>
          </w:p>
          <w:p w14:paraId="3ECA6E4A">
            <w:pPr>
              <w:spacing w:after="0" w:line="240" w:lineRule="auto"/>
              <w:rPr>
                <w:rFonts w:ascii="Times New Roman" w:hAnsi="Times New Roman" w:cs="Times New Roman"/>
                <w:b/>
                <w:bCs/>
              </w:rPr>
            </w:pPr>
          </w:p>
        </w:tc>
        <w:tc>
          <w:tcPr>
            <w:tcW w:w="1417" w:type="dxa"/>
          </w:tcPr>
          <w:p w14:paraId="76F5E66B">
            <w:pPr>
              <w:spacing w:after="0" w:line="240" w:lineRule="auto"/>
              <w:rPr>
                <w:rFonts w:ascii="Times New Roman" w:hAnsi="Times New Roman" w:cs="Times New Roman"/>
                <w:b/>
                <w:bCs/>
              </w:rPr>
            </w:pPr>
            <w:r>
              <w:rPr>
                <w:rFonts w:ascii="Times New Roman" w:hAnsi="Times New Roman" w:cs="Times New Roman"/>
              </w:rPr>
              <w:t>0.3803</w:t>
            </w:r>
          </w:p>
        </w:tc>
        <w:tc>
          <w:tcPr>
            <w:tcW w:w="1276" w:type="dxa"/>
          </w:tcPr>
          <w:p w14:paraId="52959965">
            <w:pPr>
              <w:spacing w:after="0" w:line="240" w:lineRule="auto"/>
              <w:rPr>
                <w:rFonts w:ascii="Times New Roman" w:hAnsi="Times New Roman" w:cs="Times New Roman"/>
              </w:rPr>
            </w:pPr>
            <w:r>
              <w:rPr>
                <w:rFonts w:ascii="Times New Roman" w:hAnsi="Times New Roman" w:cs="Times New Roman"/>
              </w:rPr>
              <w:t>0.7560</w:t>
            </w:r>
          </w:p>
        </w:tc>
        <w:tc>
          <w:tcPr>
            <w:tcW w:w="1366" w:type="dxa"/>
            <w:vAlign w:val="center"/>
          </w:tcPr>
          <w:p w14:paraId="502AA1B7">
            <w:pPr>
              <w:spacing w:after="0" w:line="240" w:lineRule="auto"/>
              <w:rPr>
                <w:rFonts w:ascii="Times New Roman" w:hAnsi="Times New Roman" w:cs="Times New Roman"/>
              </w:rPr>
            </w:pPr>
            <w:r>
              <w:rPr>
                <w:rFonts w:ascii="Times New Roman" w:hAnsi="Times New Roman" w:cs="Times New Roman"/>
              </w:rPr>
              <w:t>0.5060</w:t>
            </w:r>
          </w:p>
        </w:tc>
      </w:tr>
    </w:tbl>
    <w:p w14:paraId="65AA341C">
      <w:pPr>
        <w:rPr>
          <w:rFonts w:ascii="Times New Roman" w:hAnsi="Times New Roman" w:cs="Times New Roman"/>
          <w:b/>
          <w:bCs/>
        </w:rPr>
      </w:pPr>
    </w:p>
    <w:p w14:paraId="70B4382C">
      <w:pPr>
        <w:rPr>
          <w:rFonts w:ascii="Times New Roman" w:hAnsi="Times New Roman" w:cs="Times New Roman"/>
        </w:rPr>
      </w:pPr>
      <w:r>
        <w:rPr>
          <w:rFonts w:ascii="Times New Roman" w:hAnsi="Times New Roman" w:cs="Times New Roman"/>
        </w:rPr>
        <w:drawing>
          <wp:inline distT="0" distB="0" distL="0" distR="0">
            <wp:extent cx="5731510" cy="3554730"/>
            <wp:effectExtent l="0" t="0" r="2540" b="7620"/>
            <wp:docPr id="3044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63410" name="Picture 1"/>
                    <pic:cNvPicPr>
                      <a:picLocks noChangeAspect="1"/>
                    </pic:cNvPicPr>
                  </pic:nvPicPr>
                  <pic:blipFill>
                    <a:blip r:embed="rId6"/>
                    <a:stretch>
                      <a:fillRect/>
                    </a:stretch>
                  </pic:blipFill>
                  <pic:spPr>
                    <a:xfrm>
                      <a:off x="0" y="0"/>
                      <a:ext cx="5731510" cy="3554730"/>
                    </a:xfrm>
                    <a:prstGeom prst="rect">
                      <a:avLst/>
                    </a:prstGeom>
                  </pic:spPr>
                </pic:pic>
              </a:graphicData>
            </a:graphic>
          </wp:inline>
        </w:drawing>
      </w:r>
    </w:p>
    <w:p w14:paraId="27F25B85">
      <w:pPr>
        <w:rPr>
          <w:rFonts w:ascii="Times New Roman" w:hAnsi="Times New Roman" w:cs="Times New Roman"/>
          <w:b/>
          <w:bCs/>
        </w:rPr>
      </w:pPr>
    </w:p>
    <w:p w14:paraId="7F4157F2">
      <w:pPr>
        <w:rPr>
          <w:rFonts w:ascii="Times New Roman" w:hAnsi="Times New Roman" w:cs="Times New Roman"/>
          <w:b/>
          <w:bCs/>
        </w:rPr>
      </w:pPr>
    </w:p>
    <w:p w14:paraId="58123CC5">
      <w:pPr>
        <w:rPr>
          <w:rFonts w:ascii="Times New Roman" w:hAnsi="Times New Roman" w:cs="Times New Roman"/>
          <w:b/>
          <w:bCs/>
        </w:rPr>
      </w:pPr>
      <w:r>
        <w:rPr>
          <w:rFonts w:ascii="Times New Roman" w:hAnsi="Times New Roman" w:cs="Times New Roman"/>
          <w:b/>
          <w:bCs/>
        </w:rPr>
        <w:t>Discussion</w:t>
      </w:r>
    </w:p>
    <w:p w14:paraId="77B2C726">
      <w:pPr>
        <w:rPr>
          <w:rFonts w:ascii="Times New Roman" w:hAnsi="Times New Roman" w:cs="Times New Roman"/>
          <w:b/>
          <w:bCs/>
        </w:rPr>
      </w:pPr>
      <w:r>
        <w:rPr>
          <w:rFonts w:ascii="Times New Roman" w:hAnsi="Times New Roman" w:cs="Times New Roman"/>
        </w:rPr>
        <w:t>The table and figure above compare the classification accuracy and F1-score of the four machine learning models evaluated in this study. The Artificial Neural Network (ANN) achieved te highest classification accuracy (88.62%), while the Support Vector Machine (SVM) recorded the highest F1-score (0.5060). K-Nearest Neighbors (KNN) also performed well, whereas the Decision Tree (DT) produced comparatively lower performance across both metrics.</w:t>
      </w:r>
    </w:p>
    <w:p w14:paraId="03285599">
      <w:pPr>
        <w:rPr>
          <w:rFonts w:ascii="Times New Roman" w:hAnsi="Times New Roman" w:cs="Times New Roman"/>
        </w:rPr>
      </w:pPr>
      <w:r>
        <w:rPr>
          <w:rFonts w:ascii="Times New Roman" w:hAnsi="Times New Roman" w:cs="Times New Roman"/>
        </w:rPr>
        <w:t>The results indicate that the Artificial Neural Network (ANN) achieved the highest classification accuracy of 88.62%, making it the best-performing model in terms of correctly classifying respondents. ANN also recorded the highest precision (68.36%), indicating that when the model predicted that a respondent owned a bank account, the prediction was more likely to be correct than for the other models. This suggests that the ANN effectively learned the complex relationships between demographic and socioeconomic variables associated with financial inclusion.</w:t>
      </w:r>
    </w:p>
    <w:p w14:paraId="3D6887C1">
      <w:pPr>
        <w:rPr>
          <w:rFonts w:ascii="Times New Roman" w:hAnsi="Times New Roman" w:cs="Times New Roman"/>
        </w:rPr>
      </w:pPr>
      <w:r>
        <w:rPr>
          <w:rFonts w:ascii="Times New Roman" w:hAnsi="Times New Roman" w:cs="Times New Roman"/>
        </w:rPr>
        <w:t>The K-Nearest Neighbors (KNN) classifier achieved the second-highest accuracy (87.72%) and precision (61.39%). This performance suggests that respondents with similar demographic characteristics often exhibited similar financial inclusion outcomes. However, its relatively low recall (34.63%) indicates that the model failed to identify many respondents who actually owned bank accounts.</w:t>
      </w:r>
    </w:p>
    <w:p w14:paraId="6E2CC14B">
      <w:pPr>
        <w:rPr>
          <w:rFonts w:ascii="Times New Roman" w:hAnsi="Times New Roman" w:cs="Times New Roman"/>
        </w:rPr>
      </w:pPr>
      <w:r>
        <w:rPr>
          <w:rFonts w:ascii="Times New Roman" w:hAnsi="Times New Roman" w:cs="Times New Roman"/>
        </w:rPr>
        <w:t>The Decision Tree (DT) model achieved an accuracy of 81.64%, which was lower than both ANN and KNN. Although Decision Trees are easy to interpret, they are more susceptible to overfitting and may struggle to capture complex relationships within the data. Consequently, the model produced lower precision and F1-score compared to the other algorithms.</w:t>
      </w:r>
    </w:p>
    <w:p w14:paraId="46004458">
      <w:pPr>
        <w:rPr>
          <w:rFonts w:ascii="Times New Roman" w:hAnsi="Times New Roman" w:cs="Times New Roman"/>
        </w:rPr>
      </w:pPr>
      <w:r>
        <w:rPr>
          <w:rFonts w:ascii="Times New Roman" w:hAnsi="Times New Roman" w:cs="Times New Roman"/>
        </w:rPr>
        <w:t>The Support Vector Machine (SVM) recorded the lowest overall accuracy (79.22%) but achieved the highest recall (75.60%) and the highest F1-score (0.5060). The high recall indicates that SVM was more effective at identifying respondents who actually owned bank accounts than the other models. This characteristic is particularly valuable in financial inclusion studies because failing to identify financially included individuals may reduce the effectiveness of policy interventions. The higher F1-score also demonstrates that SVM achieved the best balance between precision and recall among the four models.</w:t>
      </w:r>
    </w:p>
    <w:p w14:paraId="134AC59A">
      <w:pPr>
        <w:rPr>
          <w:rFonts w:ascii="Times New Roman" w:hAnsi="Times New Roman" w:cs="Times New Roman"/>
        </w:rPr>
      </w:pPr>
      <w:r>
        <w:rPr>
          <w:rFonts w:ascii="Times New Roman" w:hAnsi="Times New Roman" w:cs="Times New Roman"/>
        </w:rPr>
        <w:t>The dataset was highly imbalanced, with approximately 86% of respondents not owning a bank account and only 14% owning one. For this reason, model evaluation should not rely solely on classification accuracy. Metrics such as Precision, Recall, and F1-Score provide a more reliable assessment of model performance because they account for the unequal distribution of the target classes.</w:t>
      </w:r>
    </w:p>
    <w:p w14:paraId="368B726C">
      <w:pPr>
        <w:rPr>
          <w:rFonts w:ascii="Times New Roman" w:hAnsi="Times New Roman" w:cs="Times New Roman"/>
        </w:rPr>
      </w:pPr>
      <w:r>
        <w:rPr>
          <w:rFonts w:ascii="Times New Roman" w:hAnsi="Times New Roman" w:cs="Times New Roman"/>
        </w:rPr>
        <w:t>Overall, the results demonstrate that ANN provided the highest overall predictive accuracy, while SVM was more effective at identifying individuals who owned bank accounts. Therefore, the choice of the most suitable model depends on the specific objective of the application. If the objective is to maximize overall prediction accuracy, ANN is the preferred model. However, if correctly identifying bank account owners is considered more important, SVM may be the more appropriate choice due to its superior recall and F1-score.</w:t>
      </w:r>
    </w:p>
    <w:p w14:paraId="4DD63FEB">
      <w:pPr>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Monday Hear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onday Heart">
    <w:panose1 w:val="02000600000000000000"/>
    <w:charset w:val="00"/>
    <w:family w:val="auto"/>
    <w:pitch w:val="default"/>
    <w:sig w:usb0="0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7839E5"/>
    <w:multiLevelType w:val="multilevel"/>
    <w:tmpl w:val="247839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E3969AD"/>
    <w:multiLevelType w:val="multilevel"/>
    <w:tmpl w:val="2E3969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9325784"/>
    <w:multiLevelType w:val="multilevel"/>
    <w:tmpl w:val="493257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A6E72D3"/>
    <w:multiLevelType w:val="multilevel"/>
    <w:tmpl w:val="5A6E72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1A3"/>
    <w:rsid w:val="00045E8B"/>
    <w:rsid w:val="00386F54"/>
    <w:rsid w:val="00800566"/>
    <w:rsid w:val="009E51A3"/>
    <w:rsid w:val="00C40C81"/>
    <w:rsid w:val="00C74EA7"/>
    <w:rsid w:val="00C94F46"/>
    <w:rsid w:val="00D323AE"/>
    <w:rsid w:val="00DE752D"/>
    <w:rsid w:val="00E43437"/>
    <w:rsid w:val="7D263429"/>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2319</Words>
  <Characters>13222</Characters>
  <Lines>110</Lines>
  <Paragraphs>31</Paragraphs>
  <TotalTime>6</TotalTime>
  <ScaleCrop>false</ScaleCrop>
  <LinksUpToDate>false</LinksUpToDate>
  <CharactersWithSpaces>15510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2026-07-16T15:11:00Z</dcterms:created>
  <dc:creator>caxton comlan</dc:creator>
  <cp:lastModifiedBy>kayce</cp:lastModifiedBy>
  <dcterms:modified xsi:type="dcterms:W3CDTF">2026-07-16T21:36:47Z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eyJoZGlkIjoiNTQxZDc3Y2ExYWQyOTUwOGZhYzM4MTU1Nzk0YWZkMDAifQ==</vt:lpwstr>
  </property>
  <property fmtid="{D5CDD505-2E9C-101B-9397-08002B2CF9AE}" pid="3" name="KSOProductBuildVer">
    <vt:lpwstr>1033-12.1.0.27458</vt:lpwstr>
  </property>
  <property fmtid="{D5CDD505-2E9C-101B-9397-08002B2CF9AE}" pid="4" name="ICV">
    <vt:lpwstr>1D5F6843C684447C84E278CCF99B942B_12</vt:lpwstr>
  </property>
</Properties>
</file>