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3"/>
        <w:ind w:left="0"/>
        <w:rPr>
          <w:sz w:val="32"/>
        </w:rPr>
      </w:pPr>
    </w:p>
    <w:p>
      <w:pPr>
        <w:pStyle w:val="Title"/>
        <w:spacing w:line="398" w:lineRule="auto"/>
      </w:pPr>
      <w:r>
        <w:rPr/>
        <w:t>Central Bank Digital Currency as a Macroprudential Instrument:</w:t>
      </w:r>
      <w:r>
        <w:rPr>
          <w:spacing w:val="-9"/>
        </w:rPr>
        <w:t> </w:t>
      </w:r>
      <w:r>
        <w:rPr/>
        <w:t>Systemic</w:t>
      </w:r>
      <w:r>
        <w:rPr>
          <w:spacing w:val="-8"/>
        </w:rPr>
        <w:t> </w:t>
      </w:r>
      <w:r>
        <w:rPr/>
        <w:t>Risk</w:t>
      </w:r>
      <w:r>
        <w:rPr>
          <w:spacing w:val="-8"/>
        </w:rPr>
        <w:t> </w:t>
      </w:r>
      <w:r>
        <w:rPr/>
        <w:t>Design</w:t>
      </w:r>
      <w:r>
        <w:rPr>
          <w:spacing w:val="-8"/>
        </w:rPr>
        <w:t> </w:t>
      </w:r>
      <w:r>
        <w:rPr/>
        <w:t>Trade-offs</w:t>
      </w:r>
      <w:r>
        <w:rPr>
          <w:spacing w:val="-5"/>
        </w:rPr>
        <w:t> </w:t>
      </w:r>
      <w:r>
        <w:rPr/>
        <w:t>and</w:t>
      </w:r>
      <w:r>
        <w:rPr>
          <w:spacing w:val="-8"/>
        </w:rPr>
        <w:t> </w:t>
      </w:r>
      <w:r>
        <w:rPr/>
        <w:t>Historical </w:t>
      </w:r>
      <w:r>
        <w:rPr>
          <w:spacing w:val="-2"/>
        </w:rPr>
        <w:t>Evidence</w:t>
      </w:r>
    </w:p>
    <w:p>
      <w:pPr>
        <w:pStyle w:val="BodyText"/>
        <w:spacing w:before="111"/>
        <w:ind w:left="0"/>
        <w:rPr>
          <w:b/>
          <w:sz w:val="32"/>
        </w:rPr>
      </w:pPr>
    </w:p>
    <w:p>
      <w:pPr>
        <w:spacing w:before="0"/>
        <w:ind w:left="0" w:right="283" w:firstLine="0"/>
        <w:jc w:val="center"/>
        <w:rPr>
          <w:b/>
          <w:i/>
          <w:sz w:val="26"/>
        </w:rPr>
      </w:pPr>
      <w:r>
        <w:rPr>
          <w:b/>
          <w:i/>
          <w:sz w:val="26"/>
        </w:rPr>
        <w:t>A</w:t>
      </w:r>
      <w:r>
        <w:rPr>
          <w:b/>
          <w:i/>
          <w:spacing w:val="-11"/>
          <w:sz w:val="26"/>
        </w:rPr>
        <w:t> </w:t>
      </w:r>
      <w:r>
        <w:rPr>
          <w:b/>
          <w:i/>
          <w:sz w:val="26"/>
        </w:rPr>
        <w:t>Historically</w:t>
      </w:r>
      <w:r>
        <w:rPr>
          <w:b/>
          <w:i/>
          <w:spacing w:val="-11"/>
          <w:sz w:val="26"/>
        </w:rPr>
        <w:t> </w:t>
      </w:r>
      <w:r>
        <w:rPr>
          <w:b/>
          <w:i/>
          <w:sz w:val="26"/>
        </w:rPr>
        <w:t>Calibrated</w:t>
      </w:r>
      <w:r>
        <w:rPr>
          <w:b/>
          <w:i/>
          <w:spacing w:val="-13"/>
          <w:sz w:val="26"/>
        </w:rPr>
        <w:t> </w:t>
      </w:r>
      <w:r>
        <w:rPr>
          <w:b/>
          <w:i/>
          <w:sz w:val="26"/>
        </w:rPr>
        <w:t>Complex-Systems</w:t>
      </w:r>
      <w:r>
        <w:rPr>
          <w:b/>
          <w:i/>
          <w:spacing w:val="-11"/>
          <w:sz w:val="26"/>
        </w:rPr>
        <w:t> </w:t>
      </w:r>
      <w:r>
        <w:rPr>
          <w:b/>
          <w:i/>
          <w:spacing w:val="-2"/>
          <w:sz w:val="26"/>
        </w:rPr>
        <w:t>Analysis</w:t>
      </w:r>
    </w:p>
    <w:p>
      <w:pPr>
        <w:pStyle w:val="BodyText"/>
        <w:ind w:left="0"/>
        <w:rPr>
          <w:b/>
          <w:i/>
          <w:sz w:val="26"/>
        </w:rPr>
      </w:pPr>
    </w:p>
    <w:p>
      <w:pPr>
        <w:pStyle w:val="BodyText"/>
        <w:spacing w:before="253"/>
        <w:ind w:left="0"/>
        <w:rPr>
          <w:b/>
          <w:i/>
          <w:sz w:val="26"/>
        </w:rPr>
      </w:pPr>
    </w:p>
    <w:p>
      <w:pPr>
        <w:pStyle w:val="Heading1"/>
        <w:spacing w:before="1"/>
        <w:ind w:left="0" w:right="284"/>
        <w:jc w:val="center"/>
      </w:pPr>
      <w:r>
        <w:rPr>
          <w:spacing w:val="-2"/>
        </w:rPr>
        <w:t>Chanhyuk</w:t>
      </w:r>
      <w:r>
        <w:rPr/>
        <w:t> </w:t>
      </w:r>
      <w:r>
        <w:rPr>
          <w:spacing w:val="-4"/>
        </w:rPr>
        <w:t>Park</w:t>
      </w:r>
    </w:p>
    <w:p>
      <w:pPr>
        <w:pStyle w:val="BodyText"/>
        <w:ind w:left="0"/>
        <w:rPr>
          <w:b/>
        </w:rPr>
      </w:pPr>
    </w:p>
    <w:p>
      <w:pPr>
        <w:pStyle w:val="BodyText"/>
        <w:spacing w:before="183"/>
        <w:ind w:left="0"/>
        <w:rPr>
          <w:b/>
        </w:rPr>
      </w:pPr>
    </w:p>
    <w:p>
      <w:pPr>
        <w:pStyle w:val="BodyText"/>
        <w:ind w:left="0" w:right="282"/>
        <w:jc w:val="center"/>
      </w:pPr>
      <w:r>
        <w:rPr/>
        <w:t>KOMSCO,</w:t>
      </w:r>
      <w:r>
        <w:rPr>
          <w:spacing w:val="-11"/>
        </w:rPr>
        <w:t> </w:t>
      </w:r>
      <w:r>
        <w:rPr/>
        <w:t>Dasejeon,</w:t>
      </w:r>
      <w:r>
        <w:rPr>
          <w:spacing w:val="-11"/>
        </w:rPr>
        <w:t> </w:t>
      </w:r>
      <w:r>
        <w:rPr/>
        <w:t>Republic</w:t>
      </w:r>
      <w:r>
        <w:rPr>
          <w:spacing w:val="-11"/>
        </w:rPr>
        <w:t> </w:t>
      </w:r>
      <w:r>
        <w:rPr/>
        <w:t>of</w:t>
      </w:r>
      <w:r>
        <w:rPr>
          <w:spacing w:val="-11"/>
        </w:rPr>
        <w:t> </w:t>
      </w:r>
      <w:r>
        <w:rPr>
          <w:spacing w:val="-4"/>
        </w:rPr>
        <w:t>Korea</w:t>
      </w:r>
    </w:p>
    <w:p>
      <w:pPr>
        <w:pStyle w:val="BodyText"/>
        <w:ind w:left="0"/>
      </w:pPr>
    </w:p>
    <w:p>
      <w:pPr>
        <w:pStyle w:val="BodyText"/>
        <w:spacing w:before="184"/>
        <w:ind w:left="0"/>
      </w:pPr>
    </w:p>
    <w:p>
      <w:pPr>
        <w:pStyle w:val="BodyText"/>
        <w:ind w:left="0" w:right="282"/>
        <w:jc w:val="center"/>
      </w:pPr>
      <w:r>
        <w:rPr>
          <w:spacing w:val="-2"/>
        </w:rPr>
        <w:t>Corresponding</w:t>
      </w:r>
      <w:r>
        <w:rPr>
          <w:spacing w:val="3"/>
        </w:rPr>
        <w:t> </w:t>
      </w:r>
      <w:r>
        <w:rPr>
          <w:spacing w:val="-2"/>
        </w:rPr>
        <w:t>author:</w:t>
      </w:r>
      <w:r>
        <w:rPr>
          <w:spacing w:val="5"/>
        </w:rPr>
        <w:t> </w:t>
      </w:r>
      <w:hyperlink r:id="rId6">
        <w:r>
          <w:rPr>
            <w:spacing w:val="-2"/>
          </w:rPr>
          <w:t>cross@komsco.com</w:t>
        </w:r>
      </w:hyperlink>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
        <w:ind w:left="0"/>
      </w:pPr>
    </w:p>
    <w:p>
      <w:pPr>
        <w:pStyle w:val="BodyText"/>
        <w:spacing w:line="480" w:lineRule="auto" w:before="1"/>
      </w:pPr>
      <w:r>
        <w:rPr/>
        <w:t>Declaration</w:t>
      </w:r>
      <w:r>
        <w:rPr>
          <w:spacing w:val="-3"/>
        </w:rPr>
        <w:t> </w:t>
      </w:r>
      <w:r>
        <w:rPr/>
        <w:t>of</w:t>
      </w:r>
      <w:r>
        <w:rPr>
          <w:spacing w:val="-4"/>
        </w:rPr>
        <w:t> </w:t>
      </w:r>
      <w:r>
        <w:rPr/>
        <w:t>Competing</w:t>
      </w:r>
      <w:r>
        <w:rPr>
          <w:spacing w:val="-5"/>
        </w:rPr>
        <w:t> </w:t>
      </w:r>
      <w:r>
        <w:rPr/>
        <w:t>Interest: The</w:t>
      </w:r>
      <w:r>
        <w:rPr>
          <w:spacing w:val="-4"/>
        </w:rPr>
        <w:t> </w:t>
      </w:r>
      <w:r>
        <w:rPr/>
        <w:t>authors</w:t>
      </w:r>
      <w:r>
        <w:rPr>
          <w:spacing w:val="-3"/>
        </w:rPr>
        <w:t> </w:t>
      </w:r>
      <w:r>
        <w:rPr/>
        <w:t>declare</w:t>
      </w:r>
      <w:r>
        <w:rPr>
          <w:spacing w:val="-4"/>
        </w:rPr>
        <w:t> </w:t>
      </w:r>
      <w:r>
        <w:rPr/>
        <w:t>no</w:t>
      </w:r>
      <w:r>
        <w:rPr>
          <w:spacing w:val="-6"/>
        </w:rPr>
        <w:t> </w:t>
      </w:r>
      <w:r>
        <w:rPr/>
        <w:t>known</w:t>
      </w:r>
      <w:r>
        <w:rPr>
          <w:spacing w:val="-3"/>
        </w:rPr>
        <w:t> </w:t>
      </w:r>
      <w:r>
        <w:rPr/>
        <w:t>competing</w:t>
      </w:r>
      <w:r>
        <w:rPr>
          <w:spacing w:val="-5"/>
        </w:rPr>
        <w:t> </w:t>
      </w:r>
      <w:r>
        <w:rPr/>
        <w:t>financial interests or personal relationships that could have appeared to influence this work.</w:t>
      </w:r>
    </w:p>
    <w:p>
      <w:pPr>
        <w:pStyle w:val="BodyText"/>
        <w:spacing w:after="0" w:line="480" w:lineRule="auto"/>
        <w:sectPr>
          <w:headerReference w:type="default" r:id="rId5"/>
          <w:type w:val="continuous"/>
          <w:pgSz w:w="11900" w:h="16820"/>
          <w:pgMar w:header="714" w:footer="0" w:top="1340" w:bottom="280" w:left="1700" w:right="1417"/>
          <w:pgNumType w:start="1"/>
        </w:sectPr>
      </w:pPr>
    </w:p>
    <w:p>
      <w:pPr>
        <w:pStyle w:val="Heading1"/>
        <w:spacing w:before="79"/>
        <w:ind w:left="99"/>
      </w:pPr>
      <w:r>
        <w:rPr>
          <w:spacing w:val="-2"/>
        </w:rPr>
        <w:t>Abstract</w:t>
      </w:r>
    </w:p>
    <w:p>
      <w:pPr>
        <w:pStyle w:val="BodyText"/>
        <w:spacing w:before="122"/>
        <w:ind w:left="0"/>
        <w:rPr>
          <w:b/>
        </w:rPr>
      </w:pPr>
    </w:p>
    <w:p>
      <w:pPr>
        <w:pStyle w:val="BodyText"/>
        <w:tabs>
          <w:tab w:pos="1214" w:val="left" w:leader="none"/>
          <w:tab w:pos="1991" w:val="left" w:leader="none"/>
          <w:tab w:pos="2389" w:val="left" w:leader="none"/>
          <w:tab w:pos="2629" w:val="left" w:leader="none"/>
          <w:tab w:pos="4025" w:val="left" w:leader="none"/>
          <w:tab w:pos="4620" w:val="left" w:leader="none"/>
          <w:tab w:pos="5164" w:val="left" w:leader="none"/>
          <w:tab w:pos="5232" w:val="left" w:leader="none"/>
          <w:tab w:pos="6347" w:val="left" w:leader="none"/>
          <w:tab w:pos="6899" w:val="left" w:leader="none"/>
          <w:tab w:pos="7083" w:val="left" w:leader="none"/>
          <w:tab w:pos="7868" w:val="left" w:leader="none"/>
          <w:tab w:pos="8292" w:val="left" w:leader="none"/>
        </w:tabs>
        <w:spacing w:line="432" w:lineRule="auto"/>
        <w:ind w:right="302"/>
      </w:pPr>
      <w:r>
        <w:rPr/>
        <w:t>This</w:t>
      </w:r>
      <w:r>
        <w:rPr>
          <w:spacing w:val="40"/>
        </w:rPr>
        <w:t> </w:t>
      </w:r>
      <w:r>
        <w:rPr/>
        <w:t>paper</w:t>
      </w:r>
      <w:r>
        <w:rPr>
          <w:spacing w:val="40"/>
        </w:rPr>
        <w:t> </w:t>
      </w:r>
      <w:r>
        <w:rPr/>
        <w:t>develops</w:t>
      </w:r>
      <w:r>
        <w:rPr>
          <w:spacing w:val="40"/>
        </w:rPr>
        <w:t> </w:t>
      </w:r>
      <w:r>
        <w:rPr/>
        <w:t>a</w:t>
      </w:r>
      <w:r>
        <w:rPr>
          <w:spacing w:val="40"/>
        </w:rPr>
        <w:t> </w:t>
      </w:r>
      <w:r>
        <w:rPr/>
        <w:t>complex-systems</w:t>
      </w:r>
      <w:r>
        <w:rPr>
          <w:spacing w:val="40"/>
        </w:rPr>
        <w:t> </w:t>
      </w:r>
      <w:r>
        <w:rPr/>
        <w:t>simulation</w:t>
      </w:r>
      <w:r>
        <w:rPr>
          <w:spacing w:val="40"/>
        </w:rPr>
        <w:t> </w:t>
      </w:r>
      <w:r>
        <w:rPr/>
        <w:t>calibrated</w:t>
      </w:r>
      <w:r>
        <w:rPr>
          <w:spacing w:val="40"/>
        </w:rPr>
        <w:t> </w:t>
      </w:r>
      <w:r>
        <w:rPr/>
        <w:t>to</w:t>
      </w:r>
      <w:r>
        <w:rPr>
          <w:spacing w:val="40"/>
        </w:rPr>
        <w:t> </w:t>
      </w:r>
      <w:r>
        <w:rPr/>
        <w:t>a</w:t>
      </w:r>
      <w:r>
        <w:rPr>
          <w:spacing w:val="40"/>
        </w:rPr>
        <w:t> </w:t>
      </w:r>
      <w:r>
        <w:rPr/>
        <w:t>panel</w:t>
      </w:r>
      <w:r>
        <w:rPr>
          <w:spacing w:val="40"/>
        </w:rPr>
        <w:t> </w:t>
      </w:r>
      <w:r>
        <w:rPr/>
        <w:t>of</w:t>
      </w:r>
      <w:r>
        <w:rPr>
          <w:spacing w:val="40"/>
        </w:rPr>
        <w:t> </w:t>
      </w:r>
      <w:r>
        <w:rPr/>
        <w:t>n=81 historical</w:t>
      </w:r>
      <w:r>
        <w:rPr>
          <w:spacing w:val="80"/>
        </w:rPr>
        <w:t> </w:t>
      </w:r>
      <w:r>
        <w:rPr/>
        <w:t>banking-crisis</w:t>
      </w:r>
      <w:r>
        <w:rPr>
          <w:spacing w:val="80"/>
        </w:rPr>
        <w:t> </w:t>
      </w:r>
      <w:r>
        <w:rPr/>
        <w:t>episodes</w:t>
      </w:r>
      <w:r>
        <w:rPr>
          <w:spacing w:val="80"/>
        </w:rPr>
        <w:t> </w:t>
      </w:r>
      <w:r>
        <w:rPr/>
        <w:t>(1984–2023,</w:t>
      </w:r>
      <w:r>
        <w:rPr>
          <w:spacing w:val="80"/>
        </w:rPr>
        <w:t> </w:t>
      </w:r>
      <w:r>
        <w:rPr/>
        <w:t>15</w:t>
      </w:r>
      <w:r>
        <w:rPr>
          <w:spacing w:val="80"/>
        </w:rPr>
        <w:t> </w:t>
      </w:r>
      <w:r>
        <w:rPr/>
        <w:t>primary-source</w:t>
      </w:r>
      <w:r>
        <w:rPr>
          <w:spacing w:val="80"/>
        </w:rPr>
        <w:t> </w:t>
      </w:r>
      <w:r>
        <w:rPr/>
        <w:t>verified,</w:t>
      </w:r>
      <w:r>
        <w:rPr>
          <w:spacing w:val="80"/>
        </w:rPr>
        <w:t> </w:t>
      </w:r>
      <w:r>
        <w:rPr/>
        <w:t>66</w:t>
      </w:r>
      <w:r>
        <w:rPr>
          <w:spacing w:val="40"/>
        </w:rPr>
        <w:t> </w:t>
      </w:r>
      <w:r>
        <w:rPr/>
        <w:t>reconstructed)</w:t>
      </w:r>
      <w:r>
        <w:rPr>
          <w:spacing w:val="80"/>
        </w:rPr>
        <w:t> </w:t>
      </w:r>
      <w:r>
        <w:rPr/>
        <w:t>to</w:t>
      </w:r>
      <w:r>
        <w:rPr>
          <w:spacing w:val="40"/>
        </w:rPr>
        <w:t> </w:t>
      </w:r>
      <w:r>
        <w:rPr/>
        <w:t>compare</w:t>
      </w:r>
      <w:r>
        <w:rPr>
          <w:spacing w:val="80"/>
        </w:rPr>
        <w:t> </w:t>
      </w:r>
      <w:r>
        <w:rPr/>
        <w:t>retail</w:t>
      </w:r>
      <w:r>
        <w:rPr>
          <w:spacing w:val="40"/>
        </w:rPr>
        <w:t> </w:t>
      </w:r>
      <w:r>
        <w:rPr/>
        <w:t>CBDC</w:t>
      </w:r>
      <w:r>
        <w:rPr>
          <w:spacing w:val="40"/>
        </w:rPr>
        <w:t> </w:t>
      </w:r>
      <w:r>
        <w:rPr/>
        <w:t>designs</w:t>
      </w:r>
      <w:r>
        <w:rPr>
          <w:spacing w:val="40"/>
        </w:rPr>
        <w:t> </w:t>
      </w:r>
      <w:r>
        <w:rPr/>
        <w:t>on</w:t>
      </w:r>
      <w:r>
        <w:rPr>
          <w:spacing w:val="80"/>
        </w:rPr>
        <w:t> </w:t>
      </w:r>
      <w:r>
        <w:rPr/>
        <w:t>systemic-risk</w:t>
      </w:r>
      <w:r>
        <w:rPr>
          <w:spacing w:val="40"/>
        </w:rPr>
        <w:t> </w:t>
      </w:r>
      <w:r>
        <w:rPr/>
        <w:t>grounds.</w:t>
      </w:r>
      <w:r>
        <w:rPr>
          <w:spacing w:val="80"/>
        </w:rPr>
        <w:t> </w:t>
      </w:r>
      <w:r>
        <w:rPr/>
        <w:t>Two pre-specified</w:t>
      </w:r>
      <w:r>
        <w:rPr>
          <w:spacing w:val="80"/>
        </w:rPr>
        <w:t> </w:t>
      </w:r>
      <w:r>
        <w:rPr/>
        <w:t>regressor</w:t>
        <w:tab/>
        <w:tab/>
        <w:t>sets,</w:t>
      </w:r>
      <w:r>
        <w:rPr>
          <w:spacing w:val="80"/>
        </w:rPr>
        <w:t> </w:t>
      </w:r>
      <w:r>
        <w:rPr/>
        <w:t>which</w:t>
      </w:r>
      <w:r>
        <w:rPr>
          <w:spacing w:val="80"/>
        </w:rPr>
        <w:t> </w:t>
      </w:r>
      <w:r>
        <w:rPr/>
        <w:t>reallocate</w:t>
        <w:tab/>
        <w:t>shared</w:t>
      </w:r>
      <w:r>
        <w:rPr>
          <w:spacing w:val="80"/>
        </w:rPr>
        <w:t> </w:t>
      </w:r>
      <w:r>
        <w:rPr/>
        <w:t>variance</w:t>
      </w:r>
      <w:r>
        <w:rPr>
          <w:spacing w:val="80"/>
        </w:rPr>
        <w:t> </w:t>
      </w:r>
      <w:r>
        <w:rPr/>
        <w:t>under</w:t>
      </w:r>
      <w:r>
        <w:rPr>
          <w:spacing w:val="80"/>
        </w:rPr>
        <w:t> </w:t>
      </w:r>
      <w:r>
        <w:rPr/>
        <w:t>known collinearity (§3.5), both identify a positive, significant concentration×shock outflow channel</w:t>
      </w:r>
      <w:r>
        <w:rPr>
          <w:spacing w:val="76"/>
        </w:rPr>
        <w:t> </w:t>
      </w:r>
      <w:r>
        <w:rPr/>
        <w:t>on</w:t>
      </w:r>
      <w:r>
        <w:rPr>
          <w:spacing w:val="77"/>
        </w:rPr>
        <w:t> </w:t>
      </w:r>
      <w:r>
        <w:rPr/>
        <w:t>the</w:t>
      </w:r>
      <w:r>
        <w:rPr>
          <w:spacing w:val="76"/>
        </w:rPr>
        <w:t> </w:t>
      </w:r>
      <w:r>
        <w:rPr/>
        <w:t>full</w:t>
      </w:r>
      <w:r>
        <w:rPr>
          <w:spacing w:val="75"/>
        </w:rPr>
        <w:t> </w:t>
      </w:r>
      <w:r>
        <w:rPr/>
        <w:t>panel</w:t>
      </w:r>
      <w:r>
        <w:rPr>
          <w:spacing w:val="75"/>
        </w:rPr>
        <w:t> </w:t>
      </w:r>
      <w:r>
        <w:rPr/>
        <w:t>(θ₂=0.2466</w:t>
      </w:r>
      <w:r>
        <w:rPr>
          <w:spacing w:val="77"/>
        </w:rPr>
        <w:t> </w:t>
      </w:r>
      <w:r>
        <w:rPr/>
        <w:t>and</w:t>
      </w:r>
      <w:r>
        <w:rPr>
          <w:spacing w:val="77"/>
        </w:rPr>
        <w:t> </w:t>
      </w:r>
      <w:r>
        <w:rPr/>
        <w:t>0.3827,</w:t>
      </w:r>
      <w:r>
        <w:rPr>
          <w:spacing w:val="77"/>
        </w:rPr>
        <w:t> </w:t>
      </w:r>
      <w:r>
        <w:rPr/>
        <w:t>p&lt;0.001).</w:t>
      </w:r>
      <w:r>
        <w:rPr>
          <w:spacing w:val="77"/>
        </w:rPr>
        <w:t> </w:t>
      </w:r>
      <w:r>
        <w:rPr/>
        <w:t>On</w:t>
      </w:r>
      <w:r>
        <w:rPr>
          <w:spacing w:val="77"/>
        </w:rPr>
        <w:t> </w:t>
      </w:r>
      <w:r>
        <w:rPr/>
        <w:t>the</w:t>
      </w:r>
      <w:r>
        <w:rPr>
          <w:spacing w:val="76"/>
        </w:rPr>
        <w:t> </w:t>
      </w:r>
      <w:r>
        <w:rPr/>
        <w:t>15-episode verified-only subsample the two specifications diverge in significance (p=0.0325 vs. p=0.774); a formal heterogeneity test attributes this to sample-size imprecision rather than</w:t>
      </w:r>
      <w:r>
        <w:rPr>
          <w:spacing w:val="80"/>
          <w:w w:val="150"/>
        </w:rPr>
        <w:t> </w:t>
      </w:r>
      <w:r>
        <w:rPr/>
        <w:t>either</w:t>
      </w:r>
      <w:r>
        <w:rPr>
          <w:spacing w:val="80"/>
          <w:w w:val="150"/>
        </w:rPr>
        <w:t> </w:t>
      </w:r>
      <w:r>
        <w:rPr/>
        <w:t>specification</w:t>
      </w:r>
      <w:r>
        <w:rPr>
          <w:spacing w:val="80"/>
          <w:w w:val="150"/>
        </w:rPr>
        <w:t> </w:t>
      </w:r>
      <w:r>
        <w:rPr/>
        <w:t>being</w:t>
      </w:r>
      <w:r>
        <w:rPr>
          <w:spacing w:val="80"/>
          <w:w w:val="150"/>
        </w:rPr>
        <w:t> </w:t>
      </w:r>
      <w:r>
        <w:rPr/>
        <w:t>correct</w:t>
      </w:r>
      <w:r>
        <w:rPr>
          <w:spacing w:val="80"/>
          <w:w w:val="150"/>
        </w:rPr>
        <w:t> </w:t>
      </w:r>
      <w:r>
        <w:rPr/>
        <w:t>(p=0.602),</w:t>
      </w:r>
      <w:r>
        <w:rPr>
          <w:spacing w:val="80"/>
          <w:w w:val="150"/>
        </w:rPr>
        <w:t> </w:t>
      </w:r>
      <w:r>
        <w:rPr/>
        <w:t>so</w:t>
      </w:r>
      <w:r>
        <w:rPr>
          <w:spacing w:val="80"/>
          <w:w w:val="150"/>
        </w:rPr>
        <w:t> </w:t>
      </w:r>
      <w:r>
        <w:rPr/>
        <w:t>we</w:t>
      </w:r>
      <w:r>
        <w:rPr>
          <w:spacing w:val="80"/>
          <w:w w:val="150"/>
        </w:rPr>
        <w:t> </w:t>
      </w:r>
      <w:r>
        <w:rPr/>
        <w:t>treat</w:t>
      </w:r>
      <w:r>
        <w:rPr>
          <w:spacing w:val="80"/>
          <w:w w:val="150"/>
        </w:rPr>
        <w:t> </w:t>
      </w:r>
      <w:r>
        <w:rPr/>
        <w:t>verified-only confirmation</w:t>
      </w:r>
      <w:r>
        <w:rPr>
          <w:spacing w:val="80"/>
        </w:rPr>
        <w:t> </w:t>
      </w:r>
      <w:r>
        <w:rPr/>
        <w:t>as</w:t>
      </w:r>
      <w:r>
        <w:rPr>
          <w:spacing w:val="80"/>
        </w:rPr>
        <w:t> </w:t>
      </w:r>
      <w:r>
        <w:rPr/>
        <w:t>suggestive</w:t>
      </w:r>
      <w:r>
        <w:rPr>
          <w:spacing w:val="80"/>
        </w:rPr>
        <w:t> </w:t>
      </w:r>
      <w:r>
        <w:rPr/>
        <w:t>rather</w:t>
      </w:r>
      <w:r>
        <w:rPr>
          <w:spacing w:val="80"/>
        </w:rPr>
        <w:t> </w:t>
      </w:r>
      <w:r>
        <w:rPr/>
        <w:t>than</w:t>
      </w:r>
      <w:r>
        <w:rPr>
          <w:spacing w:val="80"/>
        </w:rPr>
        <w:t> </w:t>
      </w:r>
      <w:r>
        <w:rPr/>
        <w:t>settled.</w:t>
      </w:r>
      <w:r>
        <w:rPr>
          <w:spacing w:val="80"/>
        </w:rPr>
        <w:t> </w:t>
      </w:r>
      <w:r>
        <w:rPr/>
        <w:t>Calibrating</w:t>
      </w:r>
      <w:r>
        <w:rPr>
          <w:spacing w:val="80"/>
        </w:rPr>
        <w:t> </w:t>
      </w:r>
      <w:r>
        <w:rPr/>
        <w:t>a</w:t>
      </w:r>
      <w:r>
        <w:rPr>
          <w:spacing w:val="80"/>
        </w:rPr>
        <w:t> </w:t>
      </w:r>
      <w:r>
        <w:rPr/>
        <w:t>complex-systems simulation</w:t>
      </w:r>
      <w:r>
        <w:rPr>
          <w:spacing w:val="40"/>
        </w:rPr>
        <w:t> </w:t>
      </w:r>
      <w:r>
        <w:rPr/>
        <w:t>to</w:t>
      </w:r>
      <w:r>
        <w:rPr>
          <w:spacing w:val="40"/>
        </w:rPr>
        <w:t> </w:t>
      </w:r>
      <w:r>
        <w:rPr/>
        <w:t>this</w:t>
      </w:r>
      <w:r>
        <w:rPr>
          <w:spacing w:val="39"/>
        </w:rPr>
        <w:t> </w:t>
      </w:r>
      <w:r>
        <w:rPr/>
        <w:t>channel,</w:t>
      </w:r>
      <w:r>
        <w:rPr>
          <w:spacing w:val="40"/>
        </w:rPr>
        <w:t> </w:t>
      </w:r>
      <w:r>
        <w:rPr/>
        <w:t>a</w:t>
      </w:r>
      <w:r>
        <w:rPr>
          <w:spacing w:val="40"/>
        </w:rPr>
        <w:t> </w:t>
      </w:r>
      <w:r>
        <w:rPr/>
        <w:t>dynamic,</w:t>
      </w:r>
      <w:r>
        <w:rPr>
          <w:spacing w:val="40"/>
        </w:rPr>
        <w:t> </w:t>
      </w:r>
      <w:r>
        <w:rPr/>
        <w:t>tiered</w:t>
      </w:r>
      <w:r>
        <w:rPr>
          <w:spacing w:val="40"/>
        </w:rPr>
        <w:t> </w:t>
      </w:r>
      <w:r>
        <w:rPr/>
        <w:t>holding-cap</w:t>
      </w:r>
      <w:r>
        <w:rPr>
          <w:spacing w:val="40"/>
        </w:rPr>
        <w:t> </w:t>
      </w:r>
      <w:r>
        <w:rPr/>
        <w:t>design</w:t>
      </w:r>
      <w:r>
        <w:rPr>
          <w:spacing w:val="40"/>
        </w:rPr>
        <w:t> </w:t>
      </w:r>
      <w:r>
        <w:rPr/>
        <w:t>reduces</w:t>
      </w:r>
      <w:r>
        <w:rPr>
          <w:spacing w:val="40"/>
        </w:rPr>
        <w:t> </w:t>
      </w:r>
      <w:r>
        <w:rPr/>
        <w:t>simulated failure</w:t>
      </w:r>
      <w:r>
        <w:rPr>
          <w:spacing w:val="38"/>
        </w:rPr>
        <w:t> </w:t>
      </w:r>
      <w:r>
        <w:rPr/>
        <w:t>probability</w:t>
      </w:r>
      <w:r>
        <w:rPr>
          <w:spacing w:val="34"/>
        </w:rPr>
        <w:t> </w:t>
      </w:r>
      <w:r>
        <w:rPr/>
        <w:t>by</w:t>
      </w:r>
      <w:r>
        <w:rPr>
          <w:spacing w:val="34"/>
        </w:rPr>
        <w:t> </w:t>
      </w:r>
      <w:r>
        <w:rPr/>
        <w:t>27.2</w:t>
      </w:r>
      <w:r>
        <w:rPr>
          <w:spacing w:val="36"/>
        </w:rPr>
        <w:t> </w:t>
      </w:r>
      <w:r>
        <w:rPr/>
        <w:t>percentage</w:t>
      </w:r>
      <w:r>
        <w:rPr>
          <w:spacing w:val="38"/>
        </w:rPr>
        <w:t> </w:t>
      </w:r>
      <w:r>
        <w:rPr/>
        <w:t>points</w:t>
      </w:r>
      <w:r>
        <w:rPr>
          <w:spacing w:val="40"/>
        </w:rPr>
        <w:t> </w:t>
      </w:r>
      <w:r>
        <w:rPr/>
        <w:t>relative</w:t>
      </w:r>
      <w:r>
        <w:rPr>
          <w:spacing w:val="35"/>
        </w:rPr>
        <w:t> </w:t>
      </w:r>
      <w:r>
        <w:rPr/>
        <w:t>to</w:t>
      </w:r>
      <w:r>
        <w:rPr>
          <w:spacing w:val="38"/>
        </w:rPr>
        <w:t> </w:t>
      </w:r>
      <w:r>
        <w:rPr/>
        <w:t>an</w:t>
      </w:r>
      <w:r>
        <w:rPr>
          <w:spacing w:val="38"/>
        </w:rPr>
        <w:t> </w:t>
      </w:r>
      <w:r>
        <w:rPr/>
        <w:t>unconstrained</w:t>
      </w:r>
      <w:r>
        <w:rPr>
          <w:spacing w:val="40"/>
        </w:rPr>
        <w:t> </w:t>
      </w:r>
      <w:r>
        <w:rPr/>
        <w:t>CBDC,</w:t>
      </w:r>
      <w:r>
        <w:rPr>
          <w:spacing w:val="38"/>
        </w:rPr>
        <w:t> </w:t>
      </w:r>
      <w:r>
        <w:rPr/>
        <w:t>a ranking</w:t>
      </w:r>
      <w:r>
        <w:rPr>
          <w:spacing w:val="40"/>
        </w:rPr>
        <w:t> </w:t>
      </w:r>
      <w:r>
        <w:rPr/>
        <w:t>stable</w:t>
      </w:r>
      <w:r>
        <w:rPr>
          <w:spacing w:val="40"/>
        </w:rPr>
        <w:t> </w:t>
      </w:r>
      <w:r>
        <w:rPr/>
        <w:t>across</w:t>
      </w:r>
      <w:r>
        <w:rPr>
          <w:spacing w:val="40"/>
        </w:rPr>
        <w:t> </w:t>
      </w:r>
      <w:r>
        <w:rPr/>
        <w:t>five</w:t>
      </w:r>
      <w:r>
        <w:rPr>
          <w:spacing w:val="40"/>
        </w:rPr>
        <w:t> </w:t>
      </w:r>
      <w:r>
        <w:rPr/>
        <w:t>countries,</w:t>
      </w:r>
      <w:r>
        <w:rPr>
          <w:spacing w:val="40"/>
        </w:rPr>
        <w:t> </w:t>
      </w:r>
      <w:r>
        <w:rPr/>
        <w:t>parameter</w:t>
      </w:r>
      <w:r>
        <w:rPr>
          <w:spacing w:val="40"/>
        </w:rPr>
        <w:t> </w:t>
      </w:r>
      <w:r>
        <w:rPr/>
        <w:t>perturbations</w:t>
      </w:r>
      <w:r>
        <w:rPr>
          <w:spacing w:val="40"/>
        </w:rPr>
        <w:t> </w:t>
      </w:r>
      <w:r>
        <w:rPr/>
        <w:t>to</w:t>
        <w:tab/>
        <w:t>±40%,</w:t>
      </w:r>
      <w:r>
        <w:rPr>
          <w:spacing w:val="40"/>
        </w:rPr>
        <w:t> </w:t>
      </w:r>
      <w:r>
        <w:rPr/>
        <w:t>and</w:t>
      </w:r>
      <w:r>
        <w:rPr>
          <w:spacing w:val="40"/>
        </w:rPr>
        <w:t> </w:t>
      </w:r>
      <w:r>
        <w:rPr/>
        <w:t>60 </w:t>
      </w:r>
      <w:r>
        <w:rPr>
          <w:spacing w:val="-2"/>
        </w:rPr>
        <w:t>bootstrap</w:t>
      </w:r>
      <w:r>
        <w:rPr/>
        <w:tab/>
      </w:r>
      <w:r>
        <w:rPr>
          <w:spacing w:val="-2"/>
        </w:rPr>
        <w:t>refits.</w:t>
      </w:r>
      <w:r>
        <w:rPr/>
        <w:tab/>
      </w:r>
      <w:r>
        <w:rPr>
          <w:spacing w:val="-10"/>
        </w:rPr>
        <w:t>A</w:t>
      </w:r>
      <w:r>
        <w:rPr/>
        <w:tab/>
      </w:r>
      <w:r>
        <w:rPr>
          <w:spacing w:val="-2"/>
        </w:rPr>
        <w:t>Korea-specific</w:t>
      </w:r>
      <w:r>
        <w:rPr/>
        <w:tab/>
      </w:r>
      <w:r>
        <w:rPr>
          <w:spacing w:val="-4"/>
        </w:rPr>
        <w:t>fine</w:t>
      </w:r>
      <w:r>
        <w:rPr/>
        <w:tab/>
      </w:r>
      <w:r>
        <w:rPr>
          <w:spacing w:val="-4"/>
        </w:rPr>
        <w:t>grid</w:t>
      </w:r>
      <w:r>
        <w:rPr/>
        <w:tab/>
        <w:tab/>
      </w:r>
      <w:r>
        <w:rPr>
          <w:spacing w:val="-2"/>
        </w:rPr>
        <w:t>identifies</w:t>
      </w:r>
      <w:r>
        <w:rPr/>
        <w:tab/>
      </w:r>
      <w:r>
        <w:rPr>
          <w:spacing w:val="-4"/>
        </w:rPr>
        <w:t>5.5M</w:t>
      </w:r>
      <w:r>
        <w:rPr/>
        <w:tab/>
        <w:tab/>
      </w:r>
      <w:r>
        <w:rPr>
          <w:spacing w:val="-4"/>
        </w:rPr>
        <w:t>KRW</w:t>
      </w:r>
      <w:r>
        <w:rPr/>
        <w:tab/>
      </w:r>
      <w:r>
        <w:rPr>
          <w:spacing w:val="-6"/>
        </w:rPr>
        <w:t>as</w:t>
      </w:r>
      <w:r>
        <w:rPr/>
        <w:tab/>
      </w:r>
      <w:r>
        <w:rPr>
          <w:spacing w:val="-10"/>
        </w:rPr>
        <w:t>a </w:t>
      </w:r>
      <w:r>
        <w:rPr/>
        <w:t>mechanism-diagnostic</w:t>
      </w:r>
      <w:r>
        <w:rPr>
          <w:spacing w:val="40"/>
        </w:rPr>
        <w:t> </w:t>
      </w:r>
      <w:r>
        <w:rPr/>
        <w:t>threshold</w:t>
      </w:r>
      <w:r>
        <w:rPr>
          <w:spacing w:val="40"/>
        </w:rPr>
        <w:t> </w:t>
      </w:r>
      <w:r>
        <w:rPr/>
        <w:t>showing</w:t>
      </w:r>
      <w:r>
        <w:rPr>
          <w:spacing w:val="40"/>
        </w:rPr>
        <w:t> </w:t>
      </w:r>
      <w:r>
        <w:rPr/>
        <w:t>how</w:t>
      </w:r>
      <w:r>
        <w:rPr>
          <w:spacing w:val="40"/>
        </w:rPr>
        <w:t> </w:t>
      </w:r>
      <w:r>
        <w:rPr/>
        <w:t>the</w:t>
      </w:r>
      <w:r>
        <w:rPr>
          <w:spacing w:val="40"/>
        </w:rPr>
        <w:t> </w:t>
      </w:r>
      <w:r>
        <w:rPr/>
        <w:t>channel</w:t>
      </w:r>
      <w:r>
        <w:rPr>
          <w:spacing w:val="40"/>
        </w:rPr>
        <w:t> </w:t>
      </w:r>
      <w:r>
        <w:rPr/>
        <w:t>operates</w:t>
      </w:r>
      <w:r>
        <w:rPr>
          <w:spacing w:val="40"/>
        </w:rPr>
        <w:t> </w:t>
      </w:r>
      <w:r>
        <w:rPr/>
        <w:t>locally,</w:t>
      </w:r>
      <w:r>
        <w:rPr>
          <w:spacing w:val="40"/>
        </w:rPr>
        <w:t> </w:t>
      </w:r>
      <w:r>
        <w:rPr/>
        <w:t>not</w:t>
      </w:r>
      <w:r>
        <w:rPr>
          <w:spacing w:val="40"/>
        </w:rPr>
        <w:t> </w:t>
      </w:r>
      <w:r>
        <w:rPr/>
        <w:t>a portable</w:t>
      </w:r>
      <w:r>
        <w:rPr>
          <w:spacing w:val="80"/>
        </w:rPr>
        <w:t> </w:t>
      </w:r>
      <w:r>
        <w:rPr/>
        <w:t>policy</w:t>
      </w:r>
      <w:r>
        <w:rPr>
          <w:spacing w:val="80"/>
        </w:rPr>
        <w:t> </w:t>
      </w:r>
      <w:r>
        <w:rPr/>
        <w:t>prescription.</w:t>
      </w:r>
      <w:r>
        <w:rPr>
          <w:spacing w:val="80"/>
        </w:rPr>
        <w:t> </w:t>
      </w:r>
      <w:r>
        <w:rPr/>
        <w:t>Predictive</w:t>
      </w:r>
      <w:r>
        <w:rPr>
          <w:spacing w:val="80"/>
        </w:rPr>
        <w:t> </w:t>
      </w:r>
      <w:r>
        <w:rPr/>
        <w:t>accuracy</w:t>
      </w:r>
      <w:r>
        <w:rPr>
          <w:spacing w:val="80"/>
        </w:rPr>
        <w:t> </w:t>
      </w:r>
      <w:r>
        <w:rPr/>
        <w:t>falls</w:t>
      </w:r>
      <w:r>
        <w:rPr>
          <w:spacing w:val="80"/>
        </w:rPr>
        <w:t> </w:t>
      </w:r>
      <w:r>
        <w:rPr/>
        <w:t>below</w:t>
      </w:r>
      <w:r>
        <w:rPr>
          <w:spacing w:val="80"/>
        </w:rPr>
        <w:t> </w:t>
      </w:r>
      <w:r>
        <w:rPr/>
        <w:t>a</w:t>
      </w:r>
      <w:r>
        <w:rPr>
          <w:spacing w:val="80"/>
        </w:rPr>
        <w:t> </w:t>
      </w:r>
      <w:r>
        <w:rPr/>
        <w:t>majority-class</w:t>
      </w:r>
      <w:r>
        <w:rPr>
          <w:spacing w:val="80"/>
        </w:rPr>
        <w:t> </w:t>
      </w:r>
      <w:r>
        <w:rPr/>
        <w:t>benchmark, so we scope the contribution to comparative design ranking rather than</w:t>
      </w:r>
      <w:r>
        <w:rPr>
          <w:spacing w:val="80"/>
        </w:rPr>
        <w:t> </w:t>
      </w:r>
      <w:r>
        <w:rPr/>
        <w:t>crisis prediction. Roughly four-fifths of the panel remains reconstructed; closing this gap</w:t>
      </w:r>
      <w:r>
        <w:rPr>
          <w:spacing w:val="40"/>
        </w:rPr>
        <w:t> </w:t>
      </w:r>
      <w:r>
        <w:rPr/>
        <w:t>through</w:t>
      </w:r>
      <w:r>
        <w:rPr>
          <w:spacing w:val="40"/>
        </w:rPr>
        <w:t> </w:t>
      </w:r>
      <w:r>
        <w:rPr/>
        <w:t>verified-episode</w:t>
      </w:r>
      <w:r>
        <w:rPr>
          <w:spacing w:val="40"/>
        </w:rPr>
        <w:t> </w:t>
      </w:r>
      <w:r>
        <w:rPr/>
        <w:t>collection</w:t>
      </w:r>
      <w:r>
        <w:rPr>
          <w:spacing w:val="40"/>
        </w:rPr>
        <w:t> </w:t>
      </w:r>
      <w:r>
        <w:rPr/>
        <w:t>alone</w:t>
      </w:r>
      <w:r>
        <w:rPr>
          <w:spacing w:val="40"/>
        </w:rPr>
        <w:t> </w:t>
      </w:r>
      <w:r>
        <w:rPr/>
        <w:t>would</w:t>
      </w:r>
      <w:r>
        <w:rPr>
          <w:spacing w:val="40"/>
        </w:rPr>
        <w:t> </w:t>
      </w:r>
      <w:r>
        <w:rPr/>
        <w:t>require</w:t>
      </w:r>
      <w:r>
        <w:rPr>
          <w:spacing w:val="40"/>
        </w:rPr>
        <w:t> </w:t>
      </w:r>
      <w:r>
        <w:rPr/>
        <w:t>an</w:t>
      </w:r>
      <w:r>
        <w:rPr>
          <w:spacing w:val="40"/>
        </w:rPr>
        <w:t> </w:t>
      </w:r>
      <w:r>
        <w:rPr/>
        <w:t>implausible</w:t>
      </w:r>
      <w:r>
        <w:rPr>
          <w:spacing w:val="40"/>
        </w:rPr>
        <w:t> </w:t>
      </w:r>
      <w:r>
        <w:rPr/>
        <w:t>2,650 episodes, while a random-effects shrinkage estimator pooling both strata offers a more stable,</w:t>
      </w:r>
      <w:r>
        <w:rPr>
          <w:spacing w:val="38"/>
        </w:rPr>
        <w:t> </w:t>
      </w:r>
      <w:r>
        <w:rPr/>
        <w:t>though</w:t>
      </w:r>
      <w:r>
        <w:rPr>
          <w:spacing w:val="38"/>
        </w:rPr>
        <w:t> </w:t>
      </w:r>
      <w:r>
        <w:rPr/>
        <w:t>still</w:t>
      </w:r>
      <w:r>
        <w:rPr>
          <w:spacing w:val="38"/>
        </w:rPr>
        <w:t> </w:t>
      </w:r>
      <w:r>
        <w:rPr/>
        <w:t>not</w:t>
      </w:r>
      <w:r>
        <w:rPr>
          <w:spacing w:val="39"/>
        </w:rPr>
        <w:t> </w:t>
      </w:r>
      <w:r>
        <w:rPr/>
        <w:t>independently</w:t>
      </w:r>
      <w:r>
        <w:rPr>
          <w:spacing w:val="36"/>
        </w:rPr>
        <w:t> </w:t>
      </w:r>
      <w:r>
        <w:rPr/>
        <w:t>significant,</w:t>
      </w:r>
      <w:r>
        <w:rPr>
          <w:spacing w:val="38"/>
        </w:rPr>
        <w:t> </w:t>
      </w:r>
      <w:r>
        <w:rPr/>
        <w:t>middle</w:t>
      </w:r>
      <w:r>
        <w:rPr>
          <w:spacing w:val="35"/>
        </w:rPr>
        <w:t> </w:t>
      </w:r>
      <w:r>
        <w:rPr/>
        <w:t>path</w:t>
      </w:r>
      <w:r>
        <w:rPr>
          <w:spacing w:val="38"/>
        </w:rPr>
        <w:t> </w:t>
      </w:r>
      <w:r>
        <w:rPr/>
        <w:t>(θ₂=0.3734,</w:t>
      </w:r>
      <w:r>
        <w:rPr>
          <w:spacing w:val="38"/>
        </w:rPr>
        <w:t> </w:t>
      </w:r>
      <w:r>
        <w:rPr/>
        <w:t>p=0.185) requiring</w:t>
      </w:r>
      <w:r>
        <w:rPr>
          <w:spacing w:val="40"/>
        </w:rPr>
        <w:t> </w:t>
      </w:r>
      <w:r>
        <w:rPr/>
        <w:t>no</w:t>
      </w:r>
      <w:r>
        <w:rPr>
          <w:spacing w:val="40"/>
        </w:rPr>
        <w:t> </w:t>
      </w:r>
      <w:r>
        <w:rPr/>
        <w:t>new</w:t>
      </w:r>
      <w:r>
        <w:rPr>
          <w:spacing w:val="40"/>
        </w:rPr>
        <w:t> </w:t>
      </w:r>
      <w:r>
        <w:rPr/>
        <w:t>data.</w:t>
      </w:r>
      <w:r>
        <w:rPr>
          <w:spacing w:val="40"/>
        </w:rPr>
        <w:t> </w:t>
      </w:r>
      <w:r>
        <w:rPr/>
        <w:t>For</w:t>
      </w:r>
      <w:r>
        <w:rPr>
          <w:spacing w:val="40"/>
        </w:rPr>
        <w:t> </w:t>
      </w:r>
      <w:r>
        <w:rPr/>
        <w:t>a</w:t>
      </w:r>
      <w:r>
        <w:rPr>
          <w:spacing w:val="40"/>
        </w:rPr>
        <w:t> </w:t>
      </w:r>
      <w:r>
        <w:rPr/>
        <w:t>central</w:t>
      </w:r>
      <w:r>
        <w:rPr>
          <w:spacing w:val="40"/>
        </w:rPr>
        <w:t> </w:t>
      </w:r>
      <w:r>
        <w:rPr/>
        <w:t>bank</w:t>
      </w:r>
      <w:r>
        <w:rPr>
          <w:spacing w:val="40"/>
        </w:rPr>
        <w:t> </w:t>
      </w:r>
      <w:r>
        <w:rPr/>
        <w:t>designing</w:t>
      </w:r>
      <w:r>
        <w:rPr>
          <w:spacing w:val="40"/>
        </w:rPr>
        <w:t> </w:t>
      </w:r>
      <w:r>
        <w:rPr/>
        <w:t>a</w:t>
      </w:r>
      <w:r>
        <w:rPr>
          <w:spacing w:val="40"/>
        </w:rPr>
        <w:t> </w:t>
      </w:r>
      <w:r>
        <w:rPr/>
        <w:t>retail</w:t>
      </w:r>
      <w:r>
        <w:rPr>
          <w:spacing w:val="40"/>
        </w:rPr>
        <w:t> </w:t>
      </w:r>
      <w:r>
        <w:rPr/>
        <w:t>CBDC</w:t>
      </w:r>
      <w:r>
        <w:rPr>
          <w:spacing w:val="40"/>
        </w:rPr>
        <w:t> </w:t>
      </w:r>
      <w:r>
        <w:rPr/>
        <w:t>today,</w:t>
      </w:r>
      <w:r>
        <w:rPr>
          <w:spacing w:val="40"/>
        </w:rPr>
        <w:t> </w:t>
      </w:r>
      <w:r>
        <w:rPr/>
        <w:t>this</w:t>
      </w:r>
      <w:r>
        <w:rPr>
          <w:spacing w:val="80"/>
          <w:w w:val="150"/>
        </w:rPr>
        <w:t> </w:t>
      </w:r>
      <w:r>
        <w:rPr/>
        <w:t>evidence</w:t>
      </w:r>
      <w:r>
        <w:rPr>
          <w:spacing w:val="40"/>
        </w:rPr>
        <w:t> </w:t>
      </w:r>
      <w:r>
        <w:rPr/>
        <w:t>favours</w:t>
      </w:r>
      <w:r>
        <w:rPr>
          <w:spacing w:val="40"/>
        </w:rPr>
        <w:t> </w:t>
      </w:r>
      <w:r>
        <w:rPr/>
        <w:t>a</w:t>
      </w:r>
      <w:r>
        <w:rPr>
          <w:spacing w:val="40"/>
        </w:rPr>
        <w:t> </w:t>
      </w:r>
      <w:r>
        <w:rPr/>
        <w:t>dynamic,</w:t>
      </w:r>
      <w:r>
        <w:rPr>
          <w:spacing w:val="40"/>
        </w:rPr>
        <w:t> </w:t>
      </w:r>
      <w:r>
        <w:rPr/>
        <w:t>tiered</w:t>
      </w:r>
      <w:r>
        <w:rPr>
          <w:spacing w:val="40"/>
        </w:rPr>
        <w:t> </w:t>
      </w:r>
      <w:r>
        <w:rPr/>
        <w:t>holding</w:t>
      </w:r>
      <w:r>
        <w:rPr>
          <w:spacing w:val="40"/>
        </w:rPr>
        <w:t> </w:t>
      </w:r>
      <w:r>
        <w:rPr/>
        <w:t>cap</w:t>
      </w:r>
      <w:r>
        <w:rPr>
          <w:spacing w:val="40"/>
        </w:rPr>
        <w:t> </w:t>
      </w:r>
      <w:r>
        <w:rPr/>
        <w:t>over</w:t>
      </w:r>
      <w:r>
        <w:rPr>
          <w:spacing w:val="40"/>
        </w:rPr>
        <w:t> </w:t>
      </w:r>
      <w:r>
        <w:rPr/>
        <w:t>a</w:t>
      </w:r>
      <w:r>
        <w:rPr>
          <w:spacing w:val="40"/>
        </w:rPr>
        <w:t> </w:t>
      </w:r>
      <w:r>
        <w:rPr/>
        <w:t>fixed</w:t>
      </w:r>
      <w:r>
        <w:rPr>
          <w:spacing w:val="40"/>
        </w:rPr>
        <w:t> </w:t>
      </w:r>
      <w:r>
        <w:rPr/>
        <w:t>limit</w:t>
      </w:r>
      <w:r>
        <w:rPr>
          <w:spacing w:val="40"/>
        </w:rPr>
        <w:t> </w:t>
      </w:r>
      <w:r>
        <w:rPr/>
        <w:t>as</w:t>
      </w:r>
      <w:r>
        <w:rPr>
          <w:spacing w:val="40"/>
        </w:rPr>
        <w:t> </w:t>
      </w:r>
      <w:r>
        <w:rPr/>
        <w:t>a</w:t>
      </w:r>
      <w:r>
        <w:rPr>
          <w:spacing w:val="40"/>
        </w:rPr>
        <w:t> </w:t>
      </w:r>
      <w:r>
        <w:rPr/>
        <w:t>concrete starting point, backed by a fully reproducible codebase.</w:t>
      </w:r>
    </w:p>
    <w:p>
      <w:pPr>
        <w:pStyle w:val="BodyText"/>
        <w:spacing w:before="213"/>
        <w:ind w:left="0"/>
      </w:pPr>
    </w:p>
    <w:p>
      <w:pPr>
        <w:spacing w:line="480" w:lineRule="auto" w:before="0"/>
        <w:ind w:left="99" w:right="300" w:firstLine="0"/>
        <w:jc w:val="left"/>
        <w:rPr>
          <w:i/>
          <w:sz w:val="24"/>
        </w:rPr>
      </w:pPr>
      <w:r>
        <w:rPr>
          <w:b/>
          <w:spacing w:val="-2"/>
          <w:sz w:val="24"/>
        </w:rPr>
        <w:t>Keywords:</w:t>
      </w:r>
      <w:r>
        <w:rPr>
          <w:b/>
          <w:spacing w:val="-5"/>
          <w:sz w:val="24"/>
        </w:rPr>
        <w:t> </w:t>
      </w:r>
      <w:r>
        <w:rPr>
          <w:i/>
          <w:spacing w:val="-2"/>
          <w:sz w:val="24"/>
        </w:rPr>
        <w:t>CBDC;</w:t>
      </w:r>
      <w:r>
        <w:rPr>
          <w:i/>
          <w:spacing w:val="-3"/>
          <w:sz w:val="24"/>
        </w:rPr>
        <w:t> </w:t>
      </w:r>
      <w:r>
        <w:rPr>
          <w:i/>
          <w:spacing w:val="-2"/>
          <w:sz w:val="24"/>
        </w:rPr>
        <w:t>systemic</w:t>
      </w:r>
      <w:r>
        <w:rPr>
          <w:i/>
          <w:spacing w:val="-5"/>
          <w:sz w:val="24"/>
        </w:rPr>
        <w:t> </w:t>
      </w:r>
      <w:r>
        <w:rPr>
          <w:i/>
          <w:spacing w:val="-2"/>
          <w:sz w:val="24"/>
        </w:rPr>
        <w:t>risk;</w:t>
      </w:r>
      <w:r>
        <w:rPr>
          <w:i/>
          <w:spacing w:val="-3"/>
          <w:sz w:val="24"/>
        </w:rPr>
        <w:t> </w:t>
      </w:r>
      <w:r>
        <w:rPr>
          <w:i/>
          <w:spacing w:val="-2"/>
          <w:sz w:val="24"/>
        </w:rPr>
        <w:t>OLS</w:t>
      </w:r>
      <w:r>
        <w:rPr>
          <w:i/>
          <w:spacing w:val="-5"/>
          <w:sz w:val="24"/>
        </w:rPr>
        <w:t> </w:t>
      </w:r>
      <w:r>
        <w:rPr>
          <w:i/>
          <w:spacing w:val="-2"/>
          <w:sz w:val="24"/>
        </w:rPr>
        <w:t>calibration;</w:t>
      </w:r>
      <w:r>
        <w:rPr>
          <w:i/>
          <w:spacing w:val="-3"/>
          <w:sz w:val="24"/>
        </w:rPr>
        <w:t> </w:t>
      </w:r>
      <w:r>
        <w:rPr>
          <w:i/>
          <w:spacing w:val="-2"/>
          <w:sz w:val="24"/>
        </w:rPr>
        <w:t>financial</w:t>
      </w:r>
      <w:r>
        <w:rPr>
          <w:i/>
          <w:spacing w:val="-4"/>
          <w:sz w:val="24"/>
        </w:rPr>
        <w:t> </w:t>
      </w:r>
      <w:r>
        <w:rPr>
          <w:i/>
          <w:spacing w:val="-2"/>
          <w:sz w:val="24"/>
        </w:rPr>
        <w:t>stability;</w:t>
      </w:r>
      <w:r>
        <w:rPr>
          <w:i/>
          <w:spacing w:val="-3"/>
          <w:sz w:val="24"/>
        </w:rPr>
        <w:t> </w:t>
      </w:r>
      <w:r>
        <w:rPr>
          <w:i/>
          <w:spacing w:val="-2"/>
          <w:sz w:val="24"/>
        </w:rPr>
        <w:t>complex</w:t>
      </w:r>
      <w:r>
        <w:rPr>
          <w:i/>
          <w:spacing w:val="-5"/>
          <w:sz w:val="24"/>
        </w:rPr>
        <w:t> </w:t>
      </w:r>
      <w:r>
        <w:rPr>
          <w:i/>
          <w:spacing w:val="-2"/>
          <w:sz w:val="24"/>
        </w:rPr>
        <w:t>systems;</w:t>
      </w:r>
      <w:r>
        <w:rPr>
          <w:i/>
          <w:spacing w:val="-2"/>
          <w:sz w:val="24"/>
        </w:rPr>
        <w:t> </w:t>
      </w:r>
      <w:r>
        <w:rPr>
          <w:i/>
          <w:sz w:val="24"/>
        </w:rPr>
        <w:t>stability-inclusion</w:t>
      </w:r>
      <w:r>
        <w:rPr>
          <w:i/>
          <w:spacing w:val="-8"/>
          <w:sz w:val="24"/>
        </w:rPr>
        <w:t> </w:t>
      </w:r>
      <w:r>
        <w:rPr>
          <w:i/>
          <w:sz w:val="24"/>
        </w:rPr>
        <w:t>trade-off;</w:t>
      </w:r>
      <w:r>
        <w:rPr>
          <w:i/>
          <w:spacing w:val="-7"/>
          <w:sz w:val="24"/>
        </w:rPr>
        <w:t> </w:t>
      </w:r>
      <w:r>
        <w:rPr>
          <w:i/>
          <w:sz w:val="24"/>
        </w:rPr>
        <w:t>regime</w:t>
      </w:r>
      <w:r>
        <w:rPr>
          <w:i/>
          <w:spacing w:val="-9"/>
          <w:sz w:val="24"/>
        </w:rPr>
        <w:t> </w:t>
      </w:r>
      <w:r>
        <w:rPr>
          <w:i/>
          <w:sz w:val="24"/>
        </w:rPr>
        <w:t>robustness;</w:t>
      </w:r>
      <w:r>
        <w:rPr>
          <w:i/>
          <w:spacing w:val="-7"/>
          <w:sz w:val="24"/>
        </w:rPr>
        <w:t> </w:t>
      </w:r>
      <w:r>
        <w:rPr>
          <w:i/>
          <w:sz w:val="24"/>
        </w:rPr>
        <w:t>measurement-error</w:t>
      </w:r>
      <w:r>
        <w:rPr>
          <w:i/>
          <w:spacing w:val="-6"/>
          <w:sz w:val="24"/>
        </w:rPr>
        <w:t> </w:t>
      </w:r>
      <w:r>
        <w:rPr>
          <w:i/>
          <w:sz w:val="24"/>
        </w:rPr>
        <w:t>sensitivity</w:t>
      </w:r>
    </w:p>
    <w:p>
      <w:pPr>
        <w:spacing w:after="0" w:line="480" w:lineRule="auto"/>
        <w:jc w:val="left"/>
        <w:rPr>
          <w:i/>
          <w:sz w:val="24"/>
        </w:rPr>
        <w:sectPr>
          <w:pgSz w:w="11900" w:h="16820"/>
          <w:pgMar w:header="714" w:footer="0" w:top="1340" w:bottom="280" w:left="1700" w:right="1417"/>
        </w:sectPr>
      </w:pPr>
    </w:p>
    <w:p>
      <w:pPr>
        <w:pStyle w:val="BodyText"/>
        <w:spacing w:before="163"/>
        <w:ind w:left="0"/>
        <w:rPr>
          <w:i/>
        </w:rPr>
      </w:pPr>
    </w:p>
    <w:p>
      <w:pPr>
        <w:pStyle w:val="Heading1"/>
        <w:numPr>
          <w:ilvl w:val="0"/>
          <w:numId w:val="1"/>
        </w:numPr>
        <w:tabs>
          <w:tab w:pos="337" w:val="left" w:leader="none"/>
        </w:tabs>
        <w:spacing w:line="240" w:lineRule="auto" w:before="0" w:after="0"/>
        <w:ind w:left="337" w:right="0" w:hanging="238"/>
        <w:jc w:val="left"/>
      </w:pPr>
      <w:r>
        <w:rPr>
          <w:spacing w:val="-2"/>
        </w:rPr>
        <w:t>Introduction</w:t>
      </w:r>
    </w:p>
    <w:p>
      <w:pPr>
        <w:pStyle w:val="BodyText"/>
        <w:spacing w:before="121"/>
        <w:ind w:left="0"/>
        <w:rPr>
          <w:b/>
        </w:rPr>
      </w:pPr>
    </w:p>
    <w:p>
      <w:pPr>
        <w:pStyle w:val="BodyText"/>
        <w:spacing w:line="480" w:lineRule="auto" w:before="1"/>
        <w:ind w:right="243"/>
      </w:pPr>
      <w:r>
        <w:rPr/>
        <w:t>Central bank digital currencies (CBDCs) are increasingly discussed not merely as a</w:t>
      </w:r>
      <w:r>
        <w:rPr>
          <w:spacing w:val="80"/>
        </w:rPr>
        <w:t> </w:t>
      </w:r>
      <w:r>
        <w:rPr/>
        <w:t>payment-system</w:t>
      </w:r>
      <w:r>
        <w:rPr>
          <w:spacing w:val="40"/>
        </w:rPr>
        <w:t> </w:t>
      </w:r>
      <w:r>
        <w:rPr/>
        <w:t>innovation</w:t>
      </w:r>
      <w:r>
        <w:rPr>
          <w:spacing w:val="40"/>
        </w:rPr>
        <w:t> </w:t>
      </w:r>
      <w:r>
        <w:rPr/>
        <w:t>but</w:t>
      </w:r>
      <w:r>
        <w:rPr>
          <w:spacing w:val="40"/>
        </w:rPr>
        <w:t> </w:t>
      </w:r>
      <w:r>
        <w:rPr/>
        <w:t>as</w:t>
      </w:r>
      <w:r>
        <w:rPr>
          <w:spacing w:val="40"/>
        </w:rPr>
        <w:t> </w:t>
      </w:r>
      <w:r>
        <w:rPr/>
        <w:t>a</w:t>
      </w:r>
      <w:r>
        <w:rPr>
          <w:spacing w:val="40"/>
        </w:rPr>
        <w:t> </w:t>
      </w:r>
      <w:r>
        <w:rPr/>
        <w:t>potential</w:t>
      </w:r>
      <w:r>
        <w:rPr>
          <w:spacing w:val="40"/>
        </w:rPr>
        <w:t> </w:t>
      </w:r>
      <w:r>
        <w:rPr/>
        <w:t>macroprudential</w:t>
      </w:r>
      <w:r>
        <w:rPr>
          <w:spacing w:val="40"/>
        </w:rPr>
        <w:t> </w:t>
      </w:r>
      <w:r>
        <w:rPr/>
        <w:t>instrument:</w:t>
      </w:r>
      <w:r>
        <w:rPr>
          <w:spacing w:val="40"/>
        </w:rPr>
        <w:t> </w:t>
      </w:r>
      <w:r>
        <w:rPr/>
        <w:t>a</w:t>
      </w:r>
      <w:r>
        <w:rPr>
          <w:spacing w:val="40"/>
        </w:rPr>
        <w:t> </w:t>
      </w:r>
      <w:r>
        <w:rPr/>
        <w:t>policy lever central banks could use to actively manage systemic risk arising from digital-era deposit dynamics, rather than a passive technology whose stability consequences must simply be absorbed</w:t>
      </w:r>
      <w:r>
        <w:rPr>
          <w:spacing w:val="38"/>
        </w:rPr>
        <w:t> </w:t>
      </w:r>
      <w:r>
        <w:rPr/>
        <w:t>after the fact. Whether CBDC design can credibly perform this</w:t>
      </w:r>
      <w:r>
        <w:rPr>
          <w:spacing w:val="80"/>
        </w:rPr>
        <w:t> </w:t>
      </w:r>
      <w:r>
        <w:rPr/>
        <w:t>macroprudential</w:t>
      </w:r>
      <w:r>
        <w:rPr>
          <w:spacing w:val="27"/>
        </w:rPr>
        <w:t> </w:t>
      </w:r>
      <w:r>
        <w:rPr/>
        <w:t>role,</w:t>
      </w:r>
      <w:r>
        <w:rPr>
          <w:spacing w:val="29"/>
        </w:rPr>
        <w:t> </w:t>
      </w:r>
      <w:r>
        <w:rPr/>
        <w:t>and</w:t>
      </w:r>
      <w:r>
        <w:rPr>
          <w:spacing w:val="29"/>
        </w:rPr>
        <w:t> </w:t>
      </w:r>
      <w:r>
        <w:rPr/>
        <w:t>which</w:t>
      </w:r>
      <w:r>
        <w:rPr>
          <w:spacing w:val="29"/>
        </w:rPr>
        <w:t> </w:t>
      </w:r>
      <w:r>
        <w:rPr/>
        <w:t>design</w:t>
      </w:r>
      <w:r>
        <w:rPr>
          <w:spacing w:val="29"/>
        </w:rPr>
        <w:t> </w:t>
      </w:r>
      <w:r>
        <w:rPr/>
        <w:t>choices</w:t>
      </w:r>
      <w:r>
        <w:rPr>
          <w:spacing w:val="30"/>
        </w:rPr>
        <w:t> </w:t>
      </w:r>
      <w:r>
        <w:rPr/>
        <w:t>are</w:t>
      </w:r>
      <w:r>
        <w:rPr>
          <w:spacing w:val="25"/>
        </w:rPr>
        <w:t> </w:t>
      </w:r>
      <w:r>
        <w:rPr/>
        <w:t>best</w:t>
      </w:r>
      <w:r>
        <w:rPr>
          <w:spacing w:val="26"/>
        </w:rPr>
        <w:t> </w:t>
      </w:r>
      <w:r>
        <w:rPr/>
        <w:t>suited</w:t>
      </w:r>
      <w:r>
        <w:rPr>
          <w:spacing w:val="26"/>
        </w:rPr>
        <w:t> </w:t>
      </w:r>
      <w:r>
        <w:rPr/>
        <w:t>to</w:t>
      </w:r>
      <w:r>
        <w:rPr>
          <w:spacing w:val="29"/>
        </w:rPr>
        <w:t> </w:t>
      </w:r>
      <w:r>
        <w:rPr/>
        <w:t>it,</w:t>
      </w:r>
      <w:r>
        <w:rPr>
          <w:spacing w:val="26"/>
        </w:rPr>
        <w:t> </w:t>
      </w:r>
      <w:r>
        <w:rPr/>
        <w:t>remains</w:t>
      </w:r>
      <w:r>
        <w:rPr>
          <w:spacing w:val="26"/>
        </w:rPr>
        <w:t> </w:t>
      </w:r>
      <w:r>
        <w:rPr/>
        <w:t>largely an</w:t>
      </w:r>
      <w:r>
        <w:rPr>
          <w:spacing w:val="40"/>
        </w:rPr>
        <w:t> </w:t>
      </w:r>
      <w:r>
        <w:rPr/>
        <w:t>open</w:t>
      </w:r>
      <w:r>
        <w:rPr>
          <w:spacing w:val="40"/>
        </w:rPr>
        <w:t> </w:t>
      </w:r>
      <w:r>
        <w:rPr/>
        <w:t>empirical</w:t>
      </w:r>
      <w:r>
        <w:rPr>
          <w:spacing w:val="40"/>
        </w:rPr>
        <w:t> </w:t>
      </w:r>
      <w:r>
        <w:rPr/>
        <w:t>question,</w:t>
      </w:r>
      <w:r>
        <w:rPr>
          <w:spacing w:val="40"/>
        </w:rPr>
        <w:t> </w:t>
      </w:r>
      <w:r>
        <w:rPr/>
        <w:t>since</w:t>
      </w:r>
      <w:r>
        <w:rPr>
          <w:spacing w:val="39"/>
        </w:rPr>
        <w:t> </w:t>
      </w:r>
      <w:r>
        <w:rPr/>
        <w:t>most</w:t>
      </w:r>
      <w:r>
        <w:rPr>
          <w:spacing w:val="40"/>
        </w:rPr>
        <w:t> </w:t>
      </w:r>
      <w:r>
        <w:rPr/>
        <w:t>existing</w:t>
      </w:r>
      <w:r>
        <w:rPr>
          <w:spacing w:val="40"/>
        </w:rPr>
        <w:t> </w:t>
      </w:r>
      <w:r>
        <w:rPr/>
        <w:t>analyses</w:t>
      </w:r>
      <w:r>
        <w:rPr>
          <w:spacing w:val="40"/>
        </w:rPr>
        <w:t> </w:t>
      </w:r>
      <w:r>
        <w:rPr/>
        <w:t>evaluate</w:t>
      </w:r>
      <w:r>
        <w:rPr>
          <w:spacing w:val="40"/>
        </w:rPr>
        <w:t> </w:t>
      </w:r>
      <w:r>
        <w:rPr/>
        <w:t>CBDC</w:t>
      </w:r>
      <w:r>
        <w:rPr>
          <w:spacing w:val="40"/>
        </w:rPr>
        <w:t> </w:t>
      </w:r>
      <w:r>
        <w:rPr/>
        <w:t>design</w:t>
      </w:r>
      <w:r>
        <w:rPr>
          <w:spacing w:val="40"/>
        </w:rPr>
        <w:t> </w:t>
      </w:r>
      <w:r>
        <w:rPr/>
        <w:t>in isolation</w:t>
      </w:r>
      <w:r>
        <w:rPr>
          <w:spacing w:val="40"/>
        </w:rPr>
        <w:t> </w:t>
      </w:r>
      <w:r>
        <w:rPr/>
        <w:t>from</w:t>
      </w:r>
      <w:r>
        <w:rPr>
          <w:spacing w:val="40"/>
        </w:rPr>
        <w:t> </w:t>
      </w:r>
      <w:r>
        <w:rPr/>
        <w:t>the</w:t>
      </w:r>
      <w:r>
        <w:rPr>
          <w:spacing w:val="40"/>
        </w:rPr>
        <w:t> </w:t>
      </w:r>
      <w:r>
        <w:rPr/>
        <w:t>historical</w:t>
      </w:r>
      <w:r>
        <w:rPr>
          <w:spacing w:val="40"/>
        </w:rPr>
        <w:t> </w:t>
      </w:r>
      <w:r>
        <w:rPr/>
        <w:t>record</w:t>
      </w:r>
      <w:r>
        <w:rPr>
          <w:spacing w:val="40"/>
        </w:rPr>
        <w:t> </w:t>
      </w:r>
      <w:r>
        <w:rPr/>
        <w:t>of</w:t>
      </w:r>
      <w:r>
        <w:rPr>
          <w:spacing w:val="40"/>
        </w:rPr>
        <w:t> </w:t>
      </w:r>
      <w:r>
        <w:rPr/>
        <w:t>systemic</w:t>
      </w:r>
      <w:r>
        <w:rPr>
          <w:spacing w:val="40"/>
        </w:rPr>
        <w:t> </w:t>
      </w:r>
      <w:r>
        <w:rPr/>
        <w:t>banking</w:t>
      </w:r>
      <w:r>
        <w:rPr>
          <w:spacing w:val="40"/>
        </w:rPr>
        <w:t> </w:t>
      </w:r>
      <w:r>
        <w:rPr/>
        <w:t>distress.</w:t>
      </w:r>
      <w:r>
        <w:rPr>
          <w:spacing w:val="40"/>
        </w:rPr>
        <w:t> </w:t>
      </w:r>
      <w:r>
        <w:rPr/>
        <w:t>This</w:t>
      </w:r>
      <w:r>
        <w:rPr>
          <w:spacing w:val="40"/>
        </w:rPr>
        <w:t> </w:t>
      </w:r>
      <w:r>
        <w:rPr/>
        <w:t>paper</w:t>
      </w:r>
      <w:r>
        <w:rPr>
          <w:spacing w:val="40"/>
        </w:rPr>
        <w:t> </w:t>
      </w:r>
      <w:r>
        <w:rPr/>
        <w:t>treats CBDC</w:t>
      </w:r>
      <w:r>
        <w:rPr>
          <w:spacing w:val="40"/>
        </w:rPr>
        <w:t> </w:t>
      </w:r>
      <w:r>
        <w:rPr/>
        <w:t>design</w:t>
      </w:r>
      <w:r>
        <w:rPr>
          <w:spacing w:val="40"/>
        </w:rPr>
        <w:t> </w:t>
      </w:r>
      <w:r>
        <w:rPr/>
        <w:t>explicitly</w:t>
      </w:r>
      <w:r>
        <w:rPr>
          <w:spacing w:val="40"/>
        </w:rPr>
        <w:t> </w:t>
      </w:r>
      <w:r>
        <w:rPr/>
        <w:t>as</w:t>
      </w:r>
      <w:r>
        <w:rPr>
          <w:spacing w:val="40"/>
        </w:rPr>
        <w:t> </w:t>
      </w:r>
      <w:r>
        <w:rPr/>
        <w:t>a</w:t>
      </w:r>
      <w:r>
        <w:rPr>
          <w:spacing w:val="40"/>
        </w:rPr>
        <w:t> </w:t>
      </w:r>
      <w:r>
        <w:rPr/>
        <w:t>systemic-risk-management</w:t>
      </w:r>
      <w:r>
        <w:rPr>
          <w:spacing w:val="40"/>
        </w:rPr>
        <w:t> </w:t>
      </w:r>
      <w:r>
        <w:rPr/>
        <w:t>choice</w:t>
      </w:r>
      <w:r>
        <w:rPr>
          <w:spacing w:val="40"/>
        </w:rPr>
        <w:t> </w:t>
      </w:r>
      <w:r>
        <w:rPr/>
        <w:t>and</w:t>
      </w:r>
      <w:r>
        <w:rPr>
          <w:spacing w:val="40"/>
        </w:rPr>
        <w:t> </w:t>
      </w:r>
      <w:r>
        <w:rPr/>
        <w:t>evaluates</w:t>
      </w:r>
      <w:r>
        <w:rPr>
          <w:spacing w:val="40"/>
        </w:rPr>
        <w:t> </w:t>
      </w:r>
      <w:r>
        <w:rPr/>
        <w:t>it</w:t>
      </w:r>
      <w:r>
        <w:rPr>
          <w:spacing w:val="80"/>
        </w:rPr>
        <w:t> </w:t>
      </w:r>
      <w:r>
        <w:rPr/>
        <w:t>against</w:t>
      </w:r>
      <w:r>
        <w:rPr>
          <w:spacing w:val="38"/>
        </w:rPr>
        <w:t> </w:t>
      </w:r>
      <w:r>
        <w:rPr/>
        <w:t>historically observed</w:t>
      </w:r>
      <w:r>
        <w:rPr>
          <w:spacing w:val="37"/>
        </w:rPr>
        <w:t> </w:t>
      </w:r>
      <w:r>
        <w:rPr/>
        <w:t>crisis dynamics</w:t>
      </w:r>
      <w:r>
        <w:rPr>
          <w:spacing w:val="37"/>
        </w:rPr>
        <w:t> </w:t>
      </w:r>
      <w:r>
        <w:rPr/>
        <w:t>rather than stylized assumptions</w:t>
      </w:r>
      <w:r>
        <w:rPr>
          <w:spacing w:val="38"/>
        </w:rPr>
        <w:t> </w:t>
      </w:r>
      <w:r>
        <w:rPr/>
        <w:t>alone. We focus on the holding limit specifically because it is the design lever every major CBDC programme to date has adopted as its primary safeguard</w:t>
      </w:r>
      <w:r>
        <w:rPr>
          <w:spacing w:val="80"/>
        </w:rPr>
        <w:t> </w:t>
      </w:r>
      <w:r>
        <w:rPr/>
        <w:t>—</w:t>
      </w:r>
      <w:r>
        <w:rPr>
          <w:spacing w:val="40"/>
        </w:rPr>
        <w:t> </w:t>
      </w:r>
      <w:r>
        <w:rPr/>
        <w:t>the digital euro,</w:t>
      </w:r>
      <w:r>
        <w:rPr>
          <w:spacing w:val="40"/>
        </w:rPr>
        <w:t> </w:t>
      </w:r>
      <w:r>
        <w:rPr/>
        <w:t>digital pound, and e-krona designs all specify explicit per-user caps, whereas tiered</w:t>
      </w:r>
      <w:r>
        <w:rPr>
          <w:spacing w:val="80"/>
        </w:rPr>
        <w:t> </w:t>
      </w:r>
      <w:r>
        <w:rPr/>
        <w:t>remuneration</w:t>
      </w:r>
      <w:r>
        <w:rPr>
          <w:spacing w:val="38"/>
        </w:rPr>
        <w:t> </w:t>
      </w:r>
      <w:r>
        <w:rPr/>
        <w:t>and</w:t>
      </w:r>
      <w:r>
        <w:rPr>
          <w:spacing w:val="40"/>
        </w:rPr>
        <w:t> </w:t>
      </w:r>
      <w:r>
        <w:rPr/>
        <w:t>offline-transfer</w:t>
      </w:r>
      <w:r>
        <w:rPr>
          <w:spacing w:val="40"/>
        </w:rPr>
        <w:t> </w:t>
      </w:r>
      <w:r>
        <w:rPr/>
        <w:t>limits</w:t>
      </w:r>
      <w:r>
        <w:rPr>
          <w:spacing w:val="38"/>
        </w:rPr>
        <w:t> </w:t>
      </w:r>
      <w:r>
        <w:rPr/>
        <w:t>are</w:t>
      </w:r>
      <w:r>
        <w:rPr>
          <w:spacing w:val="39"/>
        </w:rPr>
        <w:t> </w:t>
      </w:r>
      <w:r>
        <w:rPr/>
        <w:t>typically layered</w:t>
      </w:r>
      <w:r>
        <w:rPr>
          <w:spacing w:val="38"/>
        </w:rPr>
        <w:t> </w:t>
      </w:r>
      <w:r>
        <w:rPr/>
        <w:t>on</w:t>
      </w:r>
      <w:r>
        <w:rPr>
          <w:spacing w:val="40"/>
        </w:rPr>
        <w:t> </w:t>
      </w:r>
      <w:r>
        <w:rPr/>
        <w:t>top</w:t>
      </w:r>
      <w:r>
        <w:rPr>
          <w:spacing w:val="38"/>
        </w:rPr>
        <w:t> </w:t>
      </w:r>
      <w:r>
        <w:rPr/>
        <w:t>of</w:t>
      </w:r>
      <w:r>
        <w:rPr>
          <w:spacing w:val="37"/>
        </w:rPr>
        <w:t> </w:t>
      </w:r>
      <w:r>
        <w:rPr/>
        <w:t>a</w:t>
      </w:r>
      <w:r>
        <w:rPr>
          <w:spacing w:val="39"/>
        </w:rPr>
        <w:t> </w:t>
      </w:r>
      <w:r>
        <w:rPr/>
        <w:t>cap</w:t>
      </w:r>
      <w:r>
        <w:rPr>
          <w:spacing w:val="40"/>
        </w:rPr>
        <w:t> </w:t>
      </w:r>
      <w:r>
        <w:rPr/>
        <w:t>rather than substituted for one (Kumhof and Noone, 2021; Auer, Cornelli, and Frost, 2023).</w:t>
      </w:r>
      <w:r>
        <w:rPr>
          <w:spacing w:val="80"/>
        </w:rPr>
        <w:t> </w:t>
      </w:r>
      <w:r>
        <w:rPr/>
        <w:t>A</w:t>
      </w:r>
      <w:r>
        <w:rPr>
          <w:spacing w:val="40"/>
        </w:rPr>
        <w:t> </w:t>
      </w:r>
      <w:r>
        <w:rPr/>
        <w:t>holding</w:t>
      </w:r>
      <w:r>
        <w:rPr>
          <w:spacing w:val="40"/>
        </w:rPr>
        <w:t> </w:t>
      </w:r>
      <w:r>
        <w:rPr/>
        <w:t>limit</w:t>
      </w:r>
      <w:r>
        <w:rPr>
          <w:spacing w:val="40"/>
        </w:rPr>
        <w:t> </w:t>
      </w:r>
      <w:r>
        <w:rPr/>
        <w:t>is</w:t>
      </w:r>
      <w:r>
        <w:rPr>
          <w:spacing w:val="40"/>
        </w:rPr>
        <w:t> </w:t>
      </w:r>
      <w:r>
        <w:rPr/>
        <w:t>also</w:t>
      </w:r>
      <w:r>
        <w:rPr>
          <w:spacing w:val="40"/>
        </w:rPr>
        <w:t> </w:t>
      </w:r>
      <w:r>
        <w:rPr/>
        <w:t>the</w:t>
      </w:r>
      <w:r>
        <w:rPr>
          <w:spacing w:val="40"/>
        </w:rPr>
        <w:t> </w:t>
      </w:r>
      <w:r>
        <w:rPr/>
        <w:t>lever</w:t>
      </w:r>
      <w:r>
        <w:rPr>
          <w:spacing w:val="40"/>
        </w:rPr>
        <w:t> </w:t>
      </w:r>
      <w:r>
        <w:rPr/>
        <w:t>most</w:t>
      </w:r>
      <w:r>
        <w:rPr>
          <w:spacing w:val="40"/>
        </w:rPr>
        <w:t> </w:t>
      </w:r>
      <w:r>
        <w:rPr/>
        <w:t>directly</w:t>
      </w:r>
      <w:r>
        <w:rPr>
          <w:spacing w:val="40"/>
        </w:rPr>
        <w:t> </w:t>
      </w:r>
      <w:r>
        <w:rPr/>
        <w:t>comparable</w:t>
      </w:r>
      <w:r>
        <w:rPr>
          <w:spacing w:val="40"/>
        </w:rPr>
        <w:t> </w:t>
      </w:r>
      <w:r>
        <w:rPr/>
        <w:t>across</w:t>
      </w:r>
      <w:r>
        <w:rPr>
          <w:spacing w:val="40"/>
        </w:rPr>
        <w:t> </w:t>
      </w:r>
      <w:r>
        <w:rPr/>
        <w:t>historical</w:t>
      </w:r>
      <w:r>
        <w:rPr>
          <w:spacing w:val="40"/>
        </w:rPr>
        <w:t> </w:t>
      </w:r>
      <w:r>
        <w:rPr/>
        <w:t>crisis episodes,</w:t>
      </w:r>
      <w:r>
        <w:rPr>
          <w:spacing w:val="40"/>
        </w:rPr>
        <w:t> </w:t>
      </w:r>
      <w:r>
        <w:rPr/>
        <w:t>since</w:t>
      </w:r>
      <w:r>
        <w:rPr>
          <w:spacing w:val="40"/>
        </w:rPr>
        <w:t> </w:t>
      </w:r>
      <w:r>
        <w:rPr/>
        <w:t>it</w:t>
      </w:r>
      <w:r>
        <w:rPr>
          <w:spacing w:val="40"/>
        </w:rPr>
        <w:t> </w:t>
      </w:r>
      <w:r>
        <w:rPr/>
        <w:t>maps</w:t>
      </w:r>
      <w:r>
        <w:rPr>
          <w:spacing w:val="40"/>
        </w:rPr>
        <w:t> </w:t>
      </w:r>
      <w:r>
        <w:rPr/>
        <w:t>onto</w:t>
      </w:r>
      <w:r>
        <w:rPr>
          <w:spacing w:val="40"/>
        </w:rPr>
        <w:t> </w:t>
      </w:r>
      <w:r>
        <w:rPr/>
        <w:t>an</w:t>
      </w:r>
      <w:r>
        <w:rPr>
          <w:spacing w:val="40"/>
        </w:rPr>
        <w:t> </w:t>
      </w:r>
      <w:r>
        <w:rPr/>
        <w:t>observable</w:t>
      </w:r>
      <w:r>
        <w:rPr>
          <w:spacing w:val="40"/>
        </w:rPr>
        <w:t> </w:t>
      </w:r>
      <w:r>
        <w:rPr/>
        <w:t>quantity</w:t>
      </w:r>
      <w:r>
        <w:rPr>
          <w:spacing w:val="80"/>
        </w:rPr>
        <w:t> </w:t>
      </w:r>
      <w:r>
        <w:rPr/>
        <w:t>—</w:t>
      </w:r>
      <w:r>
        <w:rPr>
          <w:spacing w:val="80"/>
        </w:rPr>
        <w:t> </w:t>
      </w:r>
      <w:r>
        <w:rPr/>
        <w:t>the</w:t>
      </w:r>
      <w:r>
        <w:rPr>
          <w:spacing w:val="40"/>
        </w:rPr>
        <w:t> </w:t>
      </w:r>
      <w:r>
        <w:rPr/>
        <w:t>maximum</w:t>
      </w:r>
      <w:r>
        <w:rPr>
          <w:spacing w:val="40"/>
        </w:rPr>
        <w:t> </w:t>
      </w:r>
      <w:r>
        <w:rPr/>
        <w:t>balance</w:t>
      </w:r>
      <w:r>
        <w:rPr>
          <w:spacing w:val="40"/>
        </w:rPr>
        <w:t> </w:t>
      </w:r>
      <w:r>
        <w:rPr/>
        <w:t>an individual</w:t>
      </w:r>
      <w:r>
        <w:rPr>
          <w:spacing w:val="40"/>
        </w:rPr>
        <w:t> </w:t>
      </w:r>
      <w:r>
        <w:rPr/>
        <w:t>account</w:t>
      </w:r>
      <w:r>
        <w:rPr>
          <w:spacing w:val="40"/>
        </w:rPr>
        <w:t> </w:t>
      </w:r>
      <w:r>
        <w:rPr/>
        <w:t>can</w:t>
      </w:r>
      <w:r>
        <w:rPr>
          <w:spacing w:val="40"/>
        </w:rPr>
        <w:t> </w:t>
      </w:r>
      <w:r>
        <w:rPr/>
        <w:t>accumulate</w:t>
      </w:r>
      <w:r>
        <w:rPr>
          <w:spacing w:val="80"/>
        </w:rPr>
        <w:t> </w:t>
      </w:r>
      <w:r>
        <w:rPr/>
        <w:t>—</w:t>
      </w:r>
      <w:r>
        <w:rPr>
          <w:spacing w:val="80"/>
        </w:rPr>
        <w:t> </w:t>
      </w:r>
      <w:r>
        <w:rPr/>
        <w:t>in</w:t>
      </w:r>
      <w:r>
        <w:rPr>
          <w:spacing w:val="40"/>
        </w:rPr>
        <w:t> </w:t>
      </w:r>
      <w:r>
        <w:rPr/>
        <w:t>a</w:t>
      </w:r>
      <w:r>
        <w:rPr>
          <w:spacing w:val="40"/>
        </w:rPr>
        <w:t> </w:t>
      </w:r>
      <w:r>
        <w:rPr/>
        <w:t>way</w:t>
      </w:r>
      <w:r>
        <w:rPr>
          <w:spacing w:val="40"/>
        </w:rPr>
        <w:t> </w:t>
      </w:r>
      <w:r>
        <w:rPr/>
        <w:t>that</w:t>
      </w:r>
      <w:r>
        <w:rPr>
          <w:spacing w:val="40"/>
        </w:rPr>
        <w:t> </w:t>
      </w:r>
      <w:r>
        <w:rPr/>
        <w:t>tiered</w:t>
      </w:r>
      <w:r>
        <w:rPr>
          <w:spacing w:val="40"/>
        </w:rPr>
        <w:t> </w:t>
      </w:r>
      <w:r>
        <w:rPr/>
        <w:t>interest</w:t>
      </w:r>
      <w:r>
        <w:rPr>
          <w:spacing w:val="40"/>
        </w:rPr>
        <w:t> </w:t>
      </w:r>
      <w:r>
        <w:rPr/>
        <w:t>schedules</w:t>
      </w:r>
      <w:r>
        <w:rPr>
          <w:spacing w:val="40"/>
        </w:rPr>
        <w:t> </w:t>
      </w:r>
      <w:r>
        <w:rPr/>
        <w:t>or programmable transfer restrictions do not. The analysis below accordingly treats the holding-limit</w:t>
      </w:r>
      <w:r>
        <w:rPr>
          <w:spacing w:val="40"/>
        </w:rPr>
        <w:t> </w:t>
      </w:r>
      <w:r>
        <w:rPr/>
        <w:t>design</w:t>
      </w:r>
      <w:r>
        <w:rPr>
          <w:spacing w:val="40"/>
        </w:rPr>
        <w:t> </w:t>
      </w:r>
      <w:r>
        <w:rPr/>
        <w:t>as</w:t>
      </w:r>
      <w:r>
        <w:rPr>
          <w:spacing w:val="40"/>
        </w:rPr>
        <w:t> </w:t>
      </w:r>
      <w:r>
        <w:rPr/>
        <w:t>the</w:t>
      </w:r>
      <w:r>
        <w:rPr>
          <w:spacing w:val="40"/>
        </w:rPr>
        <w:t> </w:t>
      </w:r>
      <w:r>
        <w:rPr/>
        <w:t>primary</w:t>
      </w:r>
      <w:r>
        <w:rPr>
          <w:spacing w:val="40"/>
        </w:rPr>
        <w:t> </w:t>
      </w:r>
      <w:r>
        <w:rPr/>
        <w:t>object</w:t>
      </w:r>
      <w:r>
        <w:rPr>
          <w:spacing w:val="40"/>
        </w:rPr>
        <w:t> </w:t>
      </w:r>
      <w:r>
        <w:rPr/>
        <w:t>of</w:t>
      </w:r>
      <w:r>
        <w:rPr>
          <w:spacing w:val="40"/>
        </w:rPr>
        <w:t> </w:t>
      </w:r>
      <w:r>
        <w:rPr/>
        <w:t>comparison,</w:t>
      </w:r>
      <w:r>
        <w:rPr>
          <w:spacing w:val="40"/>
        </w:rPr>
        <w:t> </w:t>
      </w:r>
      <w:r>
        <w:rPr/>
        <w:t>with</w:t>
      </w:r>
      <w:r>
        <w:rPr>
          <w:spacing w:val="40"/>
        </w:rPr>
        <w:t> </w:t>
      </w:r>
      <w:r>
        <w:rPr/>
        <w:t>tiering</w:t>
      </w:r>
      <w:r>
        <w:rPr>
          <w:spacing w:val="40"/>
        </w:rPr>
        <w:t> </w:t>
      </w:r>
      <w:r>
        <w:rPr/>
        <w:t>treated</w:t>
      </w:r>
      <w:r>
        <w:rPr>
          <w:spacing w:val="40"/>
        </w:rPr>
        <w:t> </w:t>
      </w:r>
      <w:r>
        <w:rPr/>
        <w:t>as</w:t>
      </w:r>
      <w:r>
        <w:rPr>
          <w:spacing w:val="40"/>
        </w:rPr>
        <w:t> </w:t>
      </w:r>
      <w:r>
        <w:rPr/>
        <w:t>a complementary mechanism rather than a competing one. This paper addresses three</w:t>
      </w:r>
      <w:r>
        <w:rPr>
          <w:spacing w:val="40"/>
        </w:rPr>
        <w:t> </w:t>
      </w:r>
      <w:r>
        <w:rPr/>
        <w:t>questions: (i) what does historical crisis data reveal about the concentration</w:t>
      </w:r>
      <w:r>
        <w:rPr>
          <w:spacing w:val="40"/>
        </w:rPr>
        <w:t> </w:t>
      </w:r>
      <w:r>
        <w:rPr/>
        <w:t>×</w:t>
      </w:r>
      <w:r>
        <w:rPr>
          <w:spacing w:val="40"/>
        </w:rPr>
        <w:t> </w:t>
      </w:r>
      <w:r>
        <w:rPr/>
        <w:t>shock outflow</w:t>
      </w:r>
      <w:r>
        <w:rPr>
          <w:spacing w:val="40"/>
        </w:rPr>
        <w:t> </w:t>
      </w:r>
      <w:r>
        <w:rPr/>
        <w:t>mechanism,</w:t>
      </w:r>
      <w:r>
        <w:rPr>
          <w:spacing w:val="40"/>
        </w:rPr>
        <w:t> </w:t>
      </w:r>
      <w:r>
        <w:rPr/>
        <w:t>and</w:t>
      </w:r>
      <w:r>
        <w:rPr>
          <w:spacing w:val="40"/>
        </w:rPr>
        <w:t> </w:t>
      </w:r>
      <w:r>
        <w:rPr/>
        <w:t>does</w:t>
      </w:r>
      <w:r>
        <w:rPr>
          <w:spacing w:val="40"/>
        </w:rPr>
        <w:t> </w:t>
      </w:r>
      <w:r>
        <w:rPr/>
        <w:t>digital</w:t>
      </w:r>
      <w:r>
        <w:rPr>
          <w:spacing w:val="40"/>
        </w:rPr>
        <w:t> </w:t>
      </w:r>
      <w:r>
        <w:rPr/>
        <w:t>adoption</w:t>
      </w:r>
      <w:r>
        <w:rPr>
          <w:spacing w:val="40"/>
        </w:rPr>
        <w:t> </w:t>
      </w:r>
      <w:r>
        <w:rPr/>
        <w:t>(D)</w:t>
      </w:r>
      <w:r>
        <w:rPr>
          <w:spacing w:val="40"/>
        </w:rPr>
        <w:t> </w:t>
      </w:r>
      <w:r>
        <w:rPr/>
        <w:t>constitute</w:t>
      </w:r>
      <w:r>
        <w:rPr>
          <w:spacing w:val="40"/>
        </w:rPr>
        <w:t> </w:t>
      </w:r>
      <w:r>
        <w:rPr/>
        <w:t>an</w:t>
      </w:r>
      <w:r>
        <w:rPr>
          <w:spacing w:val="40"/>
        </w:rPr>
        <w:t> </w:t>
      </w:r>
      <w:r>
        <w:rPr/>
        <w:t>independent</w:t>
      </w:r>
      <w:r>
        <w:rPr>
          <w:spacing w:val="40"/>
        </w:rPr>
        <w:t> </w:t>
      </w:r>
      <w:r>
        <w:rPr/>
        <w:t>driver</w:t>
      </w:r>
    </w:p>
    <w:p>
      <w:pPr>
        <w:pStyle w:val="BodyText"/>
        <w:spacing w:after="0" w:line="480" w:lineRule="auto"/>
        <w:sectPr>
          <w:pgSz w:w="11900" w:h="16820"/>
          <w:pgMar w:header="714" w:footer="0" w:top="1340" w:bottom="280" w:left="1700" w:right="1417"/>
        </w:sectPr>
      </w:pPr>
    </w:p>
    <w:p>
      <w:pPr>
        <w:pStyle w:val="BodyText"/>
        <w:spacing w:line="480" w:lineRule="auto" w:before="79"/>
        <w:ind w:right="302"/>
      </w:pPr>
      <w:r>
        <w:rPr/>
        <w:t>beyond its role in the interaction term? (ii) which CBDC design minimises systemic risk</w:t>
      </w:r>
      <w:r>
        <w:rPr>
          <w:spacing w:val="33"/>
        </w:rPr>
        <w:t> </w:t>
      </w:r>
      <w:r>
        <w:rPr/>
        <w:t>among</w:t>
      </w:r>
      <w:r>
        <w:rPr>
          <w:spacing w:val="33"/>
        </w:rPr>
        <w:t> </w:t>
      </w:r>
      <w:r>
        <w:rPr/>
        <w:t>feasible</w:t>
      </w:r>
      <w:r>
        <w:rPr>
          <w:spacing w:val="34"/>
        </w:rPr>
        <w:t> </w:t>
      </w:r>
      <w:r>
        <w:rPr/>
        <w:t>alternatives,</w:t>
      </w:r>
      <w:r>
        <w:rPr>
          <w:spacing w:val="33"/>
        </w:rPr>
        <w:t> </w:t>
      </w:r>
      <w:r>
        <w:rPr/>
        <w:t>and</w:t>
      </w:r>
      <w:r>
        <w:rPr>
          <w:spacing w:val="33"/>
        </w:rPr>
        <w:t> </w:t>
      </w:r>
      <w:r>
        <w:rPr/>
        <w:t>can</w:t>
      </w:r>
      <w:r>
        <w:rPr>
          <w:spacing w:val="33"/>
        </w:rPr>
        <w:t> </w:t>
      </w:r>
      <w:r>
        <w:rPr/>
        <w:t>the</w:t>
      </w:r>
      <w:r>
        <w:rPr>
          <w:spacing w:val="32"/>
        </w:rPr>
        <w:t> </w:t>
      </w:r>
      <w:r>
        <w:rPr/>
        <w:t>resulting</w:t>
      </w:r>
      <w:r>
        <w:rPr>
          <w:spacing w:val="33"/>
        </w:rPr>
        <w:t> </w:t>
      </w:r>
      <w:r>
        <w:rPr/>
        <w:t>ranking</w:t>
      </w:r>
      <w:r>
        <w:rPr>
          <w:spacing w:val="33"/>
        </w:rPr>
        <w:t> </w:t>
      </w:r>
      <w:r>
        <w:rPr/>
        <w:t>be</w:t>
      </w:r>
      <w:r>
        <w:rPr>
          <w:spacing w:val="32"/>
        </w:rPr>
        <w:t> </w:t>
      </w:r>
      <w:r>
        <w:rPr/>
        <w:t>read</w:t>
      </w:r>
      <w:r>
        <w:rPr>
          <w:spacing w:val="33"/>
        </w:rPr>
        <w:t> </w:t>
      </w:r>
      <w:r>
        <w:rPr/>
        <w:t>as</w:t>
      </w:r>
      <w:r>
        <w:rPr>
          <w:spacing w:val="33"/>
        </w:rPr>
        <w:t> </w:t>
      </w:r>
      <w:r>
        <w:rPr/>
        <w:t>a</w:t>
      </w:r>
      <w:r>
        <w:rPr>
          <w:spacing w:val="32"/>
        </w:rPr>
        <w:t> </w:t>
      </w:r>
      <w:r>
        <w:rPr/>
        <w:t>general macroprudential design principle rather than a context-specific numerical result? (iii) what</w:t>
      </w:r>
      <w:r>
        <w:rPr>
          <w:spacing w:val="40"/>
        </w:rPr>
        <w:t> </w:t>
      </w:r>
      <w:r>
        <w:rPr/>
        <w:t>holding</w:t>
      </w:r>
      <w:r>
        <w:rPr>
          <w:spacing w:val="40"/>
        </w:rPr>
        <w:t> </w:t>
      </w:r>
      <w:r>
        <w:rPr/>
        <w:t>limit</w:t>
      </w:r>
      <w:r>
        <w:rPr>
          <w:spacing w:val="40"/>
        </w:rPr>
        <w:t> </w:t>
      </w:r>
      <w:r>
        <w:rPr/>
        <w:t>characterises</w:t>
      </w:r>
      <w:r>
        <w:rPr>
          <w:spacing w:val="40"/>
        </w:rPr>
        <w:t> </w:t>
      </w:r>
      <w:r>
        <w:rPr/>
        <w:t>the</w:t>
      </w:r>
      <w:r>
        <w:rPr>
          <w:spacing w:val="40"/>
        </w:rPr>
        <w:t> </w:t>
      </w:r>
      <w:r>
        <w:rPr/>
        <w:t>Pareto</w:t>
      </w:r>
      <w:r>
        <w:rPr>
          <w:spacing w:val="40"/>
        </w:rPr>
        <w:t> </w:t>
      </w:r>
      <w:r>
        <w:rPr/>
        <w:t>frontier</w:t>
      </w:r>
      <w:r>
        <w:rPr>
          <w:spacing w:val="40"/>
        </w:rPr>
        <w:t> </w:t>
      </w:r>
      <w:r>
        <w:rPr/>
        <w:t>between</w:t>
      </w:r>
      <w:r>
        <w:rPr>
          <w:spacing w:val="40"/>
        </w:rPr>
        <w:t> </w:t>
      </w:r>
      <w:r>
        <w:rPr/>
        <w:t>stability</w:t>
      </w:r>
      <w:r>
        <w:rPr>
          <w:spacing w:val="40"/>
        </w:rPr>
        <w:t> </w:t>
      </w:r>
      <w:r>
        <w:rPr/>
        <w:t>and</w:t>
      </w:r>
      <w:r>
        <w:rPr>
          <w:spacing w:val="40"/>
        </w:rPr>
        <w:t> </w:t>
      </w:r>
      <w:r>
        <w:rPr/>
        <w:t>financial inclusion,</w:t>
      </w:r>
      <w:r>
        <w:rPr>
          <w:spacing w:val="32"/>
        </w:rPr>
        <w:t> </w:t>
      </w:r>
      <w:r>
        <w:rPr/>
        <w:t>and</w:t>
      </w:r>
      <w:r>
        <w:rPr>
          <w:spacing w:val="34"/>
        </w:rPr>
        <w:t> </w:t>
      </w:r>
      <w:r>
        <w:rPr/>
        <w:t>how</w:t>
      </w:r>
      <w:r>
        <w:rPr>
          <w:spacing w:val="33"/>
        </w:rPr>
        <w:t> </w:t>
      </w:r>
      <w:r>
        <w:rPr/>
        <w:t>should</w:t>
      </w:r>
      <w:r>
        <w:rPr>
          <w:spacing w:val="34"/>
        </w:rPr>
        <w:t> </w:t>
      </w:r>
      <w:r>
        <w:rPr/>
        <w:t>that</w:t>
      </w:r>
      <w:r>
        <w:rPr>
          <w:spacing w:val="34"/>
        </w:rPr>
        <w:t> </w:t>
      </w:r>
      <w:r>
        <w:rPr/>
        <w:t>frontier</w:t>
      </w:r>
      <w:r>
        <w:rPr>
          <w:spacing w:val="36"/>
        </w:rPr>
        <w:t> </w:t>
      </w:r>
      <w:r>
        <w:rPr/>
        <w:t>be</w:t>
      </w:r>
      <w:r>
        <w:rPr>
          <w:spacing w:val="33"/>
        </w:rPr>
        <w:t> </w:t>
      </w:r>
      <w:r>
        <w:rPr/>
        <w:t>used</w:t>
      </w:r>
      <w:r>
        <w:rPr>
          <w:spacing w:val="34"/>
        </w:rPr>
        <w:t> </w:t>
      </w:r>
      <w:r>
        <w:rPr/>
        <w:t>as</w:t>
      </w:r>
      <w:r>
        <w:rPr>
          <w:spacing w:val="34"/>
        </w:rPr>
        <w:t> </w:t>
      </w:r>
      <w:r>
        <w:rPr/>
        <w:t>a</w:t>
      </w:r>
      <w:r>
        <w:rPr>
          <w:spacing w:val="33"/>
        </w:rPr>
        <w:t> </w:t>
      </w:r>
      <w:r>
        <w:rPr/>
        <w:t>policy</w:t>
      </w:r>
      <w:r>
        <w:rPr>
          <w:spacing w:val="32"/>
        </w:rPr>
        <w:t> </w:t>
      </w:r>
      <w:r>
        <w:rPr/>
        <w:t>tool</w:t>
      </w:r>
      <w:r>
        <w:rPr>
          <w:spacing w:val="32"/>
        </w:rPr>
        <w:t> </w:t>
      </w:r>
      <w:r>
        <w:rPr/>
        <w:t>rather</w:t>
      </w:r>
      <w:r>
        <w:rPr>
          <w:spacing w:val="33"/>
        </w:rPr>
        <w:t> </w:t>
      </w:r>
      <w:r>
        <w:rPr/>
        <w:t>than</w:t>
      </w:r>
      <w:r>
        <w:rPr>
          <w:spacing w:val="34"/>
        </w:rPr>
        <w:t> </w:t>
      </w:r>
      <w:r>
        <w:rPr/>
        <w:t>a</w:t>
      </w:r>
      <w:r>
        <w:rPr>
          <w:spacing w:val="33"/>
        </w:rPr>
        <w:t> </w:t>
      </w:r>
      <w:r>
        <w:rPr/>
        <w:t>fixed </w:t>
      </w:r>
      <w:r>
        <w:rPr>
          <w:spacing w:val="-2"/>
        </w:rPr>
        <w:t>prescription?</w:t>
      </w:r>
    </w:p>
    <w:p>
      <w:pPr>
        <w:pStyle w:val="BodyText"/>
        <w:tabs>
          <w:tab w:pos="1322" w:val="left" w:leader="none"/>
          <w:tab w:pos="2216" w:val="left" w:leader="none"/>
          <w:tab w:pos="2984" w:val="left" w:leader="none"/>
          <w:tab w:pos="3488" w:val="left" w:leader="none"/>
          <w:tab w:pos="3989" w:val="left" w:leader="none"/>
          <w:tab w:pos="5450" w:val="left" w:leader="none"/>
          <w:tab w:pos="6673" w:val="left" w:leader="none"/>
          <w:tab w:pos="7537" w:val="left" w:leader="none"/>
          <w:tab w:pos="8038" w:val="left" w:leader="none"/>
        </w:tabs>
        <w:spacing w:line="480" w:lineRule="auto"/>
        <w:ind w:right="241"/>
      </w:pPr>
      <w:r>
        <w:rPr/>
        <w:t>Throughout this paper, two types of evidence are clearly separated. The reduced-form outflow</w:t>
      </w:r>
      <w:r>
        <w:rPr>
          <w:spacing w:val="40"/>
        </w:rPr>
        <w:t> </w:t>
      </w:r>
      <w:r>
        <w:rPr/>
        <w:t>relationship</w:t>
      </w:r>
      <w:r>
        <w:rPr>
          <w:spacing w:val="40"/>
        </w:rPr>
        <w:t> </w:t>
      </w:r>
      <w:r>
        <w:rPr/>
        <w:t>(θ₂=0.2466,</w:t>
      </w:r>
      <w:r>
        <w:rPr>
          <w:spacing w:val="40"/>
        </w:rPr>
        <w:t> </w:t>
      </w:r>
      <w:r>
        <w:rPr/>
        <w:t>p&lt;0.001,</w:t>
      </w:r>
      <w:r>
        <w:rPr>
          <w:spacing w:val="40"/>
        </w:rPr>
        <w:t> </w:t>
      </w:r>
      <w:r>
        <w:rPr/>
        <w:t>95%</w:t>
      </w:r>
      <w:r>
        <w:rPr>
          <w:spacing w:val="40"/>
        </w:rPr>
        <w:t> </w:t>
      </w:r>
      <w:r>
        <w:rPr/>
        <w:t>CI</w:t>
      </w:r>
      <w:r>
        <w:rPr>
          <w:spacing w:val="40"/>
        </w:rPr>
        <w:t> </w:t>
      </w:r>
      <w:r>
        <w:rPr/>
        <w:t>[0.1162,</w:t>
      </w:r>
      <w:r>
        <w:rPr>
          <w:spacing w:val="40"/>
        </w:rPr>
        <w:t> </w:t>
      </w:r>
      <w:r>
        <w:rPr/>
        <w:t>0.3770])</w:t>
      </w:r>
      <w:r>
        <w:rPr>
          <w:spacing w:val="40"/>
        </w:rPr>
        <w:t> </w:t>
      </w:r>
      <w:r>
        <w:rPr/>
        <w:t>is</w:t>
      </w:r>
      <w:r>
        <w:rPr>
          <w:spacing w:val="40"/>
        </w:rPr>
        <w:t> </w:t>
      </w:r>
      <w:r>
        <w:rPr/>
        <w:t>statistically grounded</w:t>
      </w:r>
      <w:r>
        <w:rPr>
          <w:spacing w:val="40"/>
        </w:rPr>
        <w:t> </w:t>
      </w:r>
      <w:r>
        <w:rPr/>
        <w:t>in</w:t>
      </w:r>
      <w:r>
        <w:rPr>
          <w:spacing w:val="40"/>
        </w:rPr>
        <w:t> </w:t>
      </w:r>
      <w:r>
        <w:rPr/>
        <w:t>OLS/MLE</w:t>
      </w:r>
      <w:r>
        <w:rPr>
          <w:spacing w:val="40"/>
        </w:rPr>
        <w:t> </w:t>
      </w:r>
      <w:r>
        <w:rPr/>
        <w:t>estimation</w:t>
      </w:r>
      <w:r>
        <w:rPr>
          <w:spacing w:val="40"/>
        </w:rPr>
        <w:t> </w:t>
      </w:r>
      <w:r>
        <w:rPr/>
        <w:t>on</w:t>
      </w:r>
      <w:r>
        <w:rPr>
          <w:spacing w:val="40"/>
        </w:rPr>
        <w:t> </w:t>
      </w:r>
      <w:r>
        <w:rPr/>
        <w:t>n=81</w:t>
      </w:r>
      <w:r>
        <w:rPr>
          <w:spacing w:val="40"/>
        </w:rPr>
        <w:t> </w:t>
      </w:r>
      <w:r>
        <w:rPr/>
        <w:t>episodes.</w:t>
      </w:r>
      <w:r>
        <w:rPr>
          <w:spacing w:val="40"/>
        </w:rPr>
        <w:t> </w:t>
      </w:r>
      <w:r>
        <w:rPr/>
        <w:t>An</w:t>
      </w:r>
      <w:r>
        <w:rPr>
          <w:spacing w:val="40"/>
        </w:rPr>
        <w:t> </w:t>
      </w:r>
      <w:r>
        <w:rPr/>
        <w:t>extended</w:t>
      </w:r>
      <w:r>
        <w:rPr>
          <w:spacing w:val="40"/>
        </w:rPr>
        <w:t> </w:t>
      </w:r>
      <w:r>
        <w:rPr/>
        <w:t>specification</w:t>
      </w:r>
      <w:r>
        <w:rPr>
          <w:spacing w:val="40"/>
        </w:rPr>
        <w:t> </w:t>
      </w:r>
      <w:r>
        <w:rPr/>
        <w:t>adding digital adoption D directly confirms that θ₂</w:t>
      </w:r>
      <w:r>
        <w:rPr>
          <w:spacing w:val="40"/>
        </w:rPr>
        <w:t> </w:t>
      </w:r>
      <w:r>
        <w:rPr/>
        <w:t>remains positive and significant</w:t>
      </w:r>
      <w:r>
        <w:rPr>
          <w:spacing w:val="80"/>
        </w:rPr>
        <w:t> </w:t>
      </w:r>
      <w:r>
        <w:rPr/>
        <w:t>after conditioning on D (Table 2b). D itself enters with a positive own coefficient that does</w:t>
      </w:r>
      <w:r>
        <w:rPr>
          <w:spacing w:val="40"/>
        </w:rPr>
        <w:t> </w:t>
      </w:r>
      <w:r>
        <w:rPr/>
        <w:t>not</w:t>
      </w:r>
      <w:r>
        <w:rPr>
          <w:spacing w:val="40"/>
        </w:rPr>
        <w:t> </w:t>
      </w:r>
      <w:r>
        <w:rPr/>
        <w:t>reach</w:t>
      </w:r>
      <w:r>
        <w:rPr>
          <w:spacing w:val="40"/>
        </w:rPr>
        <w:t> </w:t>
      </w:r>
      <w:r>
        <w:rPr/>
        <w:t>conventional</w:t>
      </w:r>
      <w:r>
        <w:rPr>
          <w:spacing w:val="40"/>
        </w:rPr>
        <w:t> </w:t>
      </w:r>
      <w:r>
        <w:rPr/>
        <w:t>significance</w:t>
      </w:r>
      <w:r>
        <w:rPr>
          <w:spacing w:val="40"/>
        </w:rPr>
        <w:t> </w:t>
      </w:r>
      <w:r>
        <w:rPr/>
        <w:t>(θ₃=0.0394,</w:t>
      </w:r>
      <w:r>
        <w:rPr>
          <w:spacing w:val="40"/>
        </w:rPr>
        <w:t> </w:t>
      </w:r>
      <w:r>
        <w:rPr/>
        <w:t>p=0.0973)</w:t>
      </w:r>
      <w:r>
        <w:rPr>
          <w:spacing w:val="40"/>
        </w:rPr>
        <w:t> </w:t>
      </w:r>
      <w:r>
        <w:rPr/>
        <w:t>once</w:t>
      </w:r>
      <w:r>
        <w:rPr>
          <w:spacing w:val="40"/>
        </w:rPr>
        <w:t> </w:t>
      </w:r>
      <w:r>
        <w:rPr/>
        <w:t>the</w:t>
      </w:r>
      <w:r>
        <w:rPr>
          <w:spacing w:val="40"/>
        </w:rPr>
        <w:t> </w:t>
      </w:r>
      <w:r>
        <w:rPr/>
        <w:t>panel</w:t>
      </w:r>
      <w:r>
        <w:rPr>
          <w:spacing w:val="40"/>
        </w:rPr>
        <w:t> </w:t>
      </w:r>
      <w:r>
        <w:rPr/>
        <w:t>is reconciled. The concentration×shock channel survives this specification check on the full</w:t>
      </w:r>
      <w:r>
        <w:rPr>
          <w:spacing w:val="80"/>
        </w:rPr>
        <w:t> </w:t>
      </w:r>
      <w:r>
        <w:rPr/>
        <w:t>panel,</w:t>
      </w:r>
      <w:r>
        <w:rPr>
          <w:spacing w:val="80"/>
        </w:rPr>
        <w:t> </w:t>
      </w:r>
      <w:r>
        <w:rPr/>
        <w:t>while</w:t>
      </w:r>
      <w:r>
        <w:rPr>
          <w:spacing w:val="80"/>
        </w:rPr>
        <w:t> </w:t>
      </w:r>
      <w:r>
        <w:rPr/>
        <w:t>the</w:t>
      </w:r>
      <w:r>
        <w:rPr>
          <w:spacing w:val="80"/>
        </w:rPr>
        <w:t> </w:t>
      </w:r>
      <w:r>
        <w:rPr/>
        <w:t>digital-adoption</w:t>
      </w:r>
      <w:r>
        <w:rPr>
          <w:spacing w:val="80"/>
        </w:rPr>
        <w:t> </w:t>
      </w:r>
      <w:r>
        <w:rPr/>
        <w:t>channel</w:t>
      </w:r>
      <w:r>
        <w:rPr>
          <w:spacing w:val="80"/>
        </w:rPr>
        <w:t> </w:t>
      </w:r>
      <w:r>
        <w:rPr/>
        <w:t>is</w:t>
      </w:r>
      <w:r>
        <w:rPr>
          <w:spacing w:val="80"/>
        </w:rPr>
        <w:t> </w:t>
      </w:r>
      <w:r>
        <w:rPr/>
        <w:t>suggestive</w:t>
      </w:r>
      <w:r>
        <w:rPr>
          <w:spacing w:val="80"/>
        </w:rPr>
        <w:t> </w:t>
      </w:r>
      <w:r>
        <w:rPr/>
        <w:t>in</w:t>
      </w:r>
      <w:r>
        <w:rPr>
          <w:spacing w:val="80"/>
        </w:rPr>
        <w:t> </w:t>
      </w:r>
      <w:r>
        <w:rPr/>
        <w:t>sign</w:t>
      </w:r>
      <w:r>
        <w:rPr>
          <w:spacing w:val="80"/>
        </w:rPr>
        <w:t> </w:t>
      </w:r>
      <w:r>
        <w:rPr/>
        <w:t>rather</w:t>
      </w:r>
      <w:r>
        <w:rPr>
          <w:spacing w:val="80"/>
        </w:rPr>
        <w:t> </w:t>
      </w:r>
      <w:r>
        <w:rPr/>
        <w:t>than independently</w:t>
      </w:r>
      <w:r>
        <w:rPr>
          <w:spacing w:val="40"/>
        </w:rPr>
        <w:t> </w:t>
      </w:r>
      <w:r>
        <w:rPr/>
        <w:t>confirmed.</w:t>
      </w:r>
      <w:r>
        <w:rPr>
          <w:spacing w:val="40"/>
        </w:rPr>
        <w:t> </w:t>
      </w:r>
      <w:r>
        <w:rPr/>
        <w:t>Two</w:t>
      </w:r>
      <w:r>
        <w:rPr>
          <w:spacing w:val="40"/>
        </w:rPr>
        <w:t> </w:t>
      </w:r>
      <w:r>
        <w:rPr/>
        <w:t>pre-specified</w:t>
      </w:r>
      <w:r>
        <w:rPr>
          <w:spacing w:val="40"/>
        </w:rPr>
        <w:t> </w:t>
      </w:r>
      <w:r>
        <w:rPr/>
        <w:t>regressor</w:t>
      </w:r>
      <w:r>
        <w:rPr>
          <w:spacing w:val="40"/>
        </w:rPr>
        <w:t> </w:t>
      </w:r>
      <w:r>
        <w:rPr/>
        <w:t>sets</w:t>
      </w:r>
      <w:r>
        <w:rPr>
          <w:spacing w:val="40"/>
        </w:rPr>
        <w:t> </w:t>
      </w:r>
      <w:r>
        <w:rPr/>
        <w:t>are</w:t>
      </w:r>
      <w:r>
        <w:rPr>
          <w:spacing w:val="40"/>
        </w:rPr>
        <w:t> </w:t>
      </w:r>
      <w:r>
        <w:rPr/>
        <w:t>used</w:t>
      </w:r>
      <w:r>
        <w:rPr>
          <w:spacing w:val="40"/>
        </w:rPr>
        <w:t> </w:t>
      </w:r>
      <w:r>
        <w:rPr/>
        <w:t>throughout</w:t>
      </w:r>
      <w:r>
        <w:rPr>
          <w:spacing w:val="40"/>
        </w:rPr>
        <w:t> </w:t>
      </w:r>
      <w:r>
        <w:rPr/>
        <w:t>to estimate</w:t>
      </w:r>
      <w:r>
        <w:rPr>
          <w:spacing w:val="37"/>
        </w:rPr>
        <w:t> </w:t>
      </w:r>
      <w:r>
        <w:rPr/>
        <w:t>θ₂</w:t>
      </w:r>
      <w:r>
        <w:rPr>
          <w:spacing w:val="80"/>
        </w:rPr>
        <w:t> </w:t>
      </w:r>
      <w:r>
        <w:rPr/>
        <w:t>on</w:t>
      </w:r>
      <w:r>
        <w:rPr>
          <w:spacing w:val="35"/>
        </w:rPr>
        <w:t> </w:t>
      </w:r>
      <w:r>
        <w:rPr/>
        <w:t>the</w:t>
      </w:r>
      <w:r>
        <w:rPr>
          <w:spacing w:val="37"/>
        </w:rPr>
        <w:t> </w:t>
      </w:r>
      <w:r>
        <w:rPr/>
        <w:t>full</w:t>
      </w:r>
      <w:r>
        <w:rPr>
          <w:spacing w:val="39"/>
        </w:rPr>
        <w:t> </w:t>
      </w:r>
      <w:r>
        <w:rPr/>
        <w:t>panel:</w:t>
      </w:r>
      <w:r>
        <w:rPr>
          <w:spacing w:val="36"/>
        </w:rPr>
        <w:t> </w:t>
      </w:r>
      <w:r>
        <w:rPr/>
        <w:t>a</w:t>
      </w:r>
      <w:r>
        <w:rPr>
          <w:spacing w:val="37"/>
        </w:rPr>
        <w:t> </w:t>
      </w:r>
      <w:r>
        <w:rPr/>
        <w:t>main-effects</w:t>
      </w:r>
      <w:r>
        <w:rPr>
          <w:spacing w:val="35"/>
        </w:rPr>
        <w:t> </w:t>
      </w:r>
      <w:r>
        <w:rPr/>
        <w:t>specification</w:t>
      </w:r>
      <w:r>
        <w:rPr>
          <w:spacing w:val="39"/>
        </w:rPr>
        <w:t> </w:t>
      </w:r>
      <w:r>
        <w:rPr/>
        <w:t>(S</w:t>
      </w:r>
      <w:r>
        <w:rPr>
          <w:spacing w:val="36"/>
        </w:rPr>
        <w:t> </w:t>
      </w:r>
      <w:r>
        <w:rPr/>
        <w:t>included</w:t>
      </w:r>
      <w:r>
        <w:rPr>
          <w:spacing w:val="36"/>
        </w:rPr>
        <w:t> </w:t>
      </w:r>
      <w:r>
        <w:rPr/>
        <w:t>directly with C×S,</w:t>
      </w:r>
      <w:r>
        <w:rPr>
          <w:spacing w:val="40"/>
        </w:rPr>
        <w:t> </w:t>
      </w:r>
      <w:r>
        <w:rPr/>
        <w:t>the</w:t>
      </w:r>
      <w:r>
        <w:rPr>
          <w:spacing w:val="40"/>
        </w:rPr>
        <w:t> </w:t>
      </w:r>
      <w:r>
        <w:rPr/>
        <w:t>standard</w:t>
      </w:r>
      <w:r>
        <w:rPr>
          <w:spacing w:val="40"/>
        </w:rPr>
        <w:t> </w:t>
      </w:r>
      <w:r>
        <w:rPr/>
        <w:t>approach</w:t>
      </w:r>
      <w:r>
        <w:rPr>
          <w:spacing w:val="40"/>
        </w:rPr>
        <w:t> </w:t>
      </w:r>
      <w:r>
        <w:rPr/>
        <w:t>for</w:t>
      </w:r>
      <w:r>
        <w:rPr>
          <w:spacing w:val="40"/>
        </w:rPr>
        <w:t> </w:t>
      </w:r>
      <w:r>
        <w:rPr/>
        <w:t>interaction</w:t>
      </w:r>
      <w:r>
        <w:rPr>
          <w:spacing w:val="40"/>
        </w:rPr>
        <w:t> </w:t>
      </w:r>
      <w:r>
        <w:rPr/>
        <w:t>testing;</w:t>
      </w:r>
      <w:r>
        <w:rPr>
          <w:spacing w:val="40"/>
        </w:rPr>
        <w:t> </w:t>
      </w:r>
      <w:r>
        <w:rPr/>
        <w:t>Aiken</w:t>
      </w:r>
      <w:r>
        <w:rPr>
          <w:spacing w:val="40"/>
        </w:rPr>
        <w:t> </w:t>
      </w:r>
      <w:r>
        <w:rPr/>
        <w:t>and</w:t>
      </w:r>
      <w:r>
        <w:rPr>
          <w:spacing w:val="40"/>
        </w:rPr>
        <w:t> </w:t>
      </w:r>
      <w:r>
        <w:rPr/>
        <w:t>West,</w:t>
      </w:r>
      <w:r>
        <w:rPr>
          <w:spacing w:val="40"/>
        </w:rPr>
        <w:t> </w:t>
      </w:r>
      <w:r>
        <w:rPr/>
        <w:t>1991)</w:t>
      </w:r>
      <w:r>
        <w:rPr>
          <w:spacing w:val="40"/>
        </w:rPr>
        <w:t> </w:t>
      </w:r>
      <w:r>
        <w:rPr/>
        <w:t>and</w:t>
      </w:r>
      <w:r>
        <w:rPr>
          <w:spacing w:val="40"/>
        </w:rPr>
        <w:t> </w:t>
      </w:r>
      <w:r>
        <w:rPr/>
        <w:t>an alternative</w:t>
      </w:r>
      <w:r>
        <w:rPr>
          <w:spacing w:val="40"/>
        </w:rPr>
        <w:t> </w:t>
      </w:r>
      <w:r>
        <w:rPr/>
        <w:t>specification</w:t>
      </w:r>
      <w:r>
        <w:rPr>
          <w:spacing w:val="40"/>
        </w:rPr>
        <w:t> </w:t>
      </w:r>
      <w:r>
        <w:rPr/>
        <w:t>(C</w:t>
      </w:r>
      <w:r>
        <w:rPr>
          <w:spacing w:val="40"/>
        </w:rPr>
        <w:t> </w:t>
      </w:r>
      <w:r>
        <w:rPr/>
        <w:t>included</w:t>
      </w:r>
      <w:r>
        <w:rPr>
          <w:spacing w:val="40"/>
        </w:rPr>
        <w:t> </w:t>
      </w:r>
      <w:r>
        <w:rPr/>
        <w:t>directly</w:t>
      </w:r>
      <w:r>
        <w:rPr>
          <w:spacing w:val="40"/>
        </w:rPr>
        <w:t> </w:t>
      </w:r>
      <w:r>
        <w:rPr/>
        <w:t>with</w:t>
      </w:r>
      <w:r>
        <w:rPr>
          <w:spacing w:val="40"/>
        </w:rPr>
        <w:t> </w:t>
      </w:r>
      <w:r>
        <w:rPr/>
        <w:t>C×S,</w:t>
      </w:r>
      <w:r>
        <w:rPr>
          <w:spacing w:val="40"/>
        </w:rPr>
        <w:t> </w:t>
      </w:r>
      <w:r>
        <w:rPr/>
        <w:t>a</w:t>
      </w:r>
      <w:r>
        <w:rPr>
          <w:spacing w:val="40"/>
        </w:rPr>
        <w:t> </w:t>
      </w:r>
      <w:r>
        <w:rPr/>
        <w:t>provenance/weighting</w:t>
      </w:r>
      <w:r>
        <w:rPr>
          <w:spacing w:val="80"/>
        </w:rPr>
        <w:t> </w:t>
      </w:r>
      <w:r>
        <w:rPr>
          <w:spacing w:val="-2"/>
        </w:rPr>
        <w:t>robustness</w:t>
      </w:r>
      <w:r>
        <w:rPr/>
        <w:tab/>
      </w:r>
      <w:r>
        <w:rPr>
          <w:spacing w:val="-2"/>
        </w:rPr>
        <w:t>check;</w:t>
      </w:r>
      <w:r>
        <w:rPr/>
        <w:tab/>
      </w:r>
      <w:r>
        <w:rPr>
          <w:spacing w:val="-2"/>
        </w:rPr>
        <w:t>§3.5).</w:t>
      </w:r>
      <w:r>
        <w:rPr/>
        <w:tab/>
      </w:r>
      <w:r>
        <w:rPr>
          <w:spacing w:val="-6"/>
        </w:rPr>
        <w:t>On</w:t>
      </w:r>
      <w:r>
        <w:rPr/>
        <w:tab/>
      </w:r>
      <w:r>
        <w:rPr>
          <w:spacing w:val="-4"/>
        </w:rPr>
        <w:t>the</w:t>
      </w:r>
      <w:r>
        <w:rPr/>
        <w:tab/>
      </w:r>
      <w:r>
        <w:rPr>
          <w:spacing w:val="-2"/>
        </w:rPr>
        <w:t>verified-only</w:t>
      </w:r>
      <w:r>
        <w:rPr/>
        <w:tab/>
      </w:r>
      <w:r>
        <w:rPr>
          <w:spacing w:val="-2"/>
        </w:rPr>
        <w:t>subsample</w:t>
      </w:r>
      <w:r>
        <w:rPr/>
        <w:tab/>
      </w:r>
      <w:r>
        <w:rPr>
          <w:spacing w:val="-2"/>
        </w:rPr>
        <w:t>(n=15)</w:t>
      </w:r>
      <w:r>
        <w:rPr/>
        <w:tab/>
      </w:r>
      <w:r>
        <w:rPr>
          <w:spacing w:val="-4"/>
        </w:rPr>
        <w:t>the</w:t>
      </w:r>
      <w:r>
        <w:rPr/>
        <w:tab/>
      </w:r>
      <w:r>
        <w:rPr>
          <w:spacing w:val="-4"/>
        </w:rPr>
        <w:t>two </w:t>
      </w:r>
      <w:r>
        <w:rPr/>
        <w:t>specifications diverge: the channel is significant under the main-effects specification (θ₂=0.7451, p=0.0325) but not under the alternative (Appendix F: θ₂=0.085, p=0.774). This divergence is a direct consequence of severe collinearity between concentration, severity, and their interaction (pairwise correlations of 0.58–0.90 in this panel;</w:t>
      </w:r>
      <w:r>
        <w:rPr>
          <w:spacing w:val="40"/>
        </w:rPr>
        <w:t> </w:t>
      </w:r>
      <w:r>
        <w:rPr/>
        <w:t>§3.5) interacting with the small size of the verified stratum, and a formal heterogeneity test does</w:t>
      </w:r>
      <w:r>
        <w:rPr>
          <w:spacing w:val="73"/>
        </w:rPr>
        <w:t> </w:t>
      </w:r>
      <w:r>
        <w:rPr/>
        <w:t>not</w:t>
      </w:r>
      <w:r>
        <w:rPr>
          <w:spacing w:val="71"/>
        </w:rPr>
        <w:t> </w:t>
      </w:r>
      <w:r>
        <w:rPr/>
        <w:t>reject</w:t>
      </w:r>
      <w:r>
        <w:rPr>
          <w:spacing w:val="70"/>
        </w:rPr>
        <w:t> </w:t>
      </w:r>
      <w:r>
        <w:rPr/>
        <w:t>equal</w:t>
      </w:r>
      <w:r>
        <w:rPr>
          <w:spacing w:val="73"/>
        </w:rPr>
        <w:t> </w:t>
      </w:r>
      <w:r>
        <w:rPr/>
        <w:t>slopes</w:t>
      </w:r>
      <w:r>
        <w:rPr>
          <w:spacing w:val="70"/>
        </w:rPr>
        <w:t> </w:t>
      </w:r>
      <w:r>
        <w:rPr/>
        <w:t>between</w:t>
      </w:r>
      <w:r>
        <w:rPr>
          <w:spacing w:val="72"/>
        </w:rPr>
        <w:t> </w:t>
      </w:r>
      <w:r>
        <w:rPr/>
        <w:t>the</w:t>
      </w:r>
      <w:r>
        <w:rPr>
          <w:spacing w:val="68"/>
        </w:rPr>
        <w:t> </w:t>
      </w:r>
      <w:r>
        <w:rPr/>
        <w:t>verified</w:t>
      </w:r>
      <w:r>
        <w:rPr>
          <w:spacing w:val="70"/>
        </w:rPr>
        <w:t> </w:t>
      </w:r>
      <w:r>
        <w:rPr/>
        <w:t>and</w:t>
      </w:r>
      <w:r>
        <w:rPr>
          <w:spacing w:val="72"/>
        </w:rPr>
        <w:t> </w:t>
      </w:r>
      <w:r>
        <w:rPr/>
        <w:t>estimated</w:t>
      </w:r>
      <w:r>
        <w:rPr>
          <w:spacing w:val="72"/>
        </w:rPr>
        <w:t> </w:t>
      </w:r>
      <w:r>
        <w:rPr/>
        <w:t>strata</w:t>
      </w:r>
      <w:r>
        <w:rPr>
          <w:spacing w:val="71"/>
        </w:rPr>
        <w:t> </w:t>
      </w:r>
      <w:r>
        <w:rPr/>
        <w:t>(p=0.602,</w:t>
      </w:r>
    </w:p>
    <w:p>
      <w:pPr>
        <w:pStyle w:val="BodyText"/>
        <w:spacing w:after="0" w:line="480" w:lineRule="auto"/>
        <w:sectPr>
          <w:pgSz w:w="11900" w:h="16820"/>
          <w:pgMar w:header="714" w:footer="0" w:top="1340" w:bottom="280" w:left="1700" w:right="1417"/>
        </w:sectPr>
      </w:pPr>
    </w:p>
    <w:p>
      <w:pPr>
        <w:pStyle w:val="BodyText"/>
        <w:spacing w:line="480" w:lineRule="auto" w:before="79"/>
        <w:ind w:right="316"/>
        <w:jc w:val="both"/>
      </w:pPr>
      <w:r>
        <w:rPr/>
        <w:t>Appendix E.7). We report both figures and treat the divergence as a precision</w:t>
      </w:r>
      <w:r>
        <w:rPr>
          <w:spacing w:val="40"/>
        </w:rPr>
        <w:t> </w:t>
      </w:r>
      <w:r>
        <w:rPr/>
        <w:t>boundary at the current verified-sample size, not as grounds for preferring the specification that happens to reach significance; the digital-adoption channel has not been separately tested on the verified-only subsample (§3.3, Appendix E.5). The simulation design rankings are calibration-supported and robustness-tested, but</w:t>
      </w:r>
      <w:r>
        <w:rPr>
          <w:spacing w:val="80"/>
        </w:rPr>
        <w:t> </w:t>
      </w:r>
      <w:r>
        <w:rPr/>
        <w:t>depend on literature-bounded CBDC-specific parameters not directly identified from the panel. This distinction governs the degree of confidence attributed to each finding. This paper makes three contributions. First, on the macroprudential design side, a complex-systems simulation calibrated to historical crisis evidence ranks four CBDC configurations and shows that a dynamic, tiered holding cap dominates the</w:t>
      </w:r>
      <w:r>
        <w:rPr>
          <w:spacing w:val="40"/>
        </w:rPr>
        <w:t> </w:t>
      </w:r>
      <w:r>
        <w:rPr/>
        <w:t>alternatives, supporting its interpretation as a general design principle rather than a context-specific result. This ranking is invariant across bootstrap refits, parameter perturbations, welfare weightings, and across the full range of digital-adoption levels</w:t>
      </w:r>
      <w:r>
        <w:rPr>
          <w:spacing w:val="40"/>
        </w:rPr>
        <w:t> </w:t>
      </w:r>
      <w:r>
        <w:rPr/>
        <w:t>in the simulation (a literature-bounded parameter, not itself estimated from θ₃), with the dynamic cap’s advantage widening in the most digital economies. Second, on the empirical side, OLS/MLE estimation on n=81 crisis episodes identifies the single outflow channel that underlies this calibration: bank concentration×shock severity (θ₂=0.2466, p&lt;0.001 under the main-effects specification; θ₂=0.3827, p&lt;0.001 under the alternative specification;</w:t>
      </w:r>
      <w:r>
        <w:rPr>
          <w:spacing w:val="80"/>
        </w:rPr>
        <w:t> </w:t>
      </w:r>
      <w:r>
        <w:rPr/>
        <w:t>§3.5).</w:t>
      </w:r>
      <w:r>
        <w:rPr>
          <w:spacing w:val="27"/>
        </w:rPr>
        <w:t> </w:t>
      </w:r>
      <w:r>
        <w:rPr/>
        <w:t>Verified-data-alone</w:t>
      </w:r>
      <w:r>
        <w:rPr>
          <w:spacing w:val="27"/>
        </w:rPr>
        <w:t> </w:t>
      </w:r>
      <w:r>
        <w:rPr/>
        <w:t>confirmation</w:t>
      </w:r>
      <w:r>
        <w:rPr>
          <w:spacing w:val="27"/>
        </w:rPr>
        <w:t> </w:t>
      </w:r>
      <w:r>
        <w:rPr/>
        <w:t>of this</w:t>
      </w:r>
      <w:r>
        <w:rPr>
          <w:spacing w:val="27"/>
        </w:rPr>
        <w:t> </w:t>
      </w:r>
      <w:r>
        <w:rPr/>
        <w:t>channel is specification-sensitive at n=15 (θ₂=0.7451, p=0.0325 under the main-effects specification; θ₂=0.085, p=0.774 under the alternative), a divergence attributable to collinearity and small-sample imprecision (Appendix E.7) rather than to either specification being the “correct” one. The contribution is not merely the point</w:t>
      </w:r>
      <w:r>
        <w:rPr>
          <w:spacing w:val="80"/>
          <w:w w:val="150"/>
        </w:rPr>
        <w:t> </w:t>
      </w:r>
      <w:r>
        <w:rPr/>
        <w:t>estimate but its robustness to specification choices within the full panel. The channel survives</w:t>
      </w:r>
      <w:r>
        <w:rPr>
          <w:spacing w:val="77"/>
        </w:rPr>
        <w:t> </w:t>
      </w:r>
      <w:r>
        <w:rPr/>
        <w:t>conditioning</w:t>
      </w:r>
      <w:r>
        <w:rPr>
          <w:spacing w:val="75"/>
        </w:rPr>
        <w:t> </w:t>
      </w:r>
      <w:r>
        <w:rPr/>
        <w:t>on</w:t>
      </w:r>
      <w:r>
        <w:rPr>
          <w:spacing w:val="75"/>
        </w:rPr>
        <w:t> </w:t>
      </w:r>
      <w:r>
        <w:rPr/>
        <w:t>digital</w:t>
      </w:r>
      <w:r>
        <w:rPr>
          <w:spacing w:val="75"/>
        </w:rPr>
        <w:t> </w:t>
      </w:r>
      <w:r>
        <w:rPr/>
        <w:t>adoption</w:t>
      </w:r>
      <w:r>
        <w:rPr>
          <w:spacing w:val="75"/>
        </w:rPr>
        <w:t> </w:t>
      </w:r>
      <w:r>
        <w:rPr/>
        <w:t>D</w:t>
      </w:r>
      <w:r>
        <w:rPr>
          <w:spacing w:val="76"/>
        </w:rPr>
        <w:t> </w:t>
      </w:r>
      <w:r>
        <w:rPr/>
        <w:t>as</w:t>
      </w:r>
      <w:r>
        <w:rPr>
          <w:spacing w:val="76"/>
        </w:rPr>
        <w:t> </w:t>
      </w:r>
      <w:r>
        <w:rPr/>
        <w:t>a</w:t>
      </w:r>
      <w:r>
        <w:rPr>
          <w:spacing w:val="76"/>
        </w:rPr>
        <w:t> </w:t>
      </w:r>
      <w:r>
        <w:rPr/>
        <w:t>separate</w:t>
      </w:r>
      <w:r>
        <w:rPr>
          <w:spacing w:val="77"/>
        </w:rPr>
        <w:t> </w:t>
      </w:r>
      <w:r>
        <w:rPr/>
        <w:t>regressor</w:t>
      </w:r>
      <w:r>
        <w:rPr>
          <w:spacing w:val="76"/>
        </w:rPr>
        <w:t> </w:t>
      </w:r>
      <w:r>
        <w:rPr/>
        <w:t>(Table</w:t>
      </w:r>
      <w:r>
        <w:rPr>
          <w:spacing w:val="75"/>
        </w:rPr>
        <w:t> </w:t>
      </w:r>
      <w:r>
        <w:rPr>
          <w:spacing w:val="-5"/>
        </w:rPr>
        <w:t>2b:</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22"/>
        <w:jc w:val="both"/>
      </w:pPr>
      <w:r>
        <w:rPr/>
        <w:t>θ₂=0.209,</w:t>
      </w:r>
      <w:r>
        <w:rPr>
          <w:spacing w:val="-6"/>
        </w:rPr>
        <w:t> </w:t>
      </w:r>
      <w:r>
        <w:rPr/>
        <w:t>p=0.0031),</w:t>
      </w:r>
      <w:r>
        <w:rPr>
          <w:spacing w:val="-6"/>
        </w:rPr>
        <w:t> </w:t>
      </w:r>
      <w:r>
        <w:rPr/>
        <w:t>ruling</w:t>
      </w:r>
      <w:r>
        <w:rPr>
          <w:spacing w:val="-5"/>
        </w:rPr>
        <w:t> </w:t>
      </w:r>
      <w:r>
        <w:rPr/>
        <w:t>out</w:t>
      </w:r>
      <w:r>
        <w:rPr>
          <w:spacing w:val="-5"/>
        </w:rPr>
        <w:t> </w:t>
      </w:r>
      <w:r>
        <w:rPr/>
        <w:t>an</w:t>
      </w:r>
      <w:r>
        <w:rPr>
          <w:spacing w:val="-6"/>
        </w:rPr>
        <w:t> </w:t>
      </w:r>
      <w:r>
        <w:rPr/>
        <w:t>omitted-variable</w:t>
      </w:r>
      <w:r>
        <w:rPr>
          <w:spacing w:val="-6"/>
        </w:rPr>
        <w:t> </w:t>
      </w:r>
      <w:r>
        <w:rPr/>
        <w:t>explanation</w:t>
      </w:r>
      <w:r>
        <w:rPr>
          <w:spacing w:val="-5"/>
        </w:rPr>
        <w:t> </w:t>
      </w:r>
      <w:r>
        <w:rPr/>
        <w:t>for</w:t>
      </w:r>
      <w:r>
        <w:rPr>
          <w:spacing w:val="-6"/>
        </w:rPr>
        <w:t> </w:t>
      </w:r>
      <w:r>
        <w:rPr/>
        <w:t>the</w:t>
      </w:r>
      <w:r>
        <w:rPr>
          <w:spacing w:val="-6"/>
        </w:rPr>
        <w:t> </w:t>
      </w:r>
      <w:r>
        <w:rPr/>
        <w:t>headline</w:t>
      </w:r>
      <w:r>
        <w:rPr>
          <w:spacing w:val="-3"/>
        </w:rPr>
        <w:t> </w:t>
      </w:r>
      <w:r>
        <w:rPr/>
        <w:t>result. D’s own coefficient (θ₃=0.0394, p=0.0973) is positive without reaching conventional significance, and is reported as a secondary observation rather than a claimed contribution.</w:t>
      </w:r>
      <w:r>
        <w:rPr>
          <w:spacing w:val="80"/>
        </w:rPr>
        <w:t> </w:t>
      </w:r>
      <w:r>
        <w:rPr/>
        <w:t>Third,</w:t>
      </w:r>
      <w:r>
        <w:rPr>
          <w:spacing w:val="80"/>
        </w:rPr>
        <w:t> </w:t>
      </w:r>
      <w:r>
        <w:rPr/>
        <w:t>on</w:t>
      </w:r>
      <w:r>
        <w:rPr>
          <w:spacing w:val="80"/>
        </w:rPr>
        <w:t> </w:t>
      </w:r>
      <w:r>
        <w:rPr/>
        <w:t>the</w:t>
      </w:r>
      <w:r>
        <w:rPr>
          <w:spacing w:val="80"/>
        </w:rPr>
        <w:t> </w:t>
      </w:r>
      <w:r>
        <w:rPr/>
        <w:t>policy-implementation</w:t>
      </w:r>
      <w:r>
        <w:rPr>
          <w:spacing w:val="80"/>
        </w:rPr>
        <w:t> </w:t>
      </w:r>
      <w:r>
        <w:rPr/>
        <w:t>side,</w:t>
      </w:r>
      <w:r>
        <w:rPr>
          <w:spacing w:val="80"/>
        </w:rPr>
        <w:t> </w:t>
      </w:r>
      <w:r>
        <w:rPr/>
        <w:t>a</w:t>
      </w:r>
      <w:r>
        <w:rPr>
          <w:spacing w:val="80"/>
        </w:rPr>
        <w:t> </w:t>
      </w:r>
      <w:r>
        <w:rPr/>
        <w:t>Pareto-efficient holding-limit analysis locates a risk-minimising cap and characterises its sensitivity to assumptions, offering central banks a concrete way to operationalise the macroprudential design principle above while explicitly declining to treat any single cap value as a portable policy recommendation. Throughout, empirically estimated relationships are kept separate from literature-bounded simulation parameters, and the confidence attached to each claim is stated explicitly.</w:t>
      </w:r>
    </w:p>
    <w:p>
      <w:pPr>
        <w:pStyle w:val="BodyText"/>
        <w:spacing w:line="480" w:lineRule="auto"/>
        <w:ind w:right="382"/>
        <w:jc w:val="both"/>
      </w:pPr>
      <w:r>
        <w:rPr/>
        <w:t>Section 2 reviews the literature. Section 3 presents the model and calibration. Section 4 reports simulation results. Section 5 provides partial validation. Section 6 presents Pareto-efficient holding limit analysis. Section 7 concludes. Appendix A (replication instructions) is included in the main text; Appendices B through H (extended robustness, measurement-error, reconciliation, and verification detail, cited</w:t>
      </w:r>
      <w:r>
        <w:rPr>
          <w:spacing w:val="40"/>
        </w:rPr>
        <w:t> </w:t>
      </w:r>
      <w:r>
        <w:rPr/>
        <w:t>throughout by section number, e.g. §E.5, §G.2, §H.1) are provided as Online Supplementary Appendices accompanying this submission.</w:t>
      </w:r>
    </w:p>
    <w:p>
      <w:pPr>
        <w:spacing w:line="240" w:lineRule="auto"/>
        <w:ind w:left="149" w:right="-44" w:firstLine="0"/>
        <w:rPr>
          <w:sz w:val="20"/>
        </w:rPr>
      </w:pPr>
      <w:r>
        <w:rPr>
          <w:sz w:val="20"/>
        </w:rPr>
        <w:drawing>
          <wp:inline distT="0" distB="0" distL="0" distR="0">
            <wp:extent cx="5483731" cy="1024127"/>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483731" cy="1024127"/>
                    </a:xfrm>
                    <a:prstGeom prst="rect">
                      <a:avLst/>
                    </a:prstGeom>
                  </pic:spPr>
                </pic:pic>
              </a:graphicData>
            </a:graphic>
          </wp:inline>
        </w:drawing>
      </w:r>
      <w:r>
        <w:rPr>
          <w:sz w:val="20"/>
        </w:rPr>
      </w:r>
    </w:p>
    <w:p>
      <w:pPr>
        <w:spacing w:before="231"/>
        <w:ind w:left="144" w:right="0" w:firstLine="0"/>
        <w:jc w:val="both"/>
        <w:rPr>
          <w:b/>
          <w:i/>
          <w:sz w:val="24"/>
        </w:rPr>
      </w:pPr>
      <w:r>
        <w:rPr>
          <w:b/>
          <w:i/>
          <w:spacing w:val="-12"/>
          <w:sz w:val="24"/>
        </w:rPr>
        <w:t>Figure1.</w:t>
      </w:r>
      <w:r>
        <w:rPr>
          <w:b/>
          <w:i/>
          <w:spacing w:val="-8"/>
          <w:sz w:val="24"/>
        </w:rPr>
        <w:t> </w:t>
      </w:r>
      <w:r>
        <w:rPr>
          <w:b/>
          <w:i/>
          <w:spacing w:val="-12"/>
          <w:sz w:val="24"/>
        </w:rPr>
        <w:t>Research</w:t>
      </w:r>
      <w:r>
        <w:rPr>
          <w:b/>
          <w:i/>
          <w:spacing w:val="-17"/>
          <w:sz w:val="24"/>
        </w:rPr>
        <w:t> </w:t>
      </w:r>
      <w:r>
        <w:rPr>
          <w:b/>
          <w:i/>
          <w:spacing w:val="-12"/>
          <w:sz w:val="24"/>
        </w:rPr>
        <w:t>design:</w:t>
      </w:r>
      <w:r>
        <w:rPr>
          <w:b/>
          <w:i/>
          <w:spacing w:val="-11"/>
          <w:sz w:val="24"/>
        </w:rPr>
        <w:t> </w:t>
      </w:r>
      <w:r>
        <w:rPr>
          <w:b/>
          <w:i/>
          <w:spacing w:val="-12"/>
          <w:sz w:val="24"/>
        </w:rPr>
        <w:t>from</w:t>
      </w:r>
      <w:r>
        <w:rPr>
          <w:b/>
          <w:i/>
          <w:spacing w:val="-22"/>
          <w:sz w:val="24"/>
        </w:rPr>
        <w:t> </w:t>
      </w:r>
      <w:r>
        <w:rPr>
          <w:b/>
          <w:i/>
          <w:spacing w:val="-12"/>
          <w:sz w:val="24"/>
        </w:rPr>
        <w:t>historical</w:t>
      </w:r>
      <w:r>
        <w:rPr>
          <w:b/>
          <w:i/>
          <w:spacing w:val="-9"/>
          <w:sz w:val="24"/>
        </w:rPr>
        <w:t> </w:t>
      </w:r>
      <w:r>
        <w:rPr>
          <w:b/>
          <w:i/>
          <w:spacing w:val="-12"/>
          <w:sz w:val="24"/>
        </w:rPr>
        <w:t>crisis evidence</w:t>
      </w:r>
      <w:r>
        <w:rPr>
          <w:b/>
          <w:i/>
          <w:spacing w:val="-17"/>
          <w:sz w:val="24"/>
        </w:rPr>
        <w:t> </w:t>
      </w:r>
      <w:r>
        <w:rPr>
          <w:b/>
          <w:i/>
          <w:spacing w:val="-12"/>
          <w:sz w:val="24"/>
        </w:rPr>
        <w:t>to</w:t>
      </w:r>
      <w:r>
        <w:rPr>
          <w:b/>
          <w:i/>
          <w:spacing w:val="-15"/>
          <w:sz w:val="24"/>
        </w:rPr>
        <w:t> </w:t>
      </w:r>
      <w:r>
        <w:rPr>
          <w:b/>
          <w:i/>
          <w:spacing w:val="-12"/>
          <w:sz w:val="24"/>
        </w:rPr>
        <w:t>macroprudential</w:t>
      </w:r>
      <w:r>
        <w:rPr>
          <w:b/>
          <w:i/>
          <w:spacing w:val="-9"/>
          <w:sz w:val="24"/>
        </w:rPr>
        <w:t> </w:t>
      </w:r>
      <w:r>
        <w:rPr>
          <w:b/>
          <w:i/>
          <w:spacing w:val="-12"/>
          <w:sz w:val="24"/>
        </w:rPr>
        <w:t>policy</w:t>
      </w:r>
      <w:r>
        <w:rPr>
          <w:b/>
          <w:i/>
          <w:spacing w:val="-17"/>
          <w:sz w:val="24"/>
        </w:rPr>
        <w:t> </w:t>
      </w:r>
      <w:r>
        <w:rPr>
          <w:b/>
          <w:i/>
          <w:spacing w:val="-12"/>
          <w:sz w:val="24"/>
        </w:rPr>
        <w:t>guidance.</w:t>
      </w:r>
    </w:p>
    <w:p>
      <w:pPr>
        <w:spacing w:after="0"/>
        <w:jc w:val="both"/>
        <w:rPr>
          <w:b/>
          <w:i/>
          <w:sz w:val="24"/>
        </w:rPr>
        <w:sectPr>
          <w:pgSz w:w="11900" w:h="16820"/>
          <w:pgMar w:header="714" w:footer="0" w:top="1340" w:bottom="280" w:left="1700" w:right="1417"/>
        </w:sectPr>
      </w:pPr>
    </w:p>
    <w:p>
      <w:pPr>
        <w:pStyle w:val="BodyText"/>
        <w:spacing w:before="163"/>
        <w:ind w:left="0"/>
        <w:rPr>
          <w:b/>
          <w:i/>
        </w:rPr>
      </w:pPr>
    </w:p>
    <w:p>
      <w:pPr>
        <w:pStyle w:val="Heading1"/>
        <w:numPr>
          <w:ilvl w:val="0"/>
          <w:numId w:val="1"/>
        </w:numPr>
        <w:tabs>
          <w:tab w:pos="337" w:val="left" w:leader="none"/>
        </w:tabs>
        <w:spacing w:line="240" w:lineRule="auto" w:before="0" w:after="0"/>
        <w:ind w:left="337" w:right="0" w:hanging="238"/>
        <w:jc w:val="left"/>
      </w:pPr>
      <w:r>
        <w:rPr/>
        <w:t>Literature</w:t>
      </w:r>
      <w:r>
        <w:rPr>
          <w:spacing w:val="-15"/>
        </w:rPr>
        <w:t> </w:t>
      </w:r>
      <w:r>
        <w:rPr>
          <w:spacing w:val="-2"/>
        </w:rPr>
        <w:t>Review</w:t>
      </w:r>
    </w:p>
    <w:p>
      <w:pPr>
        <w:pStyle w:val="BodyText"/>
        <w:ind w:left="0"/>
        <w:rPr>
          <w:b/>
        </w:rPr>
      </w:pPr>
    </w:p>
    <w:p>
      <w:pPr>
        <w:pStyle w:val="BodyText"/>
        <w:spacing w:before="85"/>
        <w:ind w:left="0"/>
        <w:rPr>
          <w:b/>
        </w:rPr>
      </w:pPr>
    </w:p>
    <w:p>
      <w:pPr>
        <w:pStyle w:val="Heading2"/>
        <w:numPr>
          <w:ilvl w:val="1"/>
          <w:numId w:val="1"/>
        </w:numPr>
        <w:tabs>
          <w:tab w:pos="457" w:val="left" w:leader="none"/>
        </w:tabs>
        <w:spacing w:line="240" w:lineRule="auto" w:before="0" w:after="0"/>
        <w:ind w:left="457" w:right="0" w:hanging="358"/>
        <w:jc w:val="left"/>
        <w:rPr>
          <w:i/>
        </w:rPr>
      </w:pPr>
      <w:r>
        <w:rPr>
          <w:i/>
        </w:rPr>
        <w:t>CBDC</w:t>
      </w:r>
      <w:r>
        <w:rPr>
          <w:i/>
          <w:spacing w:val="-15"/>
        </w:rPr>
        <w:t> </w:t>
      </w:r>
      <w:r>
        <w:rPr>
          <w:i/>
        </w:rPr>
        <w:t>Design</w:t>
      </w:r>
      <w:r>
        <w:rPr>
          <w:i/>
          <w:spacing w:val="-14"/>
        </w:rPr>
        <w:t> </w:t>
      </w:r>
      <w:r>
        <w:rPr>
          <w:i/>
        </w:rPr>
        <w:t>and</w:t>
      </w:r>
      <w:r>
        <w:rPr>
          <w:i/>
          <w:spacing w:val="-13"/>
        </w:rPr>
        <w:t> </w:t>
      </w:r>
      <w:r>
        <w:rPr>
          <w:i/>
        </w:rPr>
        <w:t>the</w:t>
      </w:r>
      <w:r>
        <w:rPr>
          <w:i/>
          <w:spacing w:val="-14"/>
        </w:rPr>
        <w:t> </w:t>
      </w:r>
      <w:r>
        <w:rPr>
          <w:i/>
        </w:rPr>
        <w:t>Stability-Inclusion</w:t>
      </w:r>
      <w:r>
        <w:rPr>
          <w:i/>
          <w:spacing w:val="-13"/>
        </w:rPr>
        <w:t> </w:t>
      </w:r>
      <w:r>
        <w:rPr>
          <w:i/>
        </w:rPr>
        <w:t>Trade-</w:t>
      </w:r>
      <w:r>
        <w:rPr>
          <w:i/>
          <w:spacing w:val="-5"/>
        </w:rPr>
        <w:t>Off</w:t>
      </w:r>
    </w:p>
    <w:p>
      <w:pPr>
        <w:pStyle w:val="BodyText"/>
        <w:spacing w:before="79"/>
        <w:ind w:left="0"/>
        <w:rPr>
          <w:b/>
          <w:i/>
        </w:rPr>
      </w:pPr>
    </w:p>
    <w:p>
      <w:pPr>
        <w:pStyle w:val="BodyText"/>
        <w:tabs>
          <w:tab w:pos="1535" w:val="left" w:leader="none"/>
          <w:tab w:pos="2003" w:val="left" w:leader="none"/>
          <w:tab w:pos="4207" w:val="left" w:leader="none"/>
          <w:tab w:pos="4699" w:val="left" w:leader="none"/>
        </w:tabs>
        <w:spacing w:line="480" w:lineRule="auto"/>
        <w:ind w:right="300"/>
      </w:pPr>
      <w:r>
        <w:rPr/>
        <w:t>Kumhof and Noone (2021; KN21) show that holding limits and tiered remuneration mitigate</w:t>
      </w:r>
      <w:r>
        <w:rPr>
          <w:spacing w:val="80"/>
        </w:rPr>
        <w:t> </w:t>
      </w:r>
      <w:r>
        <w:rPr/>
        <w:t>disintermediation</w:t>
      </w:r>
      <w:r>
        <w:rPr>
          <w:spacing w:val="80"/>
        </w:rPr>
        <w:t> </w:t>
      </w:r>
      <w:r>
        <w:rPr/>
        <w:t>while</w:t>
      </w:r>
      <w:r>
        <w:rPr>
          <w:spacing w:val="80"/>
        </w:rPr>
        <w:t> </w:t>
      </w:r>
      <w:r>
        <w:rPr/>
        <w:t>preserving</w:t>
      </w:r>
      <w:r>
        <w:rPr>
          <w:spacing w:val="80"/>
        </w:rPr>
        <w:t> </w:t>
      </w:r>
      <w:r>
        <w:rPr/>
        <w:t>inclusion.</w:t>
      </w:r>
      <w:r>
        <w:rPr>
          <w:spacing w:val="80"/>
        </w:rPr>
        <w:t> </w:t>
      </w:r>
      <w:r>
        <w:rPr/>
        <w:t>Meller</w:t>
      </w:r>
      <w:r>
        <w:rPr>
          <w:spacing w:val="80"/>
        </w:rPr>
        <w:t> </w:t>
      </w:r>
      <w:r>
        <w:rPr/>
        <w:t>and</w:t>
      </w:r>
      <w:r>
        <w:rPr>
          <w:spacing w:val="80"/>
        </w:rPr>
        <w:t> </w:t>
      </w:r>
      <w:r>
        <w:rPr/>
        <w:t>Soons</w:t>
      </w:r>
      <w:r>
        <w:rPr>
          <w:spacing w:val="80"/>
        </w:rPr>
        <w:t> </w:t>
      </w:r>
      <w:r>
        <w:rPr/>
        <w:t>(2023) similarly focus on holding limits directly, arguing that a CBDC’s financial-stability</w:t>
      </w:r>
      <w:r>
        <w:rPr>
          <w:spacing w:val="80"/>
        </w:rPr>
        <w:t> </w:t>
      </w:r>
      <w:r>
        <w:rPr/>
        <w:t>profile</w:t>
      </w:r>
      <w:r>
        <w:rPr>
          <w:spacing w:val="40"/>
        </w:rPr>
        <w:t> </w:t>
      </w:r>
      <w:r>
        <w:rPr/>
        <w:t>depends</w:t>
      </w:r>
      <w:r>
        <w:rPr>
          <w:spacing w:val="40"/>
        </w:rPr>
        <w:t> </w:t>
      </w:r>
      <w:r>
        <w:rPr/>
        <w:t>on</w:t>
      </w:r>
      <w:r>
        <w:rPr>
          <w:spacing w:val="40"/>
        </w:rPr>
        <w:t> </w:t>
      </w:r>
      <w:r>
        <w:rPr/>
        <w:t>how</w:t>
      </w:r>
      <w:r>
        <w:rPr>
          <w:spacing w:val="40"/>
        </w:rPr>
        <w:t> </w:t>
      </w:r>
      <w:r>
        <w:rPr/>
        <w:t>tightly</w:t>
      </w:r>
      <w:r>
        <w:rPr>
          <w:spacing w:val="40"/>
        </w:rPr>
        <w:t> </w:t>
      </w:r>
      <w:r>
        <w:rPr/>
        <w:t>a</w:t>
      </w:r>
      <w:r>
        <w:rPr>
          <w:spacing w:val="40"/>
        </w:rPr>
        <w:t> </w:t>
      </w:r>
      <w:r>
        <w:rPr/>
        <w:t>central</w:t>
      </w:r>
      <w:r>
        <w:rPr>
          <w:spacing w:val="40"/>
        </w:rPr>
        <w:t> </w:t>
      </w:r>
      <w:r>
        <w:rPr/>
        <w:t>bank</w:t>
      </w:r>
      <w:r>
        <w:rPr>
          <w:spacing w:val="40"/>
        </w:rPr>
        <w:t> </w:t>
      </w:r>
      <w:r>
        <w:rPr/>
        <w:t>is</w:t>
      </w:r>
      <w:r>
        <w:rPr>
          <w:spacing w:val="40"/>
        </w:rPr>
        <w:t> </w:t>
      </w:r>
      <w:r>
        <w:rPr/>
        <w:t>willing</w:t>
      </w:r>
      <w:r>
        <w:rPr>
          <w:spacing w:val="40"/>
        </w:rPr>
        <w:t> </w:t>
      </w:r>
      <w:r>
        <w:rPr/>
        <w:t>to</w:t>
      </w:r>
      <w:r>
        <w:rPr>
          <w:spacing w:val="40"/>
        </w:rPr>
        <w:t> </w:t>
      </w:r>
      <w:r>
        <w:rPr/>
        <w:t>constrain</w:t>
      </w:r>
      <w:r>
        <w:rPr>
          <w:spacing w:val="40"/>
        </w:rPr>
        <w:t> </w:t>
      </w:r>
      <w:r>
        <w:rPr/>
        <w:t>individual</w:t>
      </w:r>
      <w:r>
        <w:rPr>
          <w:spacing w:val="40"/>
        </w:rPr>
        <w:t> </w:t>
      </w:r>
      <w:r>
        <w:rPr/>
        <w:t>holdings</w:t>
      </w:r>
      <w:r>
        <w:rPr>
          <w:spacing w:val="40"/>
        </w:rPr>
        <w:t> </w:t>
      </w:r>
      <w:r>
        <w:rPr/>
        <w:t>and</w:t>
      </w:r>
      <w:r>
        <w:rPr>
          <w:spacing w:val="40"/>
        </w:rPr>
        <w:t> </w:t>
      </w:r>
      <w:r>
        <w:rPr/>
        <w:t>on</w:t>
      </w:r>
      <w:r>
        <w:rPr>
          <w:spacing w:val="40"/>
        </w:rPr>
        <w:t> </w:t>
      </w:r>
      <w:r>
        <w:rPr/>
        <w:t>the</w:t>
      </w:r>
      <w:r>
        <w:rPr>
          <w:spacing w:val="39"/>
        </w:rPr>
        <w:t> </w:t>
      </w:r>
      <w:r>
        <w:rPr/>
        <w:t>reliance</w:t>
      </w:r>
      <w:r>
        <w:rPr>
          <w:spacing w:val="40"/>
        </w:rPr>
        <w:t> </w:t>
      </w:r>
      <w:r>
        <w:rPr/>
        <w:t>the</w:t>
      </w:r>
      <w:r>
        <w:rPr>
          <w:spacing w:val="39"/>
        </w:rPr>
        <w:t> </w:t>
      </w:r>
      <w:r>
        <w:rPr/>
        <w:t>design</w:t>
      </w:r>
      <w:r>
        <w:rPr>
          <w:spacing w:val="40"/>
        </w:rPr>
        <w:t> </w:t>
      </w:r>
      <w:r>
        <w:rPr/>
        <w:t>places</w:t>
      </w:r>
      <w:r>
        <w:rPr>
          <w:spacing w:val="40"/>
        </w:rPr>
        <w:t> </w:t>
      </w:r>
      <w:r>
        <w:rPr/>
        <w:t>on</w:t>
      </w:r>
      <w:r>
        <w:rPr>
          <w:spacing w:val="40"/>
        </w:rPr>
        <w:t> </w:t>
      </w:r>
      <w:r>
        <w:rPr/>
        <w:t>the</w:t>
      </w:r>
      <w:r>
        <w:rPr>
          <w:spacing w:val="39"/>
        </w:rPr>
        <w:t> </w:t>
      </w:r>
      <w:r>
        <w:rPr/>
        <w:t>central</w:t>
      </w:r>
      <w:r>
        <w:rPr>
          <w:spacing w:val="40"/>
        </w:rPr>
        <w:t> </w:t>
      </w:r>
      <w:r>
        <w:rPr/>
        <w:t>bank</w:t>
      </w:r>
      <w:r>
        <w:rPr>
          <w:spacing w:val="40"/>
        </w:rPr>
        <w:t> </w:t>
      </w:r>
      <w:r>
        <w:rPr/>
        <w:t>as</w:t>
      </w:r>
      <w:r>
        <w:rPr>
          <w:spacing w:val="40"/>
        </w:rPr>
        <w:t> </w:t>
      </w:r>
      <w:r>
        <w:rPr/>
        <w:t>a</w:t>
      </w:r>
      <w:r>
        <w:rPr>
          <w:spacing w:val="39"/>
        </w:rPr>
        <w:t> </w:t>
      </w:r>
      <w:r>
        <w:rPr/>
        <w:t>stabilising </w:t>
      </w:r>
      <w:r>
        <w:rPr>
          <w:spacing w:val="-2"/>
        </w:rPr>
        <w:t>counterparty</w:t>
      </w:r>
      <w:r>
        <w:rPr/>
        <w:tab/>
      </w:r>
      <w:r>
        <w:rPr>
          <w:spacing w:val="-10"/>
        </w:rPr>
        <w:t>—</w:t>
      </w:r>
      <w:r>
        <w:rPr/>
        <w:tab/>
        <w:t>concerns</w:t>
      </w:r>
      <w:r>
        <w:rPr>
          <w:spacing w:val="80"/>
        </w:rPr>
        <w:t> </w:t>
      </w:r>
      <w:r>
        <w:rPr/>
        <w:t>this</w:t>
      </w:r>
      <w:r>
        <w:rPr>
          <w:spacing w:val="80"/>
        </w:rPr>
        <w:t> </w:t>
      </w:r>
      <w:r>
        <w:rPr/>
        <w:t>paper’s</w:t>
      </w:r>
      <w:r>
        <w:rPr>
          <w:spacing w:val="80"/>
        </w:rPr>
        <w:t> </w:t>
      </w:r>
      <w:r>
        <w:rPr/>
        <w:t>dynamic-cap</w:t>
      </w:r>
      <w:r>
        <w:rPr>
          <w:spacing w:val="80"/>
        </w:rPr>
        <w:t> </w:t>
      </w:r>
      <w:r>
        <w:rPr/>
        <w:t>results</w:t>
      </w:r>
      <w:r>
        <w:rPr>
          <w:spacing w:val="80"/>
        </w:rPr>
        <w:t> </w:t>
      </w:r>
      <w:r>
        <w:rPr/>
        <w:t>speak</w:t>
      </w:r>
      <w:r>
        <w:rPr>
          <w:spacing w:val="80"/>
        </w:rPr>
        <w:t> </w:t>
      </w:r>
      <w:r>
        <w:rPr/>
        <w:t>to</w:t>
      </w:r>
      <w:r>
        <w:rPr>
          <w:spacing w:val="80"/>
        </w:rPr>
        <w:t> </w:t>
      </w:r>
      <w:r>
        <w:rPr/>
        <w:t>directly. Andolfatto</w:t>
      </w:r>
      <w:r>
        <w:rPr>
          <w:spacing w:val="40"/>
        </w:rPr>
        <w:t> </w:t>
      </w:r>
      <w:r>
        <w:rPr/>
        <w:t>(2021)</w:t>
      </w:r>
      <w:r>
        <w:rPr>
          <w:spacing w:val="40"/>
        </w:rPr>
        <w:t> </w:t>
      </w:r>
      <w:r>
        <w:rPr/>
        <w:t>demonstrates</w:t>
      </w:r>
      <w:r>
        <w:rPr>
          <w:spacing w:val="40"/>
        </w:rPr>
        <w:t> </w:t>
      </w:r>
      <w:r>
        <w:rPr/>
        <w:t>welfare</w:t>
      </w:r>
      <w:r>
        <w:rPr>
          <w:spacing w:val="40"/>
        </w:rPr>
        <w:t> </w:t>
      </w:r>
      <w:r>
        <w:rPr/>
        <w:t>dependence</w:t>
      </w:r>
      <w:r>
        <w:rPr>
          <w:spacing w:val="40"/>
        </w:rPr>
        <w:t> </w:t>
      </w:r>
      <w:r>
        <w:rPr/>
        <w:t>on</w:t>
      </w:r>
      <w:r>
        <w:rPr>
          <w:spacing w:val="40"/>
        </w:rPr>
        <w:t> </w:t>
      </w:r>
      <w:r>
        <w:rPr/>
        <w:t>the</w:t>
      </w:r>
      <w:r>
        <w:rPr>
          <w:spacing w:val="40"/>
        </w:rPr>
        <w:t> </w:t>
      </w:r>
      <w:r>
        <w:rPr/>
        <w:t>CBDC-deposit</w:t>
      </w:r>
      <w:r>
        <w:rPr>
          <w:spacing w:val="40"/>
        </w:rPr>
        <w:t> </w:t>
      </w:r>
      <w:r>
        <w:rPr/>
        <w:t>spread. Vollmar</w:t>
      </w:r>
      <w:r>
        <w:rPr>
          <w:spacing w:val="40"/>
        </w:rPr>
        <w:t> </w:t>
      </w:r>
      <w:r>
        <w:rPr/>
        <w:t>and</w:t>
      </w:r>
      <w:r>
        <w:rPr>
          <w:spacing w:val="40"/>
        </w:rPr>
        <w:t> </w:t>
      </w:r>
      <w:r>
        <w:rPr/>
        <w:t>Wening</w:t>
      </w:r>
      <w:r>
        <w:rPr>
          <w:spacing w:val="40"/>
        </w:rPr>
        <w:t> </w:t>
      </w:r>
      <w:r>
        <w:rPr/>
        <w:t>(2024),</w:t>
      </w:r>
      <w:r>
        <w:rPr>
          <w:spacing w:val="40"/>
        </w:rPr>
        <w:t> </w:t>
      </w:r>
      <w:r>
        <w:rPr/>
        <w:t>in</w:t>
      </w:r>
      <w:r>
        <w:rPr>
          <w:spacing w:val="40"/>
        </w:rPr>
        <w:t> </w:t>
      </w:r>
      <w:r>
        <w:rPr/>
        <w:t>this</w:t>
      </w:r>
      <w:r>
        <w:rPr>
          <w:spacing w:val="40"/>
        </w:rPr>
        <w:t> </w:t>
      </w:r>
      <w:r>
        <w:rPr/>
        <w:t>journal,</w:t>
      </w:r>
      <w:r>
        <w:rPr>
          <w:spacing w:val="40"/>
        </w:rPr>
        <w:t> </w:t>
      </w:r>
      <w:r>
        <w:rPr/>
        <w:t>model</w:t>
      </w:r>
      <w:r>
        <w:rPr>
          <w:spacing w:val="40"/>
        </w:rPr>
        <w:t> </w:t>
      </w:r>
      <w:r>
        <w:rPr/>
        <w:t>a</w:t>
      </w:r>
      <w:r>
        <w:rPr>
          <w:spacing w:val="40"/>
        </w:rPr>
        <w:t> </w:t>
      </w:r>
      <w:r>
        <w:rPr/>
        <w:t>deposit-dependent</w:t>
      </w:r>
      <w:r>
        <w:rPr>
          <w:spacing w:val="40"/>
        </w:rPr>
        <w:t> </w:t>
      </w:r>
      <w:r>
        <w:rPr/>
        <w:t>banking system under CBDC introduction and find that the stability</w:t>
      </w:r>
      <w:r>
        <w:rPr>
          <w:spacing w:val="-2"/>
        </w:rPr>
        <w:t> </w:t>
      </w:r>
      <w:r>
        <w:rPr/>
        <w:t>impact depends sharply</w:t>
      </w:r>
      <w:r>
        <w:rPr>
          <w:spacing w:val="-2"/>
        </w:rPr>
        <w:t> </w:t>
      </w:r>
      <w:r>
        <w:rPr/>
        <w:t>on the</w:t>
      </w:r>
      <w:r>
        <w:rPr>
          <w:spacing w:val="40"/>
        </w:rPr>
        <w:t> </w:t>
      </w:r>
      <w:r>
        <w:rPr/>
        <w:t>degree</w:t>
      </w:r>
      <w:r>
        <w:rPr>
          <w:spacing w:val="40"/>
        </w:rPr>
        <w:t> </w:t>
      </w:r>
      <w:r>
        <w:rPr/>
        <w:t>of</w:t>
      </w:r>
      <w:r>
        <w:rPr>
          <w:spacing w:val="40"/>
        </w:rPr>
        <w:t> </w:t>
      </w:r>
      <w:r>
        <w:rPr/>
        <w:t>bank</w:t>
      </w:r>
      <w:r>
        <w:rPr>
          <w:spacing w:val="40"/>
        </w:rPr>
        <w:t> </w:t>
      </w:r>
      <w:r>
        <w:rPr/>
        <w:t>reliance</w:t>
      </w:r>
      <w:r>
        <w:rPr>
          <w:spacing w:val="40"/>
        </w:rPr>
        <w:t> </w:t>
      </w:r>
      <w:r>
        <w:rPr/>
        <w:t>on</w:t>
      </w:r>
      <w:r>
        <w:rPr>
          <w:spacing w:val="40"/>
        </w:rPr>
        <w:t> </w:t>
      </w:r>
      <w:r>
        <w:rPr/>
        <w:t>deposit</w:t>
      </w:r>
      <w:r>
        <w:rPr>
          <w:spacing w:val="40"/>
        </w:rPr>
        <w:t> </w:t>
      </w:r>
      <w:r>
        <w:rPr/>
        <w:t>funding,</w:t>
      </w:r>
      <w:r>
        <w:rPr>
          <w:spacing w:val="40"/>
        </w:rPr>
        <w:t> </w:t>
      </w:r>
      <w:r>
        <w:rPr/>
        <w:t>a</w:t>
      </w:r>
      <w:r>
        <w:rPr>
          <w:spacing w:val="40"/>
        </w:rPr>
        <w:t> </w:t>
      </w:r>
      <w:r>
        <w:rPr/>
        <w:t>cross-sectional</w:t>
      </w:r>
      <w:r>
        <w:rPr>
          <w:spacing w:val="40"/>
        </w:rPr>
        <w:t> </w:t>
      </w:r>
      <w:r>
        <w:rPr/>
        <w:t>dimension</w:t>
      </w:r>
      <w:r>
        <w:rPr>
          <w:spacing w:val="40"/>
        </w:rPr>
        <w:t> </w:t>
      </w:r>
      <w:r>
        <w:rPr/>
        <w:t>this paper’s</w:t>
      </w:r>
      <w:r>
        <w:rPr>
          <w:spacing w:val="40"/>
        </w:rPr>
        <w:t> </w:t>
      </w:r>
      <w:r>
        <w:rPr/>
        <w:t>panel-based</w:t>
      </w:r>
      <w:r>
        <w:rPr>
          <w:spacing w:val="40"/>
        </w:rPr>
        <w:t> </w:t>
      </w:r>
      <w:r>
        <w:rPr/>
        <w:t>approach</w:t>
      </w:r>
      <w:r>
        <w:rPr>
          <w:spacing w:val="40"/>
        </w:rPr>
        <w:t> </w:t>
      </w:r>
      <w:r>
        <w:rPr/>
        <w:t>does</w:t>
      </w:r>
      <w:r>
        <w:rPr>
          <w:spacing w:val="40"/>
        </w:rPr>
        <w:t> </w:t>
      </w:r>
      <w:r>
        <w:rPr/>
        <w:t>not</w:t>
      </w:r>
      <w:r>
        <w:rPr>
          <w:spacing w:val="39"/>
        </w:rPr>
        <w:t> </w:t>
      </w:r>
      <w:r>
        <w:rPr/>
        <w:t>separately</w:t>
      </w:r>
      <w:r>
        <w:rPr>
          <w:spacing w:val="39"/>
        </w:rPr>
        <w:t> </w:t>
      </w:r>
      <w:r>
        <w:rPr/>
        <w:t>estimate</w:t>
      </w:r>
      <w:r>
        <w:rPr>
          <w:spacing w:val="40"/>
        </w:rPr>
        <w:t> </w:t>
      </w:r>
      <w:r>
        <w:rPr/>
        <w:t>but</w:t>
      </w:r>
      <w:r>
        <w:rPr>
          <w:spacing w:val="40"/>
        </w:rPr>
        <w:t> </w:t>
      </w:r>
      <w:r>
        <w:rPr/>
        <w:t>that</w:t>
      </w:r>
      <w:r>
        <w:rPr>
          <w:spacing w:val="40"/>
        </w:rPr>
        <w:t> </w:t>
      </w:r>
      <w:r>
        <w:rPr/>
        <w:t>is</w:t>
      </w:r>
      <w:r>
        <w:rPr>
          <w:spacing w:val="40"/>
        </w:rPr>
        <w:t> </w:t>
      </w:r>
      <w:r>
        <w:rPr/>
        <w:t>consistent</w:t>
      </w:r>
      <w:r>
        <w:rPr>
          <w:spacing w:val="40"/>
        </w:rPr>
        <w:t> </w:t>
      </w:r>
      <w:r>
        <w:rPr/>
        <w:t>in direction</w:t>
      </w:r>
      <w:r>
        <w:rPr>
          <w:spacing w:val="80"/>
        </w:rPr>
        <w:t> </w:t>
      </w:r>
      <w:r>
        <w:rPr/>
        <w:t>with</w:t>
      </w:r>
      <w:r>
        <w:rPr>
          <w:spacing w:val="80"/>
        </w:rPr>
        <w:t> </w:t>
      </w:r>
      <w:r>
        <w:rPr/>
        <w:t>our</w:t>
      </w:r>
      <w:r>
        <w:rPr>
          <w:spacing w:val="80"/>
        </w:rPr>
        <w:t> </w:t>
      </w:r>
      <w:r>
        <w:rPr/>
        <w:t>concentration</w:t>
      </w:r>
      <w:r>
        <w:rPr>
          <w:spacing w:val="80"/>
        </w:rPr>
        <w:t> </w:t>
      </w:r>
      <w:r>
        <w:rPr/>
        <w:t>channel.</w:t>
      </w:r>
      <w:r>
        <w:rPr>
          <w:spacing w:val="80"/>
        </w:rPr>
        <w:t> </w:t>
      </w:r>
      <w:r>
        <w:rPr/>
        <w:t>Brunnermeier</w:t>
      </w:r>
      <w:r>
        <w:rPr>
          <w:spacing w:val="80"/>
        </w:rPr>
        <w:t> </w:t>
      </w:r>
      <w:r>
        <w:rPr/>
        <w:t>and</w:t>
      </w:r>
      <w:r>
        <w:rPr>
          <w:spacing w:val="80"/>
        </w:rPr>
        <w:t> </w:t>
      </w:r>
      <w:r>
        <w:rPr/>
        <w:t>Sannikov</w:t>
      </w:r>
      <w:r>
        <w:rPr>
          <w:spacing w:val="80"/>
        </w:rPr>
        <w:t> </w:t>
      </w:r>
      <w:r>
        <w:rPr/>
        <w:t>(2016)</w:t>
      </w:r>
      <w:r>
        <w:rPr>
          <w:spacing w:val="80"/>
        </w:rPr>
        <w:t> </w:t>
      </w:r>
      <w:r>
        <w:rPr/>
        <w:t>formalise</w:t>
      </w:r>
      <w:r>
        <w:rPr>
          <w:spacing w:val="80"/>
        </w:rPr>
        <w:t> </w:t>
      </w:r>
      <w:r>
        <w:rPr/>
        <w:t>disintermediation</w:t>
      </w:r>
      <w:r>
        <w:rPr>
          <w:spacing w:val="80"/>
        </w:rPr>
        <w:t> </w:t>
      </w:r>
      <w:r>
        <w:rPr/>
        <w:t>risk,</w:t>
      </w:r>
      <w:r>
        <w:rPr>
          <w:spacing w:val="80"/>
        </w:rPr>
        <w:t> </w:t>
      </w:r>
      <w:r>
        <w:rPr/>
        <w:t>building</w:t>
      </w:r>
      <w:r>
        <w:rPr>
          <w:spacing w:val="80"/>
        </w:rPr>
        <w:t> </w:t>
      </w:r>
      <w:r>
        <w:rPr/>
        <w:t>on</w:t>
      </w:r>
      <w:r>
        <w:rPr>
          <w:spacing w:val="80"/>
        </w:rPr>
        <w:t> </w:t>
      </w:r>
      <w:r>
        <w:rPr/>
        <w:t>the</w:t>
      </w:r>
      <w:r>
        <w:rPr>
          <w:spacing w:val="80"/>
        </w:rPr>
        <w:t> </w:t>
      </w:r>
      <w:r>
        <w:rPr/>
        <w:t>liquidity-spiral</w:t>
      </w:r>
      <w:r>
        <w:rPr>
          <w:spacing w:val="80"/>
        </w:rPr>
        <w:t> </w:t>
      </w:r>
      <w:r>
        <w:rPr/>
        <w:t>mechanism</w:t>
      </w:r>
      <w:r>
        <w:rPr>
          <w:spacing w:val="80"/>
        </w:rPr>
        <w:t> </w:t>
      </w:r>
      <w:r>
        <w:rPr/>
        <w:t>of Brunnermeier and Pedersen (2009), in which funding constraints and market liquidity reinforce</w:t>
      </w:r>
      <w:r>
        <w:rPr>
          <w:spacing w:val="80"/>
        </w:rPr>
        <w:t> </w:t>
      </w:r>
      <w:r>
        <w:rPr/>
        <w:t>one</w:t>
      </w:r>
      <w:r>
        <w:rPr>
          <w:spacing w:val="80"/>
        </w:rPr>
        <w:t> </w:t>
      </w:r>
      <w:r>
        <w:rPr/>
        <w:t>another</w:t>
      </w:r>
      <w:r>
        <w:rPr>
          <w:spacing w:val="80"/>
        </w:rPr>
        <w:t> </w:t>
      </w:r>
      <w:r>
        <w:rPr/>
        <w:t>during</w:t>
      </w:r>
      <w:r>
        <w:rPr>
          <w:spacing w:val="80"/>
        </w:rPr>
        <w:t> </w:t>
      </w:r>
      <w:r>
        <w:rPr/>
        <w:t>stress</w:t>
        <w:tab/>
      </w:r>
      <w:r>
        <w:rPr>
          <w:spacing w:val="-10"/>
        </w:rPr>
        <w:t>—</w:t>
      </w:r>
      <w:r>
        <w:rPr/>
        <w:tab/>
        <w:t>a</w:t>
      </w:r>
      <w:r>
        <w:rPr>
          <w:spacing w:val="80"/>
        </w:rPr>
        <w:t> </w:t>
      </w:r>
      <w:r>
        <w:rPr/>
        <w:t>dynamic</w:t>
      </w:r>
      <w:r>
        <w:rPr>
          <w:spacing w:val="80"/>
        </w:rPr>
        <w:t> </w:t>
      </w:r>
      <w:r>
        <w:rPr/>
        <w:t>closely</w:t>
      </w:r>
      <w:r>
        <w:rPr>
          <w:spacing w:val="80"/>
        </w:rPr>
        <w:t> </w:t>
      </w:r>
      <w:r>
        <w:rPr/>
        <w:t>related</w:t>
      </w:r>
      <w:r>
        <w:rPr>
          <w:spacing w:val="80"/>
        </w:rPr>
        <w:t> </w:t>
      </w:r>
      <w:r>
        <w:rPr/>
        <w:t>to</w:t>
      </w:r>
      <w:r>
        <w:rPr>
          <w:spacing w:val="80"/>
        </w:rPr>
        <w:t> </w:t>
      </w:r>
      <w:r>
        <w:rPr/>
        <w:t>the</w:t>
      </w:r>
      <w:r>
        <w:rPr>
          <w:spacing w:val="40"/>
        </w:rPr>
        <w:t> </w:t>
      </w:r>
      <w:r>
        <w:rPr/>
        <w:t>unconstrained-CBDC</w:t>
      </w:r>
      <w:r>
        <w:rPr>
          <w:spacing w:val="80"/>
        </w:rPr>
        <w:t> </w:t>
      </w:r>
      <w:r>
        <w:rPr/>
        <w:t>failure</w:t>
      </w:r>
      <w:r>
        <w:rPr>
          <w:spacing w:val="80"/>
        </w:rPr>
        <w:t> </w:t>
      </w:r>
      <w:r>
        <w:rPr/>
        <w:t>mode</w:t>
      </w:r>
      <w:r>
        <w:rPr>
          <w:spacing w:val="80"/>
        </w:rPr>
        <w:t> </w:t>
      </w:r>
      <w:r>
        <w:rPr/>
        <w:t>modelled</w:t>
      </w:r>
      <w:r>
        <w:rPr>
          <w:spacing w:val="80"/>
        </w:rPr>
        <w:t> </w:t>
      </w:r>
      <w:r>
        <w:rPr/>
        <w:t>in</w:t>
      </w:r>
      <w:r>
        <w:rPr>
          <w:spacing w:val="80"/>
        </w:rPr>
        <w:t> </w:t>
      </w:r>
      <w:r>
        <w:rPr/>
        <w:t>Section</w:t>
      </w:r>
      <w:r>
        <w:rPr>
          <w:spacing w:val="80"/>
        </w:rPr>
        <w:t> </w:t>
      </w:r>
      <w:r>
        <w:rPr/>
        <w:t>4.</w:t>
      </w:r>
      <w:r>
        <w:rPr>
          <w:spacing w:val="80"/>
        </w:rPr>
        <w:t> </w:t>
      </w:r>
      <w:r>
        <w:rPr/>
        <w:t>Brunnermeier</w:t>
      </w:r>
      <w:r>
        <w:rPr>
          <w:spacing w:val="80"/>
        </w:rPr>
        <w:t> </w:t>
      </w:r>
      <w:r>
        <w:rPr/>
        <w:t>and</w:t>
      </w:r>
      <w:r>
        <w:rPr>
          <w:spacing w:val="40"/>
        </w:rPr>
        <w:t> </w:t>
      </w:r>
      <w:r>
        <w:rPr/>
        <w:t>Sannikov</w:t>
      </w:r>
      <w:r>
        <w:rPr>
          <w:spacing w:val="80"/>
        </w:rPr>
        <w:t> </w:t>
      </w:r>
      <w:r>
        <w:rPr/>
        <w:t>(2014)</w:t>
      </w:r>
      <w:r>
        <w:rPr>
          <w:spacing w:val="80"/>
        </w:rPr>
        <w:t> </w:t>
      </w:r>
      <w:r>
        <w:rPr/>
        <w:t>further</w:t>
      </w:r>
      <w:r>
        <w:rPr>
          <w:spacing w:val="80"/>
        </w:rPr>
        <w:t> </w:t>
      </w:r>
      <w:r>
        <w:rPr/>
        <w:t>show</w:t>
      </w:r>
      <w:r>
        <w:rPr>
          <w:spacing w:val="80"/>
        </w:rPr>
        <w:t> </w:t>
      </w:r>
      <w:r>
        <w:rPr/>
        <w:t>how</w:t>
      </w:r>
      <w:r>
        <w:rPr>
          <w:spacing w:val="80"/>
        </w:rPr>
        <w:t> </w:t>
      </w:r>
      <w:r>
        <w:rPr/>
        <w:t>such</w:t>
      </w:r>
      <w:r>
        <w:rPr>
          <w:spacing w:val="80"/>
        </w:rPr>
        <w:t> </w:t>
      </w:r>
      <w:r>
        <w:rPr/>
        <w:t>funding-liquidity</w:t>
      </w:r>
      <w:r>
        <w:rPr>
          <w:spacing w:val="80"/>
        </w:rPr>
        <w:t> </w:t>
      </w:r>
      <w:r>
        <w:rPr/>
        <w:t>feedback</w:t>
      </w:r>
      <w:r>
        <w:rPr>
          <w:spacing w:val="80"/>
        </w:rPr>
        <w:t> </w:t>
      </w:r>
      <w:r>
        <w:rPr/>
        <w:t>propagates through the wider financial sector once intermediary net worth is impaired, providing the macro-financial</w:t>
      </w:r>
      <w:r>
        <w:rPr>
          <w:spacing w:val="21"/>
        </w:rPr>
        <w:t> </w:t>
      </w:r>
      <w:r>
        <w:rPr/>
        <w:t>transmission mechanism</w:t>
      </w:r>
      <w:r>
        <w:rPr>
          <w:spacing w:val="21"/>
        </w:rPr>
        <w:t> </w:t>
      </w:r>
      <w:r>
        <w:rPr/>
        <w:t>that motivates treating CBDC design as</w:t>
      </w:r>
      <w:r>
        <w:rPr>
          <w:spacing w:val="80"/>
        </w:rPr>
        <w:t> </w:t>
      </w:r>
      <w:r>
        <w:rPr/>
        <w:t>a systemic-risk, not merely bank-level, policy choice. Auer, Cornelli, and Frost (2023; ACF23) document CBDC project drivers and design choices across a cross-country</w:t>
      </w:r>
      <w:r>
        <w:rPr>
          <w:spacing w:val="40"/>
        </w:rPr>
        <w:t> </w:t>
      </w:r>
      <w:r>
        <w:rPr/>
        <w:t>database.</w:t>
      </w:r>
      <w:r>
        <w:rPr>
          <w:spacing w:val="40"/>
        </w:rPr>
        <w:t> </w:t>
      </w:r>
      <w:r>
        <w:rPr/>
        <w:t>At</w:t>
      </w:r>
      <w:r>
        <w:rPr>
          <w:spacing w:val="40"/>
        </w:rPr>
        <w:t> </w:t>
      </w:r>
      <w:r>
        <w:rPr/>
        <w:t>the</w:t>
      </w:r>
      <w:r>
        <w:rPr>
          <w:spacing w:val="40"/>
        </w:rPr>
        <w:t> </w:t>
      </w:r>
      <w:r>
        <w:rPr/>
        <w:t>theoretical</w:t>
      </w:r>
      <w:r>
        <w:rPr>
          <w:spacing w:val="40"/>
        </w:rPr>
        <w:t> </w:t>
      </w:r>
      <w:r>
        <w:rPr/>
        <w:t>level,</w:t>
      </w:r>
      <w:r>
        <w:rPr>
          <w:spacing w:val="40"/>
        </w:rPr>
        <w:t> </w:t>
      </w:r>
      <w:r>
        <w:rPr/>
        <w:t>Ahnert,</w:t>
      </w:r>
      <w:r>
        <w:rPr>
          <w:spacing w:val="40"/>
        </w:rPr>
        <w:t> </w:t>
      </w:r>
      <w:r>
        <w:rPr/>
        <w:t>Hoffmann,</w:t>
      </w:r>
      <w:r>
        <w:rPr>
          <w:spacing w:val="40"/>
        </w:rPr>
        <w:t> </w:t>
      </w:r>
      <w:r>
        <w:rPr/>
        <w:t>Leonello,</w:t>
      </w:r>
      <w:r>
        <w:rPr>
          <w:spacing w:val="40"/>
        </w:rPr>
        <w:t> </w:t>
      </w:r>
      <w:r>
        <w:rPr/>
        <w:t>and</w:t>
      </w:r>
      <w:r>
        <w:rPr>
          <w:spacing w:val="40"/>
        </w:rPr>
        <w:t> </w:t>
      </w:r>
      <w:r>
        <w:rPr/>
        <w:t>Porcellacchia</w:t>
      </w:r>
    </w:p>
    <w:p>
      <w:pPr>
        <w:pStyle w:val="BodyText"/>
        <w:spacing w:after="0" w:line="480" w:lineRule="auto"/>
        <w:sectPr>
          <w:pgSz w:w="11900" w:h="16820"/>
          <w:pgMar w:header="714" w:footer="0" w:top="1340" w:bottom="280" w:left="1700" w:right="1417"/>
        </w:sectPr>
      </w:pPr>
    </w:p>
    <w:p>
      <w:pPr>
        <w:pStyle w:val="BodyText"/>
        <w:spacing w:line="480" w:lineRule="auto" w:before="79"/>
        <w:ind w:right="322"/>
        <w:jc w:val="both"/>
      </w:pPr>
      <w:r>
        <w:rPr/>
        <w:t>(2023) and Carapella, Chang, Infante, Leistra, Lubis, and Vardoulakis (2024) both develop frameworks for CBDC financial-stability risk that, like this paper, draw on historical bank-run and crisis evidence to discipline design comparisons; Carapella et al. (2024) in particular motivate a historical-case-study approach to CBDC design similar in spirit to ours, though without the panel-regression identification strategy or the direct Monte Carlo failure-probability ranking developed here. On the empirical side, Luu, Nguyen, and Nasir (2023) construct a CBDC-adoption index across 1,176 banks in 86 countries and find that adoption is associated with improved bank-level stability outcomes on average, while Heitmann et al. (2025) show, using dynamic panel GMM on the small set of countries that have actually launched retail CBDC,</w:t>
      </w:r>
      <w:r>
        <w:rPr>
          <w:spacing w:val="40"/>
        </w:rPr>
        <w:t> </w:t>
      </w:r>
      <w:r>
        <w:rPr/>
        <w:t>that launch itself is associated with increased bank financial stability. Both studies identify CBDC adoption as a discrete, largely exogenous event or a continuous adoption index; neither estimates the crisis-outflow channel this paper targets or compares specific design features (holding caps, tiering) against one another, which is the gap this paper’s crisis-panel-calibrated simulation is intended to fill.</w:t>
      </w:r>
    </w:p>
    <w:p>
      <w:pPr>
        <w:pStyle w:val="BodyText"/>
        <w:spacing w:line="480" w:lineRule="auto"/>
        <w:ind w:right="379"/>
        <w:jc w:val="both"/>
      </w:pPr>
      <w:r>
        <w:rPr/>
        <w:t>Cookson, Fox, Gil-Bazo, Imbet, and Schiller (2023, SSRN WP 4422754) document that social-media posts predicted SVB outflows at daily frequency</w:t>
      </w:r>
      <w:r>
        <w:rPr>
          <w:spacing w:val="40"/>
        </w:rPr>
        <w:t> </w:t>
      </w:r>
      <w:r>
        <w:rPr/>
        <w:t>—</w:t>
      </w:r>
      <w:r>
        <w:rPr>
          <w:spacing w:val="40"/>
        </w:rPr>
        <w:t> </w:t>
      </w:r>
      <w:r>
        <w:rPr/>
        <w:t>faster than our deterministic shock-wave captures (limitation L4).</w:t>
      </w:r>
    </w:p>
    <w:p>
      <w:pPr>
        <w:pStyle w:val="Heading2"/>
        <w:numPr>
          <w:ilvl w:val="1"/>
          <w:numId w:val="1"/>
        </w:numPr>
        <w:tabs>
          <w:tab w:pos="457" w:val="left" w:leader="none"/>
        </w:tabs>
        <w:spacing w:line="240" w:lineRule="auto" w:before="235" w:after="0"/>
        <w:ind w:left="457" w:right="0" w:hanging="358"/>
        <w:jc w:val="both"/>
        <w:rPr>
          <w:i/>
        </w:rPr>
      </w:pPr>
      <w:r>
        <w:rPr>
          <w:i/>
        </w:rPr>
        <w:t>Simulation</w:t>
      </w:r>
      <w:r>
        <w:rPr>
          <w:i/>
          <w:spacing w:val="-17"/>
        </w:rPr>
        <w:t> </w:t>
      </w:r>
      <w:r>
        <w:rPr>
          <w:i/>
        </w:rPr>
        <w:t>Calibration</w:t>
      </w:r>
      <w:r>
        <w:rPr>
          <w:i/>
          <w:spacing w:val="-15"/>
        </w:rPr>
        <w:t> </w:t>
      </w:r>
      <w:r>
        <w:rPr>
          <w:i/>
        </w:rPr>
        <w:t>and</w:t>
      </w:r>
      <w:r>
        <w:rPr>
          <w:i/>
          <w:spacing w:val="-13"/>
        </w:rPr>
        <w:t> </w:t>
      </w:r>
      <w:r>
        <w:rPr>
          <w:i/>
          <w:spacing w:val="-2"/>
        </w:rPr>
        <w:t>Validation</w:t>
      </w:r>
    </w:p>
    <w:p>
      <w:pPr>
        <w:pStyle w:val="BodyText"/>
        <w:spacing w:before="78"/>
        <w:ind w:left="0"/>
        <w:rPr>
          <w:b/>
          <w:i/>
        </w:rPr>
      </w:pPr>
    </w:p>
    <w:p>
      <w:pPr>
        <w:pStyle w:val="BodyText"/>
        <w:spacing w:line="480" w:lineRule="auto"/>
        <w:ind w:right="302"/>
      </w:pPr>
      <w:r>
        <w:rPr/>
        <w:t>Diks</w:t>
      </w:r>
      <w:r>
        <w:rPr>
          <w:spacing w:val="80"/>
        </w:rPr>
        <w:t> </w:t>
      </w:r>
      <w:r>
        <w:rPr/>
        <w:t>and</w:t>
      </w:r>
      <w:r>
        <w:rPr>
          <w:spacing w:val="80"/>
        </w:rPr>
        <w:t> </w:t>
      </w:r>
      <w:r>
        <w:rPr/>
        <w:t>Vrugt</w:t>
      </w:r>
      <w:r>
        <w:rPr>
          <w:spacing w:val="80"/>
        </w:rPr>
        <w:t> </w:t>
      </w:r>
      <w:r>
        <w:rPr/>
        <w:t>(2010)</w:t>
      </w:r>
      <w:r>
        <w:rPr>
          <w:spacing w:val="80"/>
        </w:rPr>
        <w:t> </w:t>
      </w:r>
      <w:r>
        <w:rPr/>
        <w:t>argue</w:t>
      </w:r>
      <w:r>
        <w:rPr>
          <w:spacing w:val="80"/>
        </w:rPr>
        <w:t> </w:t>
      </w:r>
      <w:r>
        <w:rPr/>
        <w:t>that</w:t>
      </w:r>
      <w:r>
        <w:rPr>
          <w:spacing w:val="80"/>
        </w:rPr>
        <w:t> </w:t>
      </w:r>
      <w:r>
        <w:rPr/>
        <w:t>simulation</w:t>
      </w:r>
      <w:r>
        <w:rPr>
          <w:spacing w:val="80"/>
        </w:rPr>
        <w:t> </w:t>
      </w:r>
      <w:r>
        <w:rPr/>
        <w:t>models</w:t>
      </w:r>
      <w:r>
        <w:rPr>
          <w:spacing w:val="80"/>
        </w:rPr>
        <w:t> </w:t>
      </w:r>
      <w:r>
        <w:rPr/>
        <w:t>should</w:t>
      </w:r>
      <w:r>
        <w:rPr>
          <w:spacing w:val="80"/>
        </w:rPr>
        <w:t> </w:t>
      </w:r>
      <w:r>
        <w:rPr/>
        <w:t>be</w:t>
      </w:r>
      <w:r>
        <w:rPr>
          <w:spacing w:val="80"/>
        </w:rPr>
        <w:t> </w:t>
      </w:r>
      <w:r>
        <w:rPr/>
        <w:t>evaluated</w:t>
      </w:r>
      <w:r>
        <w:rPr>
          <w:spacing w:val="80"/>
        </w:rPr>
        <w:t> </w:t>
      </w:r>
      <w:r>
        <w:rPr/>
        <w:t>on comparative structure rather than point forecast accuracy. Hanley and McNeil (1982) and</w:t>
      </w:r>
      <w:r>
        <w:rPr>
          <w:spacing w:val="40"/>
        </w:rPr>
        <w:t> </w:t>
      </w:r>
      <w:r>
        <w:rPr/>
        <w:t>DeLong</w:t>
      </w:r>
      <w:r>
        <w:rPr>
          <w:spacing w:val="40"/>
        </w:rPr>
        <w:t> </w:t>
      </w:r>
      <w:r>
        <w:rPr/>
        <w:t>et</w:t>
      </w:r>
      <w:r>
        <w:rPr>
          <w:spacing w:val="40"/>
        </w:rPr>
        <w:t> </w:t>
      </w:r>
      <w:r>
        <w:rPr/>
        <w:t>al.</w:t>
      </w:r>
      <w:r>
        <w:rPr>
          <w:spacing w:val="40"/>
        </w:rPr>
        <w:t> </w:t>
      </w:r>
      <w:r>
        <w:rPr/>
        <w:t>(1988)</w:t>
      </w:r>
      <w:r>
        <w:rPr>
          <w:spacing w:val="40"/>
        </w:rPr>
        <w:t> </w:t>
      </w:r>
      <w:r>
        <w:rPr/>
        <w:t>provide</w:t>
      </w:r>
      <w:r>
        <w:rPr>
          <w:spacing w:val="40"/>
        </w:rPr>
        <w:t> </w:t>
      </w:r>
      <w:r>
        <w:rPr/>
        <w:t>AUC</w:t>
      </w:r>
      <w:r>
        <w:rPr>
          <w:spacing w:val="40"/>
        </w:rPr>
        <w:t> </w:t>
      </w:r>
      <w:r>
        <w:rPr/>
        <w:t>benchmarks.</w:t>
      </w:r>
      <w:r>
        <w:rPr>
          <w:spacing w:val="40"/>
        </w:rPr>
        <w:t> </w:t>
      </w:r>
      <w:r>
        <w:rPr/>
        <w:t>Gelman</w:t>
      </w:r>
      <w:r>
        <w:rPr>
          <w:spacing w:val="40"/>
        </w:rPr>
        <w:t> </w:t>
      </w:r>
      <w:r>
        <w:rPr/>
        <w:t>and</w:t>
      </w:r>
      <w:r>
        <w:rPr>
          <w:spacing w:val="40"/>
        </w:rPr>
        <w:t> </w:t>
      </w:r>
      <w:r>
        <w:rPr/>
        <w:t>Rubin</w:t>
      </w:r>
      <w:r>
        <w:rPr>
          <w:spacing w:val="40"/>
        </w:rPr>
        <w:t> </w:t>
      </w:r>
      <w:r>
        <w:rPr/>
        <w:t>(1992)</w:t>
      </w:r>
      <w:r>
        <w:rPr>
          <w:spacing w:val="80"/>
        </w:rPr>
        <w:t> </w:t>
      </w:r>
      <w:r>
        <w:rPr/>
        <w:t>provide the R̂ convergence criterion.</w:t>
      </w:r>
    </w:p>
    <w:p>
      <w:pPr>
        <w:pStyle w:val="BodyText"/>
        <w:spacing w:after="0" w:line="480" w:lineRule="auto"/>
        <w:sectPr>
          <w:pgSz w:w="11900" w:h="16820"/>
          <w:pgMar w:header="714" w:footer="0" w:top="1340" w:bottom="280" w:left="1700" w:right="1417"/>
        </w:sectPr>
      </w:pPr>
    </w:p>
    <w:p>
      <w:pPr>
        <w:pStyle w:val="BodyText"/>
        <w:spacing w:before="43"/>
        <w:ind w:left="0"/>
      </w:pPr>
    </w:p>
    <w:p>
      <w:pPr>
        <w:pStyle w:val="Heading2"/>
        <w:numPr>
          <w:ilvl w:val="1"/>
          <w:numId w:val="1"/>
        </w:numPr>
        <w:tabs>
          <w:tab w:pos="457" w:val="left" w:leader="none"/>
        </w:tabs>
        <w:spacing w:line="240" w:lineRule="auto" w:before="0" w:after="0"/>
        <w:ind w:left="457" w:right="0" w:hanging="358"/>
        <w:jc w:val="left"/>
        <w:rPr>
          <w:i/>
        </w:rPr>
      </w:pPr>
      <w:r>
        <w:rPr>
          <w:i/>
        </w:rPr>
        <w:t>Bank</w:t>
      </w:r>
      <w:r>
        <w:rPr>
          <w:i/>
          <w:spacing w:val="-10"/>
        </w:rPr>
        <w:t> </w:t>
      </w:r>
      <w:r>
        <w:rPr>
          <w:i/>
        </w:rPr>
        <w:t>Run</w:t>
      </w:r>
      <w:r>
        <w:rPr>
          <w:i/>
          <w:spacing w:val="-8"/>
        </w:rPr>
        <w:t> </w:t>
      </w:r>
      <w:r>
        <w:rPr>
          <w:i/>
        </w:rPr>
        <w:t>Theory</w:t>
      </w:r>
      <w:r>
        <w:rPr>
          <w:i/>
          <w:spacing w:val="-9"/>
        </w:rPr>
        <w:t> </w:t>
      </w:r>
      <w:r>
        <w:rPr>
          <w:i/>
        </w:rPr>
        <w:t>and</w:t>
      </w:r>
      <w:r>
        <w:rPr>
          <w:i/>
          <w:spacing w:val="-7"/>
        </w:rPr>
        <w:t> </w:t>
      </w:r>
      <w:r>
        <w:rPr>
          <w:i/>
        </w:rPr>
        <w:t>CBDC</w:t>
      </w:r>
      <w:r>
        <w:rPr>
          <w:i/>
          <w:spacing w:val="-6"/>
        </w:rPr>
        <w:t> </w:t>
      </w:r>
      <w:r>
        <w:rPr>
          <w:i/>
          <w:spacing w:val="-2"/>
        </w:rPr>
        <w:t>Disintermediation</w:t>
      </w:r>
    </w:p>
    <w:p>
      <w:pPr>
        <w:pStyle w:val="BodyText"/>
        <w:spacing w:before="81"/>
        <w:ind w:left="0"/>
        <w:rPr>
          <w:b/>
          <w:i/>
        </w:rPr>
      </w:pPr>
    </w:p>
    <w:p>
      <w:pPr>
        <w:pStyle w:val="BodyText"/>
        <w:spacing w:line="480" w:lineRule="auto"/>
        <w:ind w:right="302"/>
      </w:pPr>
      <w:r>
        <w:rPr/>
        <w:t>The theoretical underpinning for CBDC-induced deposit flight draws on Diamond and Dybvig</w:t>
      </w:r>
      <w:r>
        <w:rPr>
          <w:spacing w:val="40"/>
        </w:rPr>
        <w:t> </w:t>
      </w:r>
      <w:r>
        <w:rPr/>
        <w:t>(1983),</w:t>
      </w:r>
      <w:r>
        <w:rPr>
          <w:spacing w:val="40"/>
        </w:rPr>
        <w:t> </w:t>
      </w:r>
      <w:r>
        <w:rPr/>
        <w:t>whose</w:t>
      </w:r>
      <w:r>
        <w:rPr>
          <w:spacing w:val="40"/>
        </w:rPr>
        <w:t> </w:t>
      </w:r>
      <w:r>
        <w:rPr/>
        <w:t>two-period</w:t>
      </w:r>
      <w:r>
        <w:rPr>
          <w:spacing w:val="40"/>
        </w:rPr>
        <w:t> </w:t>
      </w:r>
      <w:r>
        <w:rPr/>
        <w:t>model</w:t>
      </w:r>
      <w:r>
        <w:rPr>
          <w:spacing w:val="40"/>
        </w:rPr>
        <w:t> </w:t>
      </w:r>
      <w:r>
        <w:rPr/>
        <w:t>formalises</w:t>
      </w:r>
      <w:r>
        <w:rPr>
          <w:spacing w:val="40"/>
        </w:rPr>
        <w:t> </w:t>
      </w:r>
      <w:r>
        <w:rPr/>
        <w:t>how</w:t>
      </w:r>
      <w:r>
        <w:rPr>
          <w:spacing w:val="40"/>
        </w:rPr>
        <w:t> </w:t>
      </w:r>
      <w:r>
        <w:rPr/>
        <w:t>demand-deposit</w:t>
      </w:r>
      <w:r>
        <w:rPr>
          <w:spacing w:val="40"/>
        </w:rPr>
        <w:t> </w:t>
      </w:r>
      <w:r>
        <w:rPr/>
        <w:t>contracts create a socially efficient equilibrium alongside an inferior bank-run equilibrium. A</w:t>
      </w:r>
      <w:r>
        <w:rPr>
          <w:spacing w:val="40"/>
        </w:rPr>
        <w:t> </w:t>
      </w:r>
      <w:r>
        <w:rPr/>
        <w:t>CBDC</w:t>
      </w:r>
      <w:r>
        <w:rPr>
          <w:spacing w:val="80"/>
        </w:rPr>
        <w:t> </w:t>
      </w:r>
      <w:r>
        <w:rPr/>
        <w:t>that</w:t>
      </w:r>
      <w:r>
        <w:rPr>
          <w:spacing w:val="80"/>
        </w:rPr>
        <w:t> </w:t>
      </w:r>
      <w:r>
        <w:rPr/>
        <w:t>is</w:t>
      </w:r>
      <w:r>
        <w:rPr>
          <w:spacing w:val="80"/>
        </w:rPr>
        <w:t> </w:t>
      </w:r>
      <w:r>
        <w:rPr/>
        <w:t>a</w:t>
      </w:r>
      <w:r>
        <w:rPr>
          <w:spacing w:val="80"/>
        </w:rPr>
        <w:t> </w:t>
      </w:r>
      <w:r>
        <w:rPr/>
        <w:t>closer</w:t>
      </w:r>
      <w:r>
        <w:rPr>
          <w:spacing w:val="80"/>
        </w:rPr>
        <w:t> </w:t>
      </w:r>
      <w:r>
        <w:rPr/>
        <w:t>substitute</w:t>
      </w:r>
      <w:r>
        <w:rPr>
          <w:spacing w:val="80"/>
        </w:rPr>
        <w:t> </w:t>
      </w:r>
      <w:r>
        <w:rPr/>
        <w:t>for</w:t>
      </w:r>
      <w:r>
        <w:rPr>
          <w:spacing w:val="80"/>
        </w:rPr>
        <w:t> </w:t>
      </w:r>
      <w:r>
        <w:rPr/>
        <w:t>deposits</w:t>
      </w:r>
      <w:r>
        <w:rPr>
          <w:spacing w:val="80"/>
        </w:rPr>
        <w:t> </w:t>
      </w:r>
      <w:r>
        <w:rPr/>
        <w:t>than</w:t>
      </w:r>
      <w:r>
        <w:rPr>
          <w:spacing w:val="80"/>
        </w:rPr>
        <w:t> </w:t>
      </w:r>
      <w:r>
        <w:rPr/>
        <w:t>physical</w:t>
      </w:r>
      <w:r>
        <w:rPr>
          <w:spacing w:val="80"/>
        </w:rPr>
        <w:t> </w:t>
      </w:r>
      <w:r>
        <w:rPr/>
        <w:t>cash</w:t>
      </w:r>
      <w:r>
        <w:rPr>
          <w:spacing w:val="80"/>
        </w:rPr>
        <w:t> </w:t>
      </w:r>
      <w:r>
        <w:rPr/>
        <w:t>lowers</w:t>
      </w:r>
      <w:r>
        <w:rPr>
          <w:spacing w:val="80"/>
        </w:rPr>
        <w:t> </w:t>
      </w:r>
      <w:r>
        <w:rPr/>
        <w:t>the coordination friction that normally prevents runs from occurring, effectively shifting the</w:t>
      </w:r>
      <w:r>
        <w:rPr>
          <w:spacing w:val="40"/>
        </w:rPr>
        <w:t> </w:t>
      </w:r>
      <w:r>
        <w:rPr/>
        <w:t>probability</w:t>
      </w:r>
      <w:r>
        <w:rPr>
          <w:spacing w:val="40"/>
        </w:rPr>
        <w:t> </w:t>
      </w:r>
      <w:r>
        <w:rPr/>
        <w:t>weight</w:t>
      </w:r>
      <w:r>
        <w:rPr>
          <w:spacing w:val="40"/>
        </w:rPr>
        <w:t> </w:t>
      </w:r>
      <w:r>
        <w:rPr/>
        <w:t>toward</w:t>
      </w:r>
      <w:r>
        <w:rPr>
          <w:spacing w:val="40"/>
        </w:rPr>
        <w:t> </w:t>
      </w:r>
      <w:r>
        <w:rPr/>
        <w:t>the</w:t>
      </w:r>
      <w:r>
        <w:rPr>
          <w:spacing w:val="40"/>
        </w:rPr>
        <w:t> </w:t>
      </w:r>
      <w:r>
        <w:rPr/>
        <w:t>inferior</w:t>
      </w:r>
      <w:r>
        <w:rPr>
          <w:spacing w:val="40"/>
        </w:rPr>
        <w:t> </w:t>
      </w:r>
      <w:r>
        <w:rPr/>
        <w:t>equilibrium.</w:t>
      </w:r>
      <w:r>
        <w:rPr>
          <w:spacing w:val="40"/>
        </w:rPr>
        <w:t> </w:t>
      </w:r>
      <w:r>
        <w:rPr/>
        <w:t>Gorton</w:t>
      </w:r>
      <w:r>
        <w:rPr>
          <w:spacing w:val="40"/>
        </w:rPr>
        <w:t> </w:t>
      </w:r>
      <w:r>
        <w:rPr/>
        <w:t>and</w:t>
      </w:r>
      <w:r>
        <w:rPr>
          <w:spacing w:val="40"/>
        </w:rPr>
        <w:t> </w:t>
      </w:r>
      <w:r>
        <w:rPr/>
        <w:t>Metrick</w:t>
      </w:r>
      <w:r>
        <w:rPr>
          <w:spacing w:val="40"/>
        </w:rPr>
        <w:t> </w:t>
      </w:r>
      <w:r>
        <w:rPr/>
        <w:t>(2012) extend</w:t>
      </w:r>
      <w:r>
        <w:rPr>
          <w:spacing w:val="40"/>
        </w:rPr>
        <w:t> </w:t>
      </w:r>
      <w:r>
        <w:rPr/>
        <w:t>this</w:t>
      </w:r>
      <w:r>
        <w:rPr>
          <w:spacing w:val="40"/>
        </w:rPr>
        <w:t> </w:t>
      </w:r>
      <w:r>
        <w:rPr/>
        <w:t>logic</w:t>
      </w:r>
      <w:r>
        <w:rPr>
          <w:spacing w:val="40"/>
        </w:rPr>
        <w:t> </w:t>
      </w:r>
      <w:r>
        <w:rPr/>
        <w:t>to</w:t>
      </w:r>
      <w:r>
        <w:rPr>
          <w:spacing w:val="40"/>
        </w:rPr>
        <w:t> </w:t>
      </w:r>
      <w:r>
        <w:rPr/>
        <w:t>the</w:t>
      </w:r>
      <w:r>
        <w:rPr>
          <w:spacing w:val="40"/>
        </w:rPr>
        <w:t> </w:t>
      </w:r>
      <w:r>
        <w:rPr/>
        <w:t>wholesale</w:t>
      </w:r>
      <w:r>
        <w:rPr>
          <w:spacing w:val="40"/>
        </w:rPr>
        <w:t> </w:t>
      </w:r>
      <w:r>
        <w:rPr/>
        <w:t>funding</w:t>
      </w:r>
      <w:r>
        <w:rPr>
          <w:spacing w:val="40"/>
        </w:rPr>
        <w:t> </w:t>
      </w:r>
      <w:r>
        <w:rPr/>
        <w:t>channel,</w:t>
      </w:r>
      <w:r>
        <w:rPr>
          <w:spacing w:val="40"/>
        </w:rPr>
        <w:t> </w:t>
      </w:r>
      <w:r>
        <w:rPr/>
        <w:t>showing</w:t>
      </w:r>
      <w:r>
        <w:rPr>
          <w:spacing w:val="40"/>
        </w:rPr>
        <w:t> </w:t>
      </w:r>
      <w:r>
        <w:rPr/>
        <w:t>that</w:t>
      </w:r>
      <w:r>
        <w:rPr>
          <w:spacing w:val="40"/>
        </w:rPr>
        <w:t> </w:t>
      </w:r>
      <w:r>
        <w:rPr/>
        <w:t>run</w:t>
      </w:r>
      <w:r>
        <w:rPr>
          <w:spacing w:val="40"/>
        </w:rPr>
        <w:t> </w:t>
      </w:r>
      <w:r>
        <w:rPr/>
        <w:t>dynamics</w:t>
      </w:r>
      <w:r>
        <w:rPr>
          <w:spacing w:val="40"/>
        </w:rPr>
        <w:t> </w:t>
      </w:r>
      <w:r>
        <w:rPr/>
        <w:t>in securitised</w:t>
      </w:r>
      <w:r>
        <w:rPr>
          <w:spacing w:val="40"/>
        </w:rPr>
        <w:t> </w:t>
      </w:r>
      <w:r>
        <w:rPr/>
        <w:t>banking</w:t>
      </w:r>
      <w:r>
        <w:rPr>
          <w:spacing w:val="40"/>
        </w:rPr>
        <w:t> </w:t>
      </w:r>
      <w:r>
        <w:rPr/>
        <w:t>share</w:t>
      </w:r>
      <w:r>
        <w:rPr>
          <w:spacing w:val="40"/>
        </w:rPr>
        <w:t> </w:t>
      </w:r>
      <w:r>
        <w:rPr/>
        <w:t>the</w:t>
      </w:r>
      <w:r>
        <w:rPr>
          <w:spacing w:val="40"/>
        </w:rPr>
        <w:t> </w:t>
      </w:r>
      <w:r>
        <w:rPr/>
        <w:t>same</w:t>
      </w:r>
      <w:r>
        <w:rPr>
          <w:spacing w:val="40"/>
        </w:rPr>
        <w:t> </w:t>
      </w:r>
      <w:r>
        <w:rPr/>
        <w:t>“wholesale</w:t>
      </w:r>
      <w:r>
        <w:rPr>
          <w:spacing w:val="40"/>
        </w:rPr>
        <w:t> </w:t>
      </w:r>
      <w:r>
        <w:rPr/>
        <w:t>bank</w:t>
      </w:r>
      <w:r>
        <w:rPr>
          <w:spacing w:val="40"/>
        </w:rPr>
        <w:t> </w:t>
      </w:r>
      <w:r>
        <w:rPr/>
        <w:t>run”</w:t>
      </w:r>
      <w:r>
        <w:rPr>
          <w:spacing w:val="40"/>
        </w:rPr>
        <w:t> </w:t>
      </w:r>
      <w:r>
        <w:rPr/>
        <w:t>structure</w:t>
      </w:r>
      <w:r>
        <w:rPr>
          <w:spacing w:val="40"/>
        </w:rPr>
        <w:t> </w:t>
      </w:r>
      <w:r>
        <w:rPr/>
        <w:t>that</w:t>
      </w:r>
      <w:r>
        <w:rPr>
          <w:spacing w:val="40"/>
        </w:rPr>
        <w:t> </w:t>
      </w:r>
      <w:r>
        <w:rPr/>
        <w:t>a</w:t>
      </w:r>
      <w:r>
        <w:rPr>
          <w:spacing w:val="40"/>
        </w:rPr>
        <w:t> </w:t>
      </w:r>
      <w:r>
        <w:rPr/>
        <w:t>digitally accessible CBDC could amplify.</w:t>
      </w:r>
    </w:p>
    <w:p>
      <w:pPr>
        <w:pStyle w:val="BodyText"/>
        <w:spacing w:line="480" w:lineRule="auto"/>
        <w:ind w:right="320"/>
        <w:jc w:val="both"/>
      </w:pPr>
      <w:r>
        <w:rPr/>
        <w:t>Fernández-Villaverde, Sanches, Schilling, and Uhlig (2021) provide one of the first formal general-equilibrium analyses of CBDC in a competitive monetary economy, showing that CBDC issuance can crowd out private bank deposits and reduce credit intermediation</w:t>
      </w:r>
      <w:r>
        <w:rPr>
          <w:spacing w:val="40"/>
        </w:rPr>
        <w:t> </w:t>
      </w:r>
      <w:r>
        <w:rPr/>
        <w:t>—</w:t>
      </w:r>
      <w:r>
        <w:rPr>
          <w:spacing w:val="40"/>
        </w:rPr>
        <w:t> </w:t>
      </w:r>
      <w:r>
        <w:rPr/>
        <w:t>a disintermediation channel central to our welfare specification. In related work, Schilling, Fernández-Villaverde, and Uhlig (2024) show that a central bank cannot generally guarantee both price stability and bank stability simultaneously once a CBDC is introduced, since agents may rationally trigger a “spending run” out</w:t>
      </w:r>
      <w:r>
        <w:rPr>
          <w:spacing w:val="40"/>
        </w:rPr>
        <w:t> </w:t>
      </w:r>
      <w:r>
        <w:rPr/>
        <w:t>of CBDC that undermines one objective in defence of the other; this tension is outside the scope of our reduced-form outflow model but underscores that the holding-limit instrument we study is best understood as managing, not eliminating, a structural</w:t>
      </w:r>
      <w:r>
        <w:rPr>
          <w:spacing w:val="40"/>
        </w:rPr>
        <w:t> </w:t>
      </w:r>
      <w:r>
        <w:rPr/>
        <w:t>trade-off. Keister and Monnet (2022) study how CBDC design interacts with central bank information provision, demonstrating that imperfect information can amplify instability under unrestricted CBDC access, lending theoretical support to the</w:t>
      </w:r>
      <w:r>
        <w:rPr>
          <w:spacing w:val="80"/>
          <w:w w:val="150"/>
        </w:rPr>
        <w:t> </w:t>
      </w:r>
      <w:r>
        <w:rPr/>
        <w:t>holding-limit designs examined in this paper. Allen and Gale (2000) establish the baseline network contagion framework that motivates the interbank cascade structure</w:t>
      </w:r>
    </w:p>
    <w:p>
      <w:pPr>
        <w:pStyle w:val="BodyText"/>
        <w:spacing w:after="0" w:line="480" w:lineRule="auto"/>
        <w:jc w:val="both"/>
        <w:sectPr>
          <w:pgSz w:w="11900" w:h="16820"/>
          <w:pgMar w:header="714" w:footer="0" w:top="1340" w:bottom="280" w:left="1700" w:right="1417"/>
        </w:sectPr>
      </w:pPr>
    </w:p>
    <w:p>
      <w:pPr>
        <w:pStyle w:val="BodyText"/>
        <w:spacing w:before="79"/>
        <w:jc w:val="both"/>
      </w:pPr>
      <w:r>
        <w:rPr/>
        <w:t>of</w:t>
      </w:r>
      <w:r>
        <w:rPr>
          <w:spacing w:val="-8"/>
        </w:rPr>
        <w:t> </w:t>
      </w:r>
      <w:r>
        <w:rPr/>
        <w:t>our</w:t>
      </w:r>
      <w:r>
        <w:rPr>
          <w:spacing w:val="-7"/>
        </w:rPr>
        <w:t> </w:t>
      </w:r>
      <w:r>
        <w:rPr/>
        <w:t>simulation</w:t>
      </w:r>
      <w:r>
        <w:rPr>
          <w:spacing w:val="-7"/>
        </w:rPr>
        <w:t> </w:t>
      </w:r>
      <w:r>
        <w:rPr>
          <w:spacing w:val="-2"/>
        </w:rPr>
        <w:t>engine.</w:t>
      </w:r>
    </w:p>
    <w:p>
      <w:pPr>
        <w:pStyle w:val="BodyText"/>
        <w:spacing w:before="2"/>
        <w:ind w:left="0"/>
      </w:pPr>
    </w:p>
    <w:p>
      <w:pPr>
        <w:pStyle w:val="BodyText"/>
        <w:spacing w:line="480" w:lineRule="auto"/>
        <w:ind w:right="380"/>
        <w:jc w:val="both"/>
      </w:pPr>
      <w:r>
        <w:rPr/>
        <w:t>This paper contributes to the above literature by providing the first empirically anchored comparative stress-test of CBDC design options using historical crisis panel data. Unlike Fernández-Villaverde et al. (2021) and Keister and Monnet (2022), who solve</w:t>
      </w:r>
      <w:r>
        <w:rPr>
          <w:spacing w:val="-4"/>
        </w:rPr>
        <w:t> </w:t>
      </w:r>
      <w:r>
        <w:rPr/>
        <w:t>for</w:t>
      </w:r>
      <w:r>
        <w:rPr>
          <w:spacing w:val="-4"/>
        </w:rPr>
        <w:t> </w:t>
      </w:r>
      <w:r>
        <w:rPr/>
        <w:t>equilibrium</w:t>
      </w:r>
      <w:r>
        <w:rPr>
          <w:spacing w:val="-4"/>
        </w:rPr>
        <w:t> </w:t>
      </w:r>
      <w:r>
        <w:rPr/>
        <w:t>in</w:t>
      </w:r>
      <w:r>
        <w:rPr>
          <w:spacing w:val="-5"/>
        </w:rPr>
        <w:t> </w:t>
      </w:r>
      <w:r>
        <w:rPr/>
        <w:t>stylised</w:t>
      </w:r>
      <w:r>
        <w:rPr>
          <w:spacing w:val="-5"/>
        </w:rPr>
        <w:t> </w:t>
      </w:r>
      <w:r>
        <w:rPr/>
        <w:t>economies,</w:t>
      </w:r>
      <w:r>
        <w:rPr>
          <w:spacing w:val="-3"/>
        </w:rPr>
        <w:t> </w:t>
      </w:r>
      <w:r>
        <w:rPr/>
        <w:t>our</w:t>
      </w:r>
      <w:r>
        <w:rPr>
          <w:spacing w:val="-4"/>
        </w:rPr>
        <w:t> </w:t>
      </w:r>
      <w:r>
        <w:rPr/>
        <w:t>approach</w:t>
      </w:r>
      <w:r>
        <w:rPr>
          <w:spacing w:val="-3"/>
        </w:rPr>
        <w:t> </w:t>
      </w:r>
      <w:r>
        <w:rPr/>
        <w:t>calibrates</w:t>
      </w:r>
      <w:r>
        <w:rPr>
          <w:spacing w:val="-3"/>
        </w:rPr>
        <w:t> </w:t>
      </w:r>
      <w:r>
        <w:rPr/>
        <w:t>outflow</w:t>
      </w:r>
      <w:r>
        <w:rPr>
          <w:spacing w:val="-5"/>
        </w:rPr>
        <w:t> </w:t>
      </w:r>
      <w:r>
        <w:rPr/>
        <w:t>dynamics from n=81 real episodes (1984–2023) and uses direct Monte Carlo simulation to rank designs by failure probability. Unlike Kumhof and Noone (2021), who derive design principles analytically, we provide direct numerical estimates of P(Fail) under each design at empirically motivated shock levels. The tradeoff is that our simulation framework is not micro-founded: agent behaviour is parametric rather than derived from first-order conditions, which is a limitation we return to in Section 7.</w:t>
      </w:r>
    </w:p>
    <w:p>
      <w:pPr>
        <w:pStyle w:val="Heading2"/>
        <w:numPr>
          <w:ilvl w:val="1"/>
          <w:numId w:val="1"/>
        </w:numPr>
        <w:tabs>
          <w:tab w:pos="457" w:val="left" w:leader="none"/>
        </w:tabs>
        <w:spacing w:line="240" w:lineRule="auto" w:before="234" w:after="0"/>
        <w:ind w:left="457" w:right="0" w:hanging="358"/>
        <w:jc w:val="both"/>
        <w:rPr>
          <w:i/>
        </w:rPr>
      </w:pPr>
      <w:r>
        <w:rPr>
          <w:i/>
        </w:rPr>
        <w:t>A</w:t>
      </w:r>
      <w:r>
        <w:rPr>
          <w:i/>
          <w:spacing w:val="-11"/>
        </w:rPr>
        <w:t> </w:t>
      </w:r>
      <w:r>
        <w:rPr>
          <w:i/>
        </w:rPr>
        <w:t>Minimal</w:t>
      </w:r>
      <w:r>
        <w:rPr>
          <w:i/>
          <w:spacing w:val="-11"/>
        </w:rPr>
        <w:t> </w:t>
      </w:r>
      <w:r>
        <w:rPr>
          <w:i/>
        </w:rPr>
        <w:t>Theoretical</w:t>
      </w:r>
      <w:r>
        <w:rPr>
          <w:i/>
          <w:spacing w:val="-10"/>
        </w:rPr>
        <w:t> </w:t>
      </w:r>
      <w:r>
        <w:rPr>
          <w:i/>
        </w:rPr>
        <w:t>Anchor</w:t>
      </w:r>
      <w:r>
        <w:rPr>
          <w:i/>
          <w:spacing w:val="-11"/>
        </w:rPr>
        <w:t> </w:t>
      </w:r>
      <w:r>
        <w:rPr>
          <w:i/>
        </w:rPr>
        <w:t>for</w:t>
      </w:r>
      <w:r>
        <w:rPr>
          <w:i/>
          <w:spacing w:val="-10"/>
        </w:rPr>
        <w:t> </w:t>
      </w:r>
      <w:r>
        <w:rPr>
          <w:i/>
        </w:rPr>
        <w:t>the</w:t>
      </w:r>
      <w:r>
        <w:rPr>
          <w:i/>
          <w:spacing w:val="-12"/>
        </w:rPr>
        <w:t> </w:t>
      </w:r>
      <w:r>
        <w:rPr>
          <w:i/>
        </w:rPr>
        <w:t>Reduced-Form</w:t>
      </w:r>
      <w:r>
        <w:rPr>
          <w:i/>
          <w:spacing w:val="-10"/>
        </w:rPr>
        <w:t> </w:t>
      </w:r>
      <w:r>
        <w:rPr>
          <w:i/>
          <w:spacing w:val="-2"/>
        </w:rPr>
        <w:t>Specification</w:t>
      </w:r>
    </w:p>
    <w:p>
      <w:pPr>
        <w:pStyle w:val="BodyText"/>
        <w:spacing w:before="81"/>
        <w:ind w:left="0"/>
        <w:rPr>
          <w:b/>
          <w:i/>
        </w:rPr>
      </w:pPr>
    </w:p>
    <w:p>
      <w:pPr>
        <w:pStyle w:val="BodyText"/>
        <w:spacing w:line="480" w:lineRule="auto"/>
        <w:ind w:right="300"/>
      </w:pPr>
      <w:r>
        <w:rPr/>
        <w:t>The reduced-form specification (Eq. 2) and the simulation’s stability transition (Eq. 1) are not derived from a solved general-equilibrium model, but they are not theory-free either.</w:t>
      </w:r>
      <w:r>
        <w:rPr>
          <w:spacing w:val="40"/>
        </w:rPr>
        <w:t> </w:t>
      </w:r>
      <w:r>
        <w:rPr/>
        <w:t>Both</w:t>
      </w:r>
      <w:r>
        <w:rPr>
          <w:spacing w:val="40"/>
        </w:rPr>
        <w:t> </w:t>
      </w:r>
      <w:r>
        <w:rPr/>
        <w:t>map,</w:t>
      </w:r>
      <w:r>
        <w:rPr>
          <w:spacing w:val="40"/>
        </w:rPr>
        <w:t> </w:t>
      </w:r>
      <w:r>
        <w:rPr/>
        <w:t>at</w:t>
      </w:r>
      <w:r>
        <w:rPr>
          <w:spacing w:val="40"/>
        </w:rPr>
        <w:t> </w:t>
      </w:r>
      <w:r>
        <w:rPr/>
        <w:t>a</w:t>
      </w:r>
      <w:r>
        <w:rPr>
          <w:spacing w:val="40"/>
        </w:rPr>
        <w:t> </w:t>
      </w:r>
      <w:r>
        <w:rPr/>
        <w:t>reduced-form</w:t>
      </w:r>
      <w:r>
        <w:rPr>
          <w:spacing w:val="40"/>
        </w:rPr>
        <w:t> </w:t>
      </w:r>
      <w:r>
        <w:rPr/>
        <w:t>level,</w:t>
      </w:r>
      <w:r>
        <w:rPr>
          <w:spacing w:val="40"/>
        </w:rPr>
        <w:t> </w:t>
      </w:r>
      <w:r>
        <w:rPr/>
        <w:t>onto</w:t>
      </w:r>
      <w:r>
        <w:rPr>
          <w:spacing w:val="40"/>
        </w:rPr>
        <w:t> </w:t>
      </w:r>
      <w:r>
        <w:rPr/>
        <w:t>the</w:t>
      </w:r>
      <w:r>
        <w:rPr>
          <w:spacing w:val="40"/>
        </w:rPr>
        <w:t> </w:t>
      </w:r>
      <w:r>
        <w:rPr/>
        <w:t>withdrawal-incentive</w:t>
      </w:r>
      <w:r>
        <w:rPr>
          <w:spacing w:val="40"/>
        </w:rPr>
        <w:t> </w:t>
      </w:r>
      <w:r>
        <w:rPr/>
        <w:t>logic</w:t>
      </w:r>
      <w:r>
        <w:rPr>
          <w:spacing w:val="40"/>
        </w:rPr>
        <w:t> </w:t>
      </w:r>
      <w:r>
        <w:rPr/>
        <w:t>of Diamond and Dybvig (1983) and its global-games refinement (Goldstein and Pauzner 2005). In</w:t>
      </w:r>
      <w:r>
        <w:rPr>
          <w:spacing w:val="36"/>
        </w:rPr>
        <w:t> </w:t>
      </w:r>
      <w:r>
        <w:rPr/>
        <w:t>Diamond-Dybvig, a depositor withdraws early if she believes a sufficient</w:t>
      </w:r>
      <w:r>
        <w:rPr>
          <w:spacing w:val="80"/>
        </w:rPr>
        <w:t> </w:t>
      </w:r>
      <w:r>
        <w:rPr/>
        <w:t>share of other depositors will also withdraw. This is a coordination problem resolved, in the global-games extension, by a threshold signal above which withdrawal is the</w:t>
      </w:r>
      <w:r>
        <w:rPr>
          <w:spacing w:val="80"/>
        </w:rPr>
        <w:t> </w:t>
      </w:r>
      <w:r>
        <w:rPr/>
        <w:t>dominant</w:t>
      </w:r>
      <w:r>
        <w:rPr>
          <w:spacing w:val="40"/>
        </w:rPr>
        <w:t> </w:t>
      </w:r>
      <w:r>
        <w:rPr/>
        <w:t>strategy.</w:t>
      </w:r>
      <w:r>
        <w:rPr>
          <w:spacing w:val="40"/>
        </w:rPr>
        <w:t> </w:t>
      </w:r>
      <w:r>
        <w:rPr/>
        <w:t>Two</w:t>
      </w:r>
      <w:r>
        <w:rPr>
          <w:spacing w:val="40"/>
        </w:rPr>
        <w:t> </w:t>
      </w:r>
      <w:r>
        <w:rPr/>
        <w:t>mappings</w:t>
      </w:r>
      <w:r>
        <w:rPr>
          <w:spacing w:val="40"/>
        </w:rPr>
        <w:t> </w:t>
      </w:r>
      <w:r>
        <w:rPr/>
        <w:t>follow</w:t>
      </w:r>
      <w:r>
        <w:rPr>
          <w:spacing w:val="40"/>
        </w:rPr>
        <w:t> </w:t>
      </w:r>
      <w:r>
        <w:rPr/>
        <w:t>directly.</w:t>
      </w:r>
      <w:r>
        <w:rPr>
          <w:spacing w:val="40"/>
        </w:rPr>
        <w:t> </w:t>
      </w:r>
      <w:r>
        <w:rPr/>
        <w:t>First,</w:t>
      </w:r>
      <w:r>
        <w:rPr>
          <w:spacing w:val="40"/>
        </w:rPr>
        <w:t> </w:t>
      </w:r>
      <w:r>
        <w:rPr/>
        <w:t>the</w:t>
      </w:r>
      <w:r>
        <w:rPr>
          <w:spacing w:val="40"/>
        </w:rPr>
        <w:t> </w:t>
      </w:r>
      <w:r>
        <w:rPr/>
        <w:t>simulation’s</w:t>
      </w:r>
      <w:r>
        <w:rPr>
          <w:spacing w:val="40"/>
        </w:rPr>
        <w:t> </w:t>
      </w:r>
      <w:r>
        <w:rPr/>
        <w:t>stability threshold θ in Stab_t = σ(k(s_t−θ)) plays the same role as the global-games threshold signal.</w:t>
      </w:r>
      <w:r>
        <w:rPr>
          <w:spacing w:val="40"/>
        </w:rPr>
        <w:t> </w:t>
      </w:r>
      <w:r>
        <w:rPr/>
        <w:t>Once</w:t>
      </w:r>
      <w:r>
        <w:rPr>
          <w:spacing w:val="40"/>
        </w:rPr>
        <w:t> </w:t>
      </w:r>
      <w:r>
        <w:rPr/>
        <w:t>cumulative</w:t>
      </w:r>
      <w:r>
        <w:rPr>
          <w:spacing w:val="40"/>
        </w:rPr>
        <w:t> </w:t>
      </w:r>
      <w:r>
        <w:rPr/>
        <w:t>stress</w:t>
      </w:r>
      <w:r>
        <w:rPr>
          <w:spacing w:val="40"/>
        </w:rPr>
        <w:t> </w:t>
      </w:r>
      <w:r>
        <w:rPr/>
        <w:t>s_t</w:t>
      </w:r>
      <w:r>
        <w:rPr>
          <w:spacing w:val="40"/>
        </w:rPr>
        <w:t> </w:t>
      </w:r>
      <w:r>
        <w:rPr/>
        <w:t>crosses</w:t>
      </w:r>
      <w:r>
        <w:rPr>
          <w:spacing w:val="40"/>
        </w:rPr>
        <w:t> </w:t>
      </w:r>
      <w:r>
        <w:rPr/>
        <w:t>θ,</w:t>
      </w:r>
      <w:r>
        <w:rPr>
          <w:spacing w:val="40"/>
        </w:rPr>
        <w:t> </w:t>
      </w:r>
      <w:r>
        <w:rPr/>
        <w:t>the</w:t>
      </w:r>
      <w:r>
        <w:rPr>
          <w:spacing w:val="40"/>
        </w:rPr>
        <w:t> </w:t>
      </w:r>
      <w:r>
        <w:rPr/>
        <w:t>logistic</w:t>
      </w:r>
      <w:r>
        <w:rPr>
          <w:spacing w:val="40"/>
        </w:rPr>
        <w:t> </w:t>
      </w:r>
      <w:r>
        <w:rPr/>
        <w:t>transition</w:t>
      </w:r>
      <w:r>
        <w:rPr>
          <w:spacing w:val="40"/>
        </w:rPr>
        <w:t> </w:t>
      </w:r>
      <w:r>
        <w:rPr/>
        <w:t>(steepness</w:t>
      </w:r>
      <w:r>
        <w:rPr>
          <w:spacing w:val="40"/>
        </w:rPr>
        <w:t> </w:t>
      </w:r>
      <w:r>
        <w:rPr/>
        <w:t>k)</w:t>
      </w:r>
      <w:r>
        <w:rPr>
          <w:spacing w:val="80"/>
        </w:rPr>
        <w:t> </w:t>
      </w:r>
      <w:r>
        <w:rPr/>
        <w:t>approximates</w:t>
      </w:r>
      <w:r>
        <w:rPr>
          <w:spacing w:val="80"/>
        </w:rPr>
        <w:t> </w:t>
      </w:r>
      <w:r>
        <w:rPr/>
        <w:t>the</w:t>
      </w:r>
      <w:r>
        <w:rPr>
          <w:spacing w:val="80"/>
        </w:rPr>
        <w:t> </w:t>
      </w:r>
      <w:r>
        <w:rPr/>
        <w:t>sharp</w:t>
      </w:r>
      <w:r>
        <w:rPr>
          <w:spacing w:val="80"/>
        </w:rPr>
        <w:t> </w:t>
      </w:r>
      <w:r>
        <w:rPr/>
        <w:t>switch</w:t>
      </w:r>
      <w:r>
        <w:rPr>
          <w:spacing w:val="80"/>
        </w:rPr>
        <w:t> </w:t>
      </w:r>
      <w:r>
        <w:rPr/>
        <w:t>from</w:t>
      </w:r>
      <w:r>
        <w:rPr>
          <w:spacing w:val="80"/>
        </w:rPr>
        <w:t> </w:t>
      </w:r>
      <w:r>
        <w:rPr/>
        <w:t>a</w:t>
      </w:r>
      <w:r>
        <w:rPr>
          <w:spacing w:val="80"/>
        </w:rPr>
        <w:t> </w:t>
      </w:r>
      <w:r>
        <w:rPr/>
        <w:t>no-run</w:t>
      </w:r>
      <w:r>
        <w:rPr>
          <w:spacing w:val="80"/>
        </w:rPr>
        <w:t> </w:t>
      </w:r>
      <w:r>
        <w:rPr/>
        <w:t>to</w:t>
      </w:r>
      <w:r>
        <w:rPr>
          <w:spacing w:val="80"/>
        </w:rPr>
        <w:t> </w:t>
      </w:r>
      <w:r>
        <w:rPr/>
        <w:t>a</w:t>
      </w:r>
      <w:r>
        <w:rPr>
          <w:spacing w:val="80"/>
        </w:rPr>
        <w:t> </w:t>
      </w:r>
      <w:r>
        <w:rPr/>
        <w:t>run</w:t>
      </w:r>
      <w:r>
        <w:rPr>
          <w:spacing w:val="80"/>
        </w:rPr>
        <w:t> </w:t>
      </w:r>
      <w:r>
        <w:rPr/>
        <w:t>equilibrium</w:t>
      </w:r>
      <w:r>
        <w:rPr>
          <w:spacing w:val="80"/>
        </w:rPr>
        <w:t> </w:t>
      </w:r>
      <w:r>
        <w:rPr/>
        <w:t>that</w:t>
      </w:r>
      <w:r>
        <w:rPr>
          <w:spacing w:val="80"/>
        </w:rPr>
        <w:t> </w:t>
      </w:r>
      <w:r>
        <w:rPr/>
        <w:t>the</w:t>
      </w:r>
      <w:r>
        <w:rPr>
          <w:spacing w:val="80"/>
        </w:rPr>
        <w:t> </w:t>
      </w:r>
      <w:r>
        <w:rPr/>
        <w:t>global-games</w:t>
      </w:r>
      <w:r>
        <w:rPr>
          <w:spacing w:val="40"/>
        </w:rPr>
        <w:t> </w:t>
      </w:r>
      <w:r>
        <w:rPr/>
        <w:t>model</w:t>
      </w:r>
      <w:r>
        <w:rPr>
          <w:spacing w:val="40"/>
        </w:rPr>
        <w:t> </w:t>
      </w:r>
      <w:r>
        <w:rPr/>
        <w:t>produces</w:t>
      </w:r>
      <w:r>
        <w:rPr>
          <w:spacing w:val="40"/>
        </w:rPr>
        <w:t> </w:t>
      </w:r>
      <w:r>
        <w:rPr/>
        <w:t>as</w:t>
      </w:r>
      <w:r>
        <w:rPr>
          <w:spacing w:val="40"/>
        </w:rPr>
        <w:t> </w:t>
      </w:r>
      <w:r>
        <w:rPr/>
        <w:t>the</w:t>
      </w:r>
      <w:r>
        <w:rPr>
          <w:spacing w:val="40"/>
        </w:rPr>
        <w:t> </w:t>
      </w:r>
      <w:r>
        <w:rPr/>
        <w:t>noise</w:t>
      </w:r>
      <w:r>
        <w:rPr>
          <w:spacing w:val="40"/>
        </w:rPr>
        <w:t> </w:t>
      </w:r>
      <w:r>
        <w:rPr/>
        <w:t>around</w:t>
      </w:r>
      <w:r>
        <w:rPr>
          <w:spacing w:val="40"/>
        </w:rPr>
        <w:t> </w:t>
      </w:r>
      <w:r>
        <w:rPr/>
        <w:t>the</w:t>
      </w:r>
      <w:r>
        <w:rPr>
          <w:spacing w:val="40"/>
        </w:rPr>
        <w:t> </w:t>
      </w:r>
      <w:r>
        <w:rPr/>
        <w:t>coordination</w:t>
      </w:r>
      <w:r>
        <w:rPr>
          <w:spacing w:val="40"/>
        </w:rPr>
        <w:t> </w:t>
      </w:r>
      <w:r>
        <w:rPr/>
        <w:t>signal</w:t>
      </w:r>
      <w:r>
        <w:rPr>
          <w:spacing w:val="40"/>
        </w:rPr>
        <w:t> </w:t>
      </w:r>
      <w:r>
        <w:rPr/>
        <w:t>shrinks. Second, the reduced-form interaction term θ₂·(C×S) in Eq. 2 is the empirical analogue</w:t>
      </w:r>
    </w:p>
    <w:p>
      <w:pPr>
        <w:pStyle w:val="BodyText"/>
        <w:spacing w:after="0" w:line="480" w:lineRule="auto"/>
        <w:sectPr>
          <w:pgSz w:w="11900" w:h="16820"/>
          <w:pgMar w:header="714" w:footer="0" w:top="1340" w:bottom="280" w:left="1700" w:right="1417"/>
        </w:sectPr>
      </w:pPr>
    </w:p>
    <w:p>
      <w:pPr>
        <w:pStyle w:val="BodyText"/>
        <w:tabs>
          <w:tab w:pos="873" w:val="left" w:leader="none"/>
          <w:tab w:pos="1499" w:val="left" w:leader="none"/>
          <w:tab w:pos="1941" w:val="left" w:leader="none"/>
          <w:tab w:pos="3274" w:val="left" w:leader="none"/>
          <w:tab w:pos="4462" w:val="left" w:leader="none"/>
          <w:tab w:pos="5143" w:val="left" w:leader="none"/>
          <w:tab w:pos="5918" w:val="left" w:leader="none"/>
          <w:tab w:pos="6306" w:val="left" w:leader="none"/>
          <w:tab w:pos="6973" w:val="left" w:leader="none"/>
        </w:tabs>
        <w:spacing w:line="480" w:lineRule="auto" w:before="79"/>
        <w:ind w:right="124"/>
      </w:pPr>
      <w:r>
        <w:rPr/>
        <w:t>of the theoretical prediction that higher depositor concentration C sharpens strategic complementarity</w:t>
      </w:r>
      <w:r>
        <w:rPr>
          <w:spacing w:val="40"/>
        </w:rPr>
        <w:t> </w:t>
      </w:r>
      <w:r>
        <w:rPr/>
        <w:t>among</w:t>
      </w:r>
      <w:r>
        <w:rPr>
          <w:spacing w:val="40"/>
        </w:rPr>
        <w:t> </w:t>
      </w:r>
      <w:r>
        <w:rPr/>
        <w:t>withdrawal</w:t>
      </w:r>
      <w:r>
        <w:rPr>
          <w:spacing w:val="40"/>
        </w:rPr>
        <w:t> </w:t>
      </w:r>
      <w:r>
        <w:rPr/>
        <w:t>decisions.</w:t>
      </w:r>
      <w:r>
        <w:rPr>
          <w:spacing w:val="40"/>
        </w:rPr>
        <w:t> </w:t>
      </w:r>
      <w:r>
        <w:rPr/>
        <w:t>Fewer,</w:t>
      </w:r>
      <w:r>
        <w:rPr>
          <w:spacing w:val="40"/>
        </w:rPr>
        <w:t> </w:t>
      </w:r>
      <w:r>
        <w:rPr/>
        <w:t>larger</w:t>
      </w:r>
      <w:r>
        <w:rPr>
          <w:spacing w:val="40"/>
        </w:rPr>
        <w:t> </w:t>
      </w:r>
      <w:r>
        <w:rPr/>
        <w:t>depositors</w:t>
      </w:r>
      <w:r>
        <w:rPr>
          <w:spacing w:val="40"/>
        </w:rPr>
        <w:t> </w:t>
      </w:r>
      <w:r>
        <w:rPr/>
        <w:t>coordinate more easily and react more uniformly to a common shock S, so the theory predicts θ₂</w:t>
      </w:r>
      <w:r>
        <w:rPr>
          <w:spacing w:val="40"/>
        </w:rPr>
        <w:t> </w:t>
      </w:r>
      <w:r>
        <w:rPr/>
        <w:t>&gt;</w:t>
      </w:r>
      <w:r>
        <w:rPr>
          <w:spacing w:val="40"/>
        </w:rPr>
        <w:t> </w:t>
      </w:r>
      <w:r>
        <w:rPr/>
        <w:t>0</w:t>
      </w:r>
      <w:r>
        <w:rPr>
          <w:spacing w:val="32"/>
        </w:rPr>
        <w:t> </w:t>
      </w:r>
      <w:r>
        <w:rPr/>
        <w:t>before</w:t>
      </w:r>
      <w:r>
        <w:rPr>
          <w:spacing w:val="32"/>
        </w:rPr>
        <w:t> </w:t>
      </w:r>
      <w:r>
        <w:rPr/>
        <w:t>any</w:t>
      </w:r>
      <w:r>
        <w:rPr>
          <w:spacing w:val="30"/>
        </w:rPr>
        <w:t> </w:t>
      </w:r>
      <w:r>
        <w:rPr/>
        <w:t>data</w:t>
      </w:r>
      <w:r>
        <w:rPr>
          <w:spacing w:val="34"/>
        </w:rPr>
        <w:t> </w:t>
      </w:r>
      <w:r>
        <w:rPr/>
        <w:t>are</w:t>
      </w:r>
      <w:r>
        <w:rPr>
          <w:spacing w:val="34"/>
        </w:rPr>
        <w:t> </w:t>
      </w:r>
      <w:r>
        <w:rPr/>
        <w:t>seen.</w:t>
      </w:r>
      <w:r>
        <w:rPr>
          <w:spacing w:val="32"/>
        </w:rPr>
        <w:t> </w:t>
      </w:r>
      <w:r>
        <w:rPr/>
        <w:t>The</w:t>
      </w:r>
      <w:r>
        <w:rPr>
          <w:spacing w:val="34"/>
        </w:rPr>
        <w:t> </w:t>
      </w:r>
      <w:r>
        <w:rPr/>
        <w:t>empirical</w:t>
      </w:r>
      <w:r>
        <w:rPr>
          <w:spacing w:val="33"/>
        </w:rPr>
        <w:t> </w:t>
      </w:r>
      <w:r>
        <w:rPr/>
        <w:t>estimate</w:t>
      </w:r>
      <w:r>
        <w:rPr>
          <w:spacing w:val="32"/>
        </w:rPr>
        <w:t> </w:t>
      </w:r>
      <w:r>
        <w:rPr/>
        <w:t>(θ₂</w:t>
      </w:r>
      <w:r>
        <w:rPr>
          <w:spacing w:val="80"/>
        </w:rPr>
        <w:t> </w:t>
      </w:r>
      <w:r>
        <w:rPr/>
        <w:t>=</w:t>
      </w:r>
      <w:r>
        <w:rPr>
          <w:spacing w:val="34"/>
        </w:rPr>
        <w:t> </w:t>
      </w:r>
      <w:r>
        <w:rPr/>
        <w:t>0.2466,</w:t>
      </w:r>
      <w:r>
        <w:rPr>
          <w:spacing w:val="32"/>
        </w:rPr>
        <w:t> </w:t>
      </w:r>
      <w:r>
        <w:rPr/>
        <w:t>Table</w:t>
      </w:r>
      <w:r>
        <w:rPr>
          <w:spacing w:val="32"/>
        </w:rPr>
        <w:t> </w:t>
      </w:r>
      <w:r>
        <w:rPr/>
        <w:t>2)</w:t>
      </w:r>
      <w:r>
        <w:rPr>
          <w:spacing w:val="34"/>
        </w:rPr>
        <w:t> </w:t>
      </w:r>
      <w:r>
        <w:rPr/>
        <w:t>confirms the predicted sign. This mapping is offered as a plausibility anchor, not</w:t>
      </w:r>
      <w:r>
        <w:rPr>
          <w:spacing w:val="37"/>
        </w:rPr>
        <w:t> </w:t>
      </w:r>
      <w:r>
        <w:rPr/>
        <w:t>a structural</w:t>
      </w:r>
      <w:r>
        <w:rPr>
          <w:spacing w:val="80"/>
        </w:rPr>
        <w:t> </w:t>
      </w:r>
      <w:r>
        <w:rPr/>
        <w:t>estimation. None of the simulation’s CBDC-specific parameters (α, β, γ, δ in Eq. 2 of</w:t>
      </w:r>
      <w:r>
        <w:rPr>
          <w:spacing w:val="80"/>
        </w:rPr>
        <w:t> </w:t>
      </w:r>
      <w:r>
        <w:rPr/>
        <w:t>the appendix coefficient registry) are recovered from depositor first-order conditions,</w:t>
      </w:r>
      <w:r>
        <w:rPr>
          <w:spacing w:val="40"/>
        </w:rPr>
        <w:t> </w:t>
      </w:r>
      <w:r>
        <w:rPr/>
        <w:t>and the design-ranking result remains, as stated throughout, a comparative stress-test </w:t>
      </w:r>
      <w:r>
        <w:rPr>
          <w:spacing w:val="-2"/>
        </w:rPr>
        <w:t>rather</w:t>
      </w:r>
      <w:r>
        <w:rPr/>
        <w:tab/>
      </w:r>
      <w:r>
        <w:rPr>
          <w:spacing w:val="-4"/>
        </w:rPr>
        <w:t>than</w:t>
      </w:r>
      <w:r>
        <w:rPr/>
        <w:tab/>
      </w:r>
      <w:r>
        <w:rPr>
          <w:spacing w:val="-6"/>
        </w:rPr>
        <w:t>an</w:t>
      </w:r>
      <w:r>
        <w:rPr/>
        <w:tab/>
      </w:r>
      <w:r>
        <w:rPr>
          <w:spacing w:val="-2"/>
        </w:rPr>
        <w:t>equilibrium</w:t>
      </w:r>
      <w:r>
        <w:rPr/>
        <w:tab/>
      </w:r>
      <w:r>
        <w:rPr>
          <w:spacing w:val="-2"/>
        </w:rPr>
        <w:t>prediction</w:t>
      </w:r>
      <w:r>
        <w:rPr/>
        <w:tab/>
      </w:r>
      <w:r>
        <w:rPr>
          <w:spacing w:val="-4"/>
        </w:rPr>
        <w:t>(L8,</w:t>
      </w:r>
      <w:r>
        <w:rPr/>
        <w:tab/>
      </w:r>
      <w:r>
        <w:rPr>
          <w:spacing w:val="-2"/>
        </w:rPr>
        <w:t>§7.2).</w:t>
      </w:r>
      <w:r>
        <w:rPr/>
        <w:tab/>
      </w:r>
      <w:r>
        <w:rPr>
          <w:spacing w:val="-10"/>
        </w:rPr>
        <w:t>A</w:t>
      </w:r>
      <w:r>
        <w:rPr/>
        <w:tab/>
      </w:r>
      <w:r>
        <w:rPr>
          <w:spacing w:val="-2"/>
        </w:rPr>
        <w:t>fully</w:t>
      </w:r>
      <w:r>
        <w:rPr/>
        <w:tab/>
      </w:r>
      <w:r>
        <w:rPr>
          <w:spacing w:val="-2"/>
        </w:rPr>
        <w:t>micro-founded </w:t>
      </w:r>
      <w:r>
        <w:rPr/>
        <w:t>heterogeneous-agent</w:t>
      </w:r>
      <w:r>
        <w:rPr>
          <w:spacing w:val="40"/>
        </w:rPr>
        <w:t> </w:t>
      </w:r>
      <w:r>
        <w:rPr/>
        <w:t>extension</w:t>
      </w:r>
      <w:r>
        <w:rPr>
          <w:spacing w:val="40"/>
        </w:rPr>
        <w:t> </w:t>
      </w:r>
      <w:r>
        <w:rPr/>
        <w:t>along</w:t>
      </w:r>
      <w:r>
        <w:rPr>
          <w:spacing w:val="40"/>
        </w:rPr>
        <w:t> </w:t>
      </w:r>
      <w:r>
        <w:rPr/>
        <w:t>the</w:t>
      </w:r>
      <w:r>
        <w:rPr>
          <w:spacing w:val="40"/>
        </w:rPr>
        <w:t> </w:t>
      </w:r>
      <w:r>
        <w:rPr/>
        <w:t>lines</w:t>
      </w:r>
      <w:r>
        <w:rPr>
          <w:spacing w:val="40"/>
        </w:rPr>
        <w:t> </w:t>
      </w:r>
      <w:r>
        <w:rPr/>
        <w:t>of</w:t>
      </w:r>
      <w:r>
        <w:rPr>
          <w:spacing w:val="40"/>
        </w:rPr>
        <w:t> </w:t>
      </w:r>
      <w:r>
        <w:rPr/>
        <w:t>Fernández-Villaverde</w:t>
      </w:r>
      <w:r>
        <w:rPr>
          <w:spacing w:val="40"/>
        </w:rPr>
        <w:t> </w:t>
      </w:r>
      <w:r>
        <w:rPr/>
        <w:t>et</w:t>
      </w:r>
      <w:r>
        <w:rPr>
          <w:spacing w:val="40"/>
        </w:rPr>
        <w:t> </w:t>
      </w:r>
      <w:r>
        <w:rPr/>
        <w:t>al.</w:t>
      </w:r>
      <w:r>
        <w:rPr>
          <w:spacing w:val="40"/>
        </w:rPr>
        <w:t> </w:t>
      </w:r>
      <w:r>
        <w:rPr/>
        <w:t>(2021) or</w:t>
      </w:r>
      <w:r>
        <w:rPr>
          <w:spacing w:val="40"/>
        </w:rPr>
        <w:t> </w:t>
      </w:r>
      <w:r>
        <w:rPr/>
        <w:t>Keister</w:t>
      </w:r>
      <w:r>
        <w:rPr>
          <w:spacing w:val="40"/>
        </w:rPr>
        <w:t> </w:t>
      </w:r>
      <w:r>
        <w:rPr/>
        <w:t>and</w:t>
      </w:r>
      <w:r>
        <w:rPr>
          <w:spacing w:val="40"/>
        </w:rPr>
        <w:t> </w:t>
      </w:r>
      <w:r>
        <w:rPr/>
        <w:t>Monnet</w:t>
      </w:r>
      <w:r>
        <w:rPr>
          <w:spacing w:val="40"/>
        </w:rPr>
        <w:t> </w:t>
      </w:r>
      <w:r>
        <w:rPr/>
        <w:t>(2022),</w:t>
      </w:r>
      <w:r>
        <w:rPr>
          <w:spacing w:val="40"/>
        </w:rPr>
        <w:t> </w:t>
      </w:r>
      <w:r>
        <w:rPr/>
        <w:t>in</w:t>
      </w:r>
      <w:r>
        <w:rPr>
          <w:spacing w:val="40"/>
        </w:rPr>
        <w:t> </w:t>
      </w:r>
      <w:r>
        <w:rPr/>
        <w:t>which</w:t>
      </w:r>
      <w:r>
        <w:rPr>
          <w:spacing w:val="40"/>
        </w:rPr>
        <w:t> </w:t>
      </w:r>
      <w:r>
        <w:rPr/>
        <w:t>θ,</w:t>
      </w:r>
      <w:r>
        <w:rPr>
          <w:spacing w:val="40"/>
        </w:rPr>
        <w:t> </w:t>
      </w:r>
      <w:r>
        <w:rPr/>
        <w:t>k,</w:t>
      </w:r>
      <w:r>
        <w:rPr>
          <w:spacing w:val="40"/>
        </w:rPr>
        <w:t> </w:t>
      </w:r>
      <w:r>
        <w:rPr/>
        <w:t>and</w:t>
      </w:r>
      <w:r>
        <w:rPr>
          <w:spacing w:val="40"/>
        </w:rPr>
        <w:t> </w:t>
      </w:r>
      <w:r>
        <w:rPr/>
        <w:t>θ₂</w:t>
      </w:r>
      <w:r>
        <w:rPr>
          <w:spacing w:val="80"/>
        </w:rPr>
        <w:t> </w:t>
      </w:r>
      <w:r>
        <w:rPr/>
        <w:t>would</w:t>
      </w:r>
      <w:r>
        <w:rPr>
          <w:spacing w:val="40"/>
        </w:rPr>
        <w:t> </w:t>
      </w:r>
      <w:r>
        <w:rPr/>
        <w:t>emerge</w:t>
      </w:r>
      <w:r>
        <w:rPr>
          <w:spacing w:val="40"/>
        </w:rPr>
        <w:t> </w:t>
      </w:r>
      <w:r>
        <w:rPr/>
        <w:t>from</w:t>
      </w:r>
      <w:r>
        <w:rPr>
          <w:spacing w:val="40"/>
        </w:rPr>
        <w:t> </w:t>
      </w:r>
      <w:r>
        <w:rPr/>
        <w:t>solved withdrawal decisions rather than being fitted or estimated in reduced form, is left for future work (§7.4, priority vii).</w:t>
      </w:r>
    </w:p>
    <w:p>
      <w:pPr>
        <w:pStyle w:val="BodyText"/>
        <w:spacing w:before="81"/>
        <w:ind w:left="0"/>
      </w:pPr>
    </w:p>
    <w:p>
      <w:pPr>
        <w:pStyle w:val="Heading1"/>
        <w:numPr>
          <w:ilvl w:val="0"/>
          <w:numId w:val="1"/>
        </w:numPr>
        <w:tabs>
          <w:tab w:pos="337" w:val="left" w:leader="none"/>
        </w:tabs>
        <w:spacing w:line="240" w:lineRule="auto" w:before="0" w:after="0"/>
        <w:ind w:left="337" w:right="0" w:hanging="238"/>
        <w:jc w:val="left"/>
      </w:pPr>
      <w:r>
        <w:rPr/>
        <w:t>Model</w:t>
      </w:r>
      <w:r>
        <w:rPr>
          <w:spacing w:val="-10"/>
        </w:rPr>
        <w:t> </w:t>
      </w:r>
      <w:r>
        <w:rPr/>
        <w:t>and</w:t>
      </w:r>
      <w:r>
        <w:rPr>
          <w:spacing w:val="-11"/>
        </w:rPr>
        <w:t> </w:t>
      </w:r>
      <w:r>
        <w:rPr/>
        <w:t>Empirical</w:t>
      </w:r>
      <w:r>
        <w:rPr>
          <w:spacing w:val="-10"/>
        </w:rPr>
        <w:t> </w:t>
      </w:r>
      <w:r>
        <w:rPr>
          <w:spacing w:val="-2"/>
        </w:rPr>
        <w:t>Calibration</w:t>
      </w:r>
    </w:p>
    <w:p>
      <w:pPr>
        <w:pStyle w:val="BodyText"/>
        <w:ind w:left="0"/>
        <w:rPr>
          <w:b/>
        </w:rPr>
      </w:pPr>
    </w:p>
    <w:p>
      <w:pPr>
        <w:pStyle w:val="BodyText"/>
        <w:spacing w:before="83"/>
        <w:ind w:left="0"/>
        <w:rPr>
          <w:b/>
        </w:rPr>
      </w:pPr>
    </w:p>
    <w:p>
      <w:pPr>
        <w:pStyle w:val="Heading2"/>
        <w:numPr>
          <w:ilvl w:val="1"/>
          <w:numId w:val="1"/>
        </w:numPr>
        <w:tabs>
          <w:tab w:pos="457" w:val="left" w:leader="none"/>
        </w:tabs>
        <w:spacing w:line="240" w:lineRule="auto" w:before="1" w:after="0"/>
        <w:ind w:left="457" w:right="0" w:hanging="358"/>
        <w:jc w:val="left"/>
        <w:rPr>
          <w:i/>
        </w:rPr>
      </w:pPr>
      <w:r>
        <w:rPr>
          <w:i/>
          <w:spacing w:val="-2"/>
        </w:rPr>
        <w:t>Simulation</w:t>
      </w:r>
      <w:r>
        <w:rPr>
          <w:i/>
          <w:spacing w:val="1"/>
        </w:rPr>
        <w:t> </w:t>
      </w:r>
      <w:r>
        <w:rPr>
          <w:i/>
          <w:spacing w:val="-2"/>
        </w:rPr>
        <w:t>Architecture</w:t>
      </w:r>
    </w:p>
    <w:p>
      <w:pPr>
        <w:pStyle w:val="BodyText"/>
        <w:spacing w:line="552" w:lineRule="exact" w:before="137"/>
        <w:ind w:right="302"/>
      </w:pPr>
      <w:r>
        <w:rPr/>
        <w:t>The simulation engine (python-mt19937-v6.0) models a two-tier CBDC architecture</w:t>
      </w:r>
      <w:r>
        <w:rPr>
          <w:spacing w:val="80"/>
        </w:rPr>
        <w:t> </w:t>
      </w:r>
      <w:r>
        <w:rPr/>
        <w:t>at</w:t>
      </w:r>
      <w:r>
        <w:rPr>
          <w:spacing w:val="37"/>
        </w:rPr>
        <w:t> </w:t>
      </w:r>
      <w:r>
        <w:rPr/>
        <w:t>T=90</w:t>
      </w:r>
      <w:r>
        <w:rPr>
          <w:spacing w:val="36"/>
        </w:rPr>
        <w:t> </w:t>
      </w:r>
      <w:r>
        <w:rPr/>
        <w:t>daily</w:t>
      </w:r>
      <w:r>
        <w:rPr>
          <w:spacing w:val="34"/>
        </w:rPr>
        <w:t> </w:t>
      </w:r>
      <w:r>
        <w:rPr/>
        <w:t>periods.</w:t>
      </w:r>
      <w:r>
        <w:rPr>
          <w:spacing w:val="37"/>
        </w:rPr>
        <w:t> </w:t>
      </w:r>
      <w:r>
        <w:rPr/>
        <w:t>Stability:</w:t>
      </w:r>
      <w:r>
        <w:rPr>
          <w:spacing w:val="37"/>
        </w:rPr>
        <w:t> </w:t>
      </w:r>
      <w:r>
        <w:rPr/>
        <w:t>Stab_t</w:t>
      </w:r>
      <w:r>
        <w:rPr>
          <w:spacing w:val="37"/>
        </w:rPr>
        <w:t> </w:t>
      </w:r>
      <w:r>
        <w:rPr/>
        <w:t>=</w:t>
      </w:r>
      <w:r>
        <w:rPr>
          <w:spacing w:val="38"/>
        </w:rPr>
        <w:t> </w:t>
      </w:r>
      <w:r>
        <w:rPr/>
        <w:t>1/(1+exp(k(s_t−θ))),</w:t>
      </w:r>
      <w:r>
        <w:rPr>
          <w:spacing w:val="36"/>
        </w:rPr>
        <w:t> </w:t>
      </w:r>
      <w:r>
        <w:rPr/>
        <w:t>k=13,</w:t>
      </w:r>
      <w:r>
        <w:rPr>
          <w:spacing w:val="37"/>
        </w:rPr>
        <w:t> </w:t>
      </w:r>
      <w:r>
        <w:rPr/>
        <w:t>θ</w:t>
      </w:r>
      <w:r>
        <w:rPr>
          <w:rFonts w:ascii="Lucida Sans Unicode" w:hAnsi="Lucida Sans Unicode"/>
        </w:rPr>
        <w:t>∈</w:t>
      </w:r>
      <w:r>
        <w:rPr/>
        <w:t>[0.62,0.74] (Eq.</w:t>
      </w:r>
      <w:r>
        <w:rPr>
          <w:spacing w:val="72"/>
        </w:rPr>
        <w:t> </w:t>
      </w:r>
      <w:r>
        <w:rPr/>
        <w:t>1).</w:t>
      </w:r>
      <w:r>
        <w:rPr>
          <w:spacing w:val="72"/>
        </w:rPr>
        <w:t> </w:t>
      </w:r>
      <w:r>
        <w:rPr/>
        <w:t>LOLR:</w:t>
      </w:r>
      <w:r>
        <w:rPr>
          <w:spacing w:val="73"/>
        </w:rPr>
        <w:t> </w:t>
      </w:r>
      <w:r>
        <w:rPr/>
        <w:t>s_t</w:t>
      </w:r>
      <w:r>
        <w:rPr>
          <w:spacing w:val="80"/>
          <w:w w:val="150"/>
        </w:rPr>
        <w:t> </w:t>
      </w:r>
      <w:r>
        <w:rPr/>
        <w:t>←</w:t>
      </w:r>
      <w:r>
        <w:rPr>
          <w:spacing w:val="80"/>
          <w:w w:val="150"/>
        </w:rPr>
        <w:t> </w:t>
      </w:r>
      <w:r>
        <w:rPr/>
        <w:t>s_t</w:t>
      </w:r>
      <w:r>
        <w:rPr>
          <w:spacing w:val="80"/>
          <w:w w:val="150"/>
        </w:rPr>
        <w:t> </w:t>
      </w:r>
      <w:r>
        <w:rPr/>
        <w:t>−</w:t>
      </w:r>
      <w:r>
        <w:rPr>
          <w:spacing w:val="80"/>
          <w:w w:val="150"/>
        </w:rPr>
        <w:t> </w:t>
      </w:r>
      <w:r>
        <w:rPr/>
        <w:t>min((s_t−0.45)×0.55,</w:t>
      </w:r>
      <w:r>
        <w:rPr>
          <w:spacing w:val="72"/>
        </w:rPr>
        <w:t> </w:t>
      </w:r>
      <w:r>
        <w:rPr/>
        <w:t>0.22)×0.35</w:t>
      </w:r>
      <w:r>
        <w:rPr>
          <w:spacing w:val="72"/>
        </w:rPr>
        <w:t> </w:t>
      </w:r>
      <w:r>
        <w:rPr/>
        <w:t>when</w:t>
      </w:r>
      <w:r>
        <w:rPr>
          <w:spacing w:val="72"/>
        </w:rPr>
        <w:t> </w:t>
      </w:r>
      <w:r>
        <w:rPr/>
        <w:t>s_t&gt;0.45 (trigger=0.45, v6 re-calibration, Bank for International Settlements (BIS, 2021) cited range [0.50, 0.60]). Sensitivity at trigger=0.55 leaves design ranking unchanged (see coeff_ranges.py).</w:t>
      </w:r>
      <w:r>
        <w:rPr>
          <w:spacing w:val="27"/>
        </w:rPr>
        <w:t> </w:t>
      </w:r>
      <w:r>
        <w:rPr/>
        <w:t>Dynamic</w:t>
      </w:r>
      <w:r>
        <w:rPr>
          <w:spacing w:val="26"/>
        </w:rPr>
        <w:t> </w:t>
      </w:r>
      <w:r>
        <w:rPr/>
        <w:t>Cap:</w:t>
      </w:r>
      <w:r>
        <w:rPr>
          <w:spacing w:val="27"/>
        </w:rPr>
        <w:t> </w:t>
      </w:r>
      <w:r>
        <w:rPr/>
        <w:t>o_cap(t)</w:t>
      </w:r>
      <w:r>
        <w:rPr>
          <w:spacing w:val="80"/>
        </w:rPr>
        <w:t> </w:t>
      </w:r>
      <w:r>
        <w:rPr/>
        <w:t>←</w:t>
      </w:r>
      <w:r>
        <w:rPr>
          <w:spacing w:val="80"/>
        </w:rPr>
        <w:t> </w:t>
      </w:r>
      <w:r>
        <w:rPr/>
        <w:t>o_cap</w:t>
      </w:r>
      <w:r>
        <w:rPr>
          <w:spacing w:val="80"/>
        </w:rPr>
        <w:t> </w:t>
      </w:r>
      <w:r>
        <w:rPr/>
        <w:t>×</w:t>
      </w:r>
      <w:r>
        <w:rPr>
          <w:spacing w:val="80"/>
        </w:rPr>
        <w:t> </w:t>
      </w:r>
      <w:r>
        <w:rPr/>
        <w:t>max(0.30,</w:t>
      </w:r>
      <w:r>
        <w:rPr>
          <w:spacing w:val="26"/>
        </w:rPr>
        <w:t> </w:t>
      </w:r>
      <w:r>
        <w:rPr/>
        <w:t>1−0.30·o_t).</w:t>
      </w:r>
      <w:r>
        <w:rPr>
          <w:spacing w:val="27"/>
        </w:rPr>
        <w:t> </w:t>
      </w:r>
      <w:r>
        <w:rPr/>
        <w:t>The</w:t>
      </w:r>
    </w:p>
    <w:p>
      <w:pPr>
        <w:pStyle w:val="BodyText"/>
        <w:spacing w:line="480" w:lineRule="auto" w:before="216"/>
        <w:ind w:right="382"/>
        <w:jc w:val="both"/>
      </w:pPr>
      <w:r>
        <w:rPr/>
        <w:t>two 0.30 coefficients are author-calibrated. The floor 0.30 prevents the cap from collapsing to zero under sustained outflow, while the slope 0.30 is chosen so that a moderate</w:t>
      </w:r>
      <w:r>
        <w:rPr>
          <w:spacing w:val="5"/>
        </w:rPr>
        <w:t> </w:t>
      </w:r>
      <w:r>
        <w:rPr/>
        <w:t>outflow</w:t>
      </w:r>
      <w:r>
        <w:rPr>
          <w:spacing w:val="8"/>
        </w:rPr>
        <w:t> </w:t>
      </w:r>
      <w:r>
        <w:rPr/>
        <w:t>(o_t≈0.30)</w:t>
      </w:r>
      <w:r>
        <w:rPr>
          <w:spacing w:val="8"/>
        </w:rPr>
        <w:t> </w:t>
      </w:r>
      <w:r>
        <w:rPr/>
        <w:t>triggers</w:t>
      </w:r>
      <w:r>
        <w:rPr>
          <w:spacing w:val="6"/>
        </w:rPr>
        <w:t> </w:t>
      </w:r>
      <w:r>
        <w:rPr/>
        <w:t>a</w:t>
      </w:r>
      <w:r>
        <w:rPr>
          <w:spacing w:val="8"/>
        </w:rPr>
        <w:t> </w:t>
      </w:r>
      <w:r>
        <w:rPr/>
        <w:t>50%</w:t>
      </w:r>
      <w:r>
        <w:rPr>
          <w:spacing w:val="8"/>
        </w:rPr>
        <w:t> </w:t>
      </w:r>
      <w:r>
        <w:rPr/>
        <w:t>cap</w:t>
      </w:r>
      <w:r>
        <w:rPr>
          <w:spacing w:val="6"/>
        </w:rPr>
        <w:t> </w:t>
      </w:r>
      <w:r>
        <w:rPr/>
        <w:t>reduction.</w:t>
      </w:r>
      <w:r>
        <w:rPr>
          <w:spacing w:val="9"/>
        </w:rPr>
        <w:t> </w:t>
      </w:r>
      <w:r>
        <w:rPr/>
        <w:t>This</w:t>
      </w:r>
      <w:r>
        <w:rPr>
          <w:spacing w:val="6"/>
        </w:rPr>
        <w:t> </w:t>
      </w:r>
      <w:r>
        <w:rPr/>
        <w:t>is</w:t>
      </w:r>
      <w:r>
        <w:rPr>
          <w:spacing w:val="7"/>
        </w:rPr>
        <w:t> </w:t>
      </w:r>
      <w:r>
        <w:rPr/>
        <w:t>loosely</w:t>
      </w:r>
      <w:r>
        <w:rPr>
          <w:spacing w:val="4"/>
        </w:rPr>
        <w:t> </w:t>
      </w:r>
      <w:r>
        <w:rPr>
          <w:spacing w:val="-2"/>
        </w:rPr>
        <w:t>motivated</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80"/>
        <w:jc w:val="both"/>
      </w:pPr>
      <w:r>
        <w:rPr/>
        <w:t>by the BIS (2021) intraday liquidity stress concept, though no specific equation is cited.</w:t>
      </w:r>
      <w:r>
        <w:rPr>
          <w:spacing w:val="-2"/>
        </w:rPr>
        <w:t> </w:t>
      </w:r>
      <w:r>
        <w:rPr/>
        <w:t>Sobol</w:t>
      </w:r>
      <w:r>
        <w:rPr>
          <w:spacing w:val="-3"/>
        </w:rPr>
        <w:t> </w:t>
      </w:r>
      <w:r>
        <w:rPr/>
        <w:t>sensitivity</w:t>
      </w:r>
      <w:r>
        <w:rPr>
          <w:spacing w:val="-4"/>
        </w:rPr>
        <w:t> </w:t>
      </w:r>
      <w:r>
        <w:rPr/>
        <w:t>(Table</w:t>
      </w:r>
      <w:r>
        <w:rPr>
          <w:spacing w:val="-3"/>
        </w:rPr>
        <w:t> </w:t>
      </w:r>
      <w:r>
        <w:rPr/>
        <w:t>6,</w:t>
      </w:r>
      <w:r>
        <w:rPr>
          <w:spacing w:val="-2"/>
        </w:rPr>
        <w:t> </w:t>
      </w:r>
      <w:r>
        <w:rPr/>
        <w:t>S_T=0.44)</w:t>
      </w:r>
      <w:r>
        <w:rPr>
          <w:spacing w:val="-3"/>
        </w:rPr>
        <w:t> </w:t>
      </w:r>
      <w:r>
        <w:rPr/>
        <w:t>identifies</w:t>
      </w:r>
      <w:r>
        <w:rPr>
          <w:spacing w:val="-2"/>
        </w:rPr>
        <w:t> </w:t>
      </w:r>
      <w:r>
        <w:rPr/>
        <w:t>the</w:t>
      </w:r>
      <w:r>
        <w:rPr>
          <w:spacing w:val="-5"/>
        </w:rPr>
        <w:t> </w:t>
      </w:r>
      <w:r>
        <w:rPr/>
        <w:t>holding</w:t>
      </w:r>
      <w:r>
        <w:rPr>
          <w:spacing w:val="-2"/>
        </w:rPr>
        <w:t> </w:t>
      </w:r>
      <w:r>
        <w:rPr/>
        <w:t>cap</w:t>
      </w:r>
      <w:r>
        <w:rPr>
          <w:spacing w:val="-2"/>
        </w:rPr>
        <w:t> </w:t>
      </w:r>
      <w:r>
        <w:rPr/>
        <w:t>as</w:t>
      </w:r>
      <w:r>
        <w:rPr>
          <w:spacing w:val="-2"/>
        </w:rPr>
        <w:t> </w:t>
      </w:r>
      <w:r>
        <w:rPr/>
        <w:t>the</w:t>
      </w:r>
      <w:r>
        <w:rPr>
          <w:spacing w:val="-3"/>
        </w:rPr>
        <w:t> </w:t>
      </w:r>
      <w:r>
        <w:rPr/>
        <w:t>dominant influence on P(Fail). Consequently the 0.30 calibration is tested across 60 bootstrap refits and the 27-combination perturbation grid (Table F3), both of which confirm DynCap superiority. A</w:t>
      </w:r>
      <w:r>
        <w:rPr>
          <w:spacing w:val="-4"/>
        </w:rPr>
        <w:t> </w:t>
      </w:r>
      <w:r>
        <w:rPr/>
        <w:t>formal</w:t>
      </w:r>
      <w:r>
        <w:rPr>
          <w:spacing w:val="-3"/>
        </w:rPr>
        <w:t> </w:t>
      </w:r>
      <w:r>
        <w:rPr/>
        <w:t>calibration</w:t>
      </w:r>
      <w:r>
        <w:rPr>
          <w:spacing w:val="-1"/>
        </w:rPr>
        <w:t> </w:t>
      </w:r>
      <w:r>
        <w:rPr/>
        <w:t>from empirical</w:t>
      </w:r>
      <w:r>
        <w:rPr>
          <w:spacing w:val="-2"/>
        </w:rPr>
        <w:t> </w:t>
      </w:r>
      <w:r>
        <w:rPr/>
        <w:t>cap-adjustment</w:t>
      </w:r>
      <w:r>
        <w:rPr>
          <w:spacing w:val="-2"/>
        </w:rPr>
        <w:t> </w:t>
      </w:r>
      <w:r>
        <w:rPr/>
        <w:t>data</w:t>
      </w:r>
      <w:r>
        <w:rPr>
          <w:spacing w:val="-4"/>
        </w:rPr>
        <w:t> </w:t>
      </w:r>
      <w:r>
        <w:rPr/>
        <w:t>remains future work (Section 7.2, L3). Replication: python reproduce.py --verify confirms 2/2 headline fingerprints (design comparison, solvency replication) in approximately 14 seconds. The leave-one-out fingerprint requires the separate --loo flag and several minutes to compute.</w:t>
      </w:r>
    </w:p>
    <w:p>
      <w:pPr>
        <w:pStyle w:val="Heading2"/>
        <w:numPr>
          <w:ilvl w:val="1"/>
          <w:numId w:val="1"/>
        </w:numPr>
        <w:tabs>
          <w:tab w:pos="457" w:val="left" w:leader="none"/>
        </w:tabs>
        <w:spacing w:line="240" w:lineRule="auto" w:before="237" w:after="0"/>
        <w:ind w:left="457" w:right="0" w:hanging="358"/>
        <w:jc w:val="both"/>
        <w:rPr>
          <w:i/>
        </w:rPr>
      </w:pPr>
      <w:r>
        <w:rPr>
          <w:i/>
        </w:rPr>
        <w:t>Calibration</w:t>
      </w:r>
      <w:r>
        <w:rPr>
          <w:i/>
          <w:spacing w:val="-13"/>
        </w:rPr>
        <w:t> </w:t>
      </w:r>
      <w:r>
        <w:rPr>
          <w:i/>
        </w:rPr>
        <w:t>Panel</w:t>
      </w:r>
      <w:r>
        <w:rPr>
          <w:i/>
          <w:spacing w:val="-12"/>
        </w:rPr>
        <w:t> </w:t>
      </w:r>
      <w:r>
        <w:rPr>
          <w:i/>
        </w:rPr>
        <w:t>(Table</w:t>
      </w:r>
      <w:r>
        <w:rPr>
          <w:i/>
          <w:spacing w:val="-14"/>
        </w:rPr>
        <w:t> </w:t>
      </w:r>
      <w:r>
        <w:rPr>
          <w:i/>
          <w:spacing w:val="-5"/>
        </w:rPr>
        <w:t>1)</w:t>
      </w:r>
    </w:p>
    <w:p>
      <w:pPr>
        <w:pStyle w:val="BodyText"/>
        <w:spacing w:before="81"/>
        <w:ind w:left="0"/>
        <w:rPr>
          <w:b/>
          <w:i/>
        </w:rPr>
      </w:pPr>
    </w:p>
    <w:p>
      <w:pPr>
        <w:pStyle w:val="BodyText"/>
        <w:spacing w:line="480" w:lineRule="auto"/>
        <w:ind w:right="381"/>
        <w:jc w:val="both"/>
      </w:pPr>
      <w:r>
        <w:rPr/>
        <w:t>Panel: n=81 episodes, 1984–2023; 60 failures (74.1% base rate); 15 verified, 66 estimated (81.5%) after correcting seven reliability mislabels (§G.2) and re-verifying three of those seven episodes from new primary sources (indymac, wachovia, and landsbanki;</w:t>
      </w:r>
      <w:r>
        <w:rPr>
          <w:spacing w:val="40"/>
        </w:rPr>
        <w:t> </w:t>
      </w:r>
      <w:r>
        <w:rPr/>
        <w:t>§7.3). Variable derivation rules and the full estimated-episode variable table are in Appendix D.</w:t>
      </w:r>
    </w:p>
    <w:p>
      <w:pPr>
        <w:pStyle w:val="Heading1"/>
        <w:spacing w:before="237"/>
        <w:ind w:left="2389"/>
        <w:jc w:val="both"/>
      </w:pPr>
      <w:r>
        <w:rPr/>
        <w:t>Table1.</w:t>
      </w:r>
      <w:r>
        <w:rPr>
          <w:spacing w:val="-13"/>
        </w:rPr>
        <w:t> </w:t>
      </w:r>
      <w:r>
        <w:rPr/>
        <w:t>Calibration</w:t>
      </w:r>
      <w:r>
        <w:rPr>
          <w:spacing w:val="-12"/>
        </w:rPr>
        <w:t> </w:t>
      </w:r>
      <w:r>
        <w:rPr/>
        <w:t>Panel</w:t>
      </w:r>
      <w:r>
        <w:rPr>
          <w:spacing w:val="-11"/>
        </w:rPr>
        <w:t> </w:t>
      </w:r>
      <w:r>
        <w:rPr>
          <w:spacing w:val="-2"/>
        </w:rPr>
        <w:t>Summary</w:t>
      </w:r>
    </w:p>
    <w:p>
      <w:pPr>
        <w:pStyle w:val="BodyText"/>
        <w:spacing w:before="9"/>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6"/>
        <w:gridCol w:w="4063"/>
      </w:tblGrid>
      <w:tr>
        <w:trPr>
          <w:trHeight w:val="282" w:hRule="atLeast"/>
        </w:trPr>
        <w:tc>
          <w:tcPr>
            <w:tcW w:w="3636" w:type="dxa"/>
          </w:tcPr>
          <w:p>
            <w:pPr>
              <w:pStyle w:val="TableParagraph"/>
              <w:spacing w:line="249" w:lineRule="exact"/>
              <w:rPr>
                <w:b/>
                <w:sz w:val="22"/>
              </w:rPr>
            </w:pPr>
            <w:r>
              <w:rPr>
                <w:b/>
                <w:spacing w:val="-2"/>
                <w:sz w:val="22"/>
              </w:rPr>
              <w:t>Statistic</w:t>
            </w:r>
          </w:p>
        </w:tc>
        <w:tc>
          <w:tcPr>
            <w:tcW w:w="4063" w:type="dxa"/>
          </w:tcPr>
          <w:p>
            <w:pPr>
              <w:pStyle w:val="TableParagraph"/>
              <w:spacing w:line="249" w:lineRule="exact"/>
              <w:ind w:left="108"/>
              <w:rPr>
                <w:b/>
                <w:sz w:val="22"/>
              </w:rPr>
            </w:pPr>
            <w:r>
              <w:rPr>
                <w:b/>
                <w:spacing w:val="-2"/>
                <w:sz w:val="22"/>
              </w:rPr>
              <w:t>Value</w:t>
            </w:r>
          </w:p>
        </w:tc>
      </w:tr>
      <w:tr>
        <w:trPr>
          <w:trHeight w:val="280" w:hRule="atLeast"/>
        </w:trPr>
        <w:tc>
          <w:tcPr>
            <w:tcW w:w="3636" w:type="dxa"/>
          </w:tcPr>
          <w:p>
            <w:pPr>
              <w:pStyle w:val="TableParagraph"/>
              <w:spacing w:line="246" w:lineRule="exact"/>
              <w:rPr>
                <w:sz w:val="22"/>
              </w:rPr>
            </w:pPr>
            <w:r>
              <w:rPr>
                <w:sz w:val="22"/>
              </w:rPr>
              <w:t>Total</w:t>
            </w:r>
            <w:r>
              <w:rPr>
                <w:spacing w:val="-7"/>
                <w:sz w:val="22"/>
              </w:rPr>
              <w:t> </w:t>
            </w:r>
            <w:r>
              <w:rPr>
                <w:spacing w:val="-2"/>
                <w:sz w:val="22"/>
              </w:rPr>
              <w:t>episodes</w:t>
            </w:r>
          </w:p>
        </w:tc>
        <w:tc>
          <w:tcPr>
            <w:tcW w:w="4063" w:type="dxa"/>
          </w:tcPr>
          <w:p>
            <w:pPr>
              <w:pStyle w:val="TableParagraph"/>
              <w:spacing w:line="246" w:lineRule="exact"/>
              <w:ind w:left="108"/>
              <w:rPr>
                <w:sz w:val="22"/>
              </w:rPr>
            </w:pPr>
            <w:r>
              <w:rPr>
                <w:spacing w:val="-5"/>
                <w:sz w:val="22"/>
              </w:rPr>
              <w:t>81</w:t>
            </w:r>
          </w:p>
        </w:tc>
      </w:tr>
      <w:tr>
        <w:trPr>
          <w:trHeight w:val="280" w:hRule="atLeast"/>
        </w:trPr>
        <w:tc>
          <w:tcPr>
            <w:tcW w:w="3636" w:type="dxa"/>
          </w:tcPr>
          <w:p>
            <w:pPr>
              <w:pStyle w:val="TableParagraph"/>
              <w:spacing w:line="246" w:lineRule="exact"/>
              <w:rPr>
                <w:sz w:val="22"/>
              </w:rPr>
            </w:pPr>
            <w:r>
              <w:rPr>
                <w:sz w:val="22"/>
              </w:rPr>
              <w:t>Verified</w:t>
            </w:r>
            <w:r>
              <w:rPr>
                <w:spacing w:val="-10"/>
                <w:sz w:val="22"/>
              </w:rPr>
              <w:t> </w:t>
            </w:r>
            <w:r>
              <w:rPr>
                <w:sz w:val="22"/>
              </w:rPr>
              <w:t>(primary-</w:t>
            </w:r>
            <w:r>
              <w:rPr>
                <w:spacing w:val="-2"/>
                <w:sz w:val="22"/>
              </w:rPr>
              <w:t>source)</w:t>
            </w:r>
          </w:p>
        </w:tc>
        <w:tc>
          <w:tcPr>
            <w:tcW w:w="4063" w:type="dxa"/>
          </w:tcPr>
          <w:p>
            <w:pPr>
              <w:pStyle w:val="TableParagraph"/>
              <w:spacing w:line="246" w:lineRule="exact"/>
              <w:ind w:left="108"/>
              <w:rPr>
                <w:sz w:val="22"/>
              </w:rPr>
            </w:pPr>
            <w:r>
              <w:rPr>
                <w:spacing w:val="-5"/>
                <w:sz w:val="22"/>
              </w:rPr>
              <w:t>15</w:t>
            </w:r>
          </w:p>
        </w:tc>
      </w:tr>
      <w:tr>
        <w:trPr>
          <w:trHeight w:val="280" w:hRule="atLeast"/>
        </w:trPr>
        <w:tc>
          <w:tcPr>
            <w:tcW w:w="3636" w:type="dxa"/>
          </w:tcPr>
          <w:p>
            <w:pPr>
              <w:pStyle w:val="TableParagraph"/>
              <w:spacing w:line="249" w:lineRule="exact"/>
              <w:rPr>
                <w:sz w:val="22"/>
              </w:rPr>
            </w:pPr>
            <w:r>
              <w:rPr>
                <w:sz w:val="22"/>
              </w:rPr>
              <w:t>Estimated</w:t>
            </w:r>
            <w:r>
              <w:rPr>
                <w:spacing w:val="-6"/>
                <w:sz w:val="22"/>
              </w:rPr>
              <w:t> </w:t>
            </w:r>
            <w:r>
              <w:rPr>
                <w:spacing w:val="-2"/>
                <w:sz w:val="22"/>
              </w:rPr>
              <w:t>(reconstruction)</w:t>
            </w:r>
          </w:p>
        </w:tc>
        <w:tc>
          <w:tcPr>
            <w:tcW w:w="4063" w:type="dxa"/>
          </w:tcPr>
          <w:p>
            <w:pPr>
              <w:pStyle w:val="TableParagraph"/>
              <w:spacing w:line="249" w:lineRule="exact"/>
              <w:ind w:left="108"/>
              <w:rPr>
                <w:sz w:val="22"/>
              </w:rPr>
            </w:pPr>
            <w:r>
              <w:rPr>
                <w:sz w:val="22"/>
              </w:rPr>
              <w:t>66 </w:t>
            </w:r>
            <w:r>
              <w:rPr>
                <w:spacing w:val="-2"/>
                <w:sz w:val="22"/>
              </w:rPr>
              <w:t>(81.5%)</w:t>
            </w:r>
          </w:p>
        </w:tc>
      </w:tr>
      <w:tr>
        <w:trPr>
          <w:trHeight w:val="280" w:hRule="atLeast"/>
        </w:trPr>
        <w:tc>
          <w:tcPr>
            <w:tcW w:w="3636" w:type="dxa"/>
          </w:tcPr>
          <w:p>
            <w:pPr>
              <w:pStyle w:val="TableParagraph"/>
              <w:spacing w:line="249" w:lineRule="exact"/>
              <w:rPr>
                <w:sz w:val="22"/>
              </w:rPr>
            </w:pPr>
            <w:r>
              <w:rPr>
                <w:spacing w:val="-2"/>
                <w:sz w:val="22"/>
              </w:rPr>
              <w:t>Failures</w:t>
            </w:r>
          </w:p>
        </w:tc>
        <w:tc>
          <w:tcPr>
            <w:tcW w:w="4063" w:type="dxa"/>
          </w:tcPr>
          <w:p>
            <w:pPr>
              <w:pStyle w:val="TableParagraph"/>
              <w:spacing w:line="249" w:lineRule="exact"/>
              <w:ind w:left="108"/>
              <w:rPr>
                <w:sz w:val="22"/>
              </w:rPr>
            </w:pPr>
            <w:r>
              <w:rPr>
                <w:sz w:val="22"/>
              </w:rPr>
              <w:t>60 </w:t>
            </w:r>
            <w:r>
              <w:rPr>
                <w:spacing w:val="-2"/>
                <w:sz w:val="22"/>
              </w:rPr>
              <w:t>(74.1%)</w:t>
            </w:r>
          </w:p>
        </w:tc>
      </w:tr>
      <w:tr>
        <w:trPr>
          <w:trHeight w:val="280" w:hRule="atLeast"/>
        </w:trPr>
        <w:tc>
          <w:tcPr>
            <w:tcW w:w="3636" w:type="dxa"/>
          </w:tcPr>
          <w:p>
            <w:pPr>
              <w:pStyle w:val="TableParagraph"/>
              <w:spacing w:line="249" w:lineRule="exact"/>
              <w:rPr>
                <w:sz w:val="22"/>
              </w:rPr>
            </w:pPr>
            <w:r>
              <w:rPr>
                <w:sz w:val="22"/>
              </w:rPr>
              <w:t>Year</w:t>
            </w:r>
            <w:r>
              <w:rPr>
                <w:spacing w:val="-3"/>
                <w:sz w:val="22"/>
              </w:rPr>
              <w:t> </w:t>
            </w:r>
            <w:r>
              <w:rPr>
                <w:spacing w:val="-2"/>
                <w:sz w:val="22"/>
              </w:rPr>
              <w:t>range</w:t>
            </w:r>
          </w:p>
        </w:tc>
        <w:tc>
          <w:tcPr>
            <w:tcW w:w="4063" w:type="dxa"/>
          </w:tcPr>
          <w:p>
            <w:pPr>
              <w:pStyle w:val="TableParagraph"/>
              <w:spacing w:line="249" w:lineRule="exact"/>
              <w:ind w:left="108"/>
              <w:rPr>
                <w:sz w:val="22"/>
              </w:rPr>
            </w:pPr>
            <w:r>
              <w:rPr>
                <w:sz w:val="22"/>
              </w:rPr>
              <w:t>1984–</w:t>
            </w:r>
            <w:r>
              <w:rPr>
                <w:spacing w:val="-4"/>
                <w:sz w:val="22"/>
              </w:rPr>
              <w:t>2023</w:t>
            </w:r>
          </w:p>
        </w:tc>
      </w:tr>
      <w:tr>
        <w:trPr>
          <w:trHeight w:val="282" w:hRule="atLeast"/>
        </w:trPr>
        <w:tc>
          <w:tcPr>
            <w:tcW w:w="3636" w:type="dxa"/>
          </w:tcPr>
          <w:p>
            <w:pPr>
              <w:pStyle w:val="TableParagraph"/>
              <w:spacing w:line="249" w:lineRule="exact"/>
              <w:rPr>
                <w:sz w:val="22"/>
              </w:rPr>
            </w:pPr>
            <w:r>
              <w:rPr>
                <w:spacing w:val="-2"/>
                <w:sz w:val="22"/>
              </w:rPr>
              <w:t>Countries</w:t>
            </w:r>
          </w:p>
        </w:tc>
        <w:tc>
          <w:tcPr>
            <w:tcW w:w="4063" w:type="dxa"/>
          </w:tcPr>
          <w:p>
            <w:pPr>
              <w:pStyle w:val="TableParagraph"/>
              <w:spacing w:line="249" w:lineRule="exact"/>
              <w:ind w:left="108"/>
              <w:rPr>
                <w:sz w:val="22"/>
              </w:rPr>
            </w:pPr>
            <w:r>
              <w:rPr>
                <w:spacing w:val="-5"/>
                <w:sz w:val="22"/>
              </w:rPr>
              <w:t>12</w:t>
            </w:r>
          </w:p>
        </w:tc>
      </w:tr>
      <w:tr>
        <w:trPr>
          <w:trHeight w:val="860" w:hRule="atLeast"/>
        </w:trPr>
        <w:tc>
          <w:tcPr>
            <w:tcW w:w="3636" w:type="dxa"/>
          </w:tcPr>
          <w:p>
            <w:pPr>
              <w:pStyle w:val="TableParagraph"/>
              <w:spacing w:before="30"/>
              <w:ind w:left="0"/>
              <w:rPr>
                <w:b/>
                <w:sz w:val="22"/>
              </w:rPr>
            </w:pPr>
          </w:p>
          <w:p>
            <w:pPr>
              <w:pStyle w:val="TableParagraph"/>
              <w:rPr>
                <w:sz w:val="22"/>
              </w:rPr>
            </w:pPr>
            <w:r>
              <w:rPr>
                <w:spacing w:val="-2"/>
                <w:sz w:val="22"/>
              </w:rPr>
              <w:t>Sources</w:t>
            </w:r>
          </w:p>
        </w:tc>
        <w:tc>
          <w:tcPr>
            <w:tcW w:w="4063" w:type="dxa"/>
          </w:tcPr>
          <w:p>
            <w:pPr>
              <w:pStyle w:val="TableParagraph"/>
              <w:spacing w:line="276" w:lineRule="auto"/>
              <w:ind w:left="108"/>
              <w:rPr>
                <w:sz w:val="22"/>
              </w:rPr>
            </w:pPr>
            <w:r>
              <w:rPr>
                <w:sz w:val="22"/>
              </w:rPr>
              <w:t>FDIC</w:t>
            </w:r>
            <w:r>
              <w:rPr>
                <w:spacing w:val="-7"/>
                <w:sz w:val="22"/>
              </w:rPr>
              <w:t> </w:t>
            </w:r>
            <w:r>
              <w:rPr>
                <w:sz w:val="22"/>
              </w:rPr>
              <w:t>BankFind,</w:t>
            </w:r>
            <w:r>
              <w:rPr>
                <w:spacing w:val="-6"/>
                <w:sz w:val="22"/>
              </w:rPr>
              <w:t> </w:t>
            </w:r>
            <w:r>
              <w:rPr>
                <w:sz w:val="22"/>
              </w:rPr>
              <w:t>BIS,</w:t>
            </w:r>
            <w:r>
              <w:rPr>
                <w:spacing w:val="-6"/>
                <w:sz w:val="22"/>
              </w:rPr>
              <w:t> </w:t>
            </w:r>
            <w:r>
              <w:rPr>
                <w:sz w:val="22"/>
              </w:rPr>
              <w:t>ECB,</w:t>
            </w:r>
            <w:r>
              <w:rPr>
                <w:spacing w:val="-6"/>
                <w:sz w:val="22"/>
              </w:rPr>
              <w:t> </w:t>
            </w:r>
            <w:r>
              <w:rPr>
                <w:sz w:val="22"/>
              </w:rPr>
              <w:t>Bank</w:t>
            </w:r>
            <w:r>
              <w:rPr>
                <w:spacing w:val="-8"/>
                <w:sz w:val="22"/>
              </w:rPr>
              <w:t> </w:t>
            </w:r>
            <w:r>
              <w:rPr>
                <w:sz w:val="22"/>
              </w:rPr>
              <w:t>of</w:t>
            </w:r>
            <w:r>
              <w:rPr>
                <w:spacing w:val="-5"/>
                <w:sz w:val="22"/>
              </w:rPr>
              <w:t> </w:t>
            </w:r>
            <w:r>
              <w:rPr>
                <w:sz w:val="22"/>
              </w:rPr>
              <w:t>Korea, FSB, FINMA, SNB, Central Bank of</w:t>
            </w:r>
          </w:p>
          <w:p>
            <w:pPr>
              <w:pStyle w:val="TableParagraph"/>
              <w:ind w:left="108"/>
              <w:rPr>
                <w:sz w:val="22"/>
              </w:rPr>
            </w:pPr>
            <w:r>
              <w:rPr>
                <w:sz w:val="22"/>
              </w:rPr>
              <w:t>Ireland,</w:t>
            </w:r>
            <w:r>
              <w:rPr>
                <w:spacing w:val="-2"/>
                <w:sz w:val="22"/>
              </w:rPr>
              <w:t> </w:t>
            </w:r>
            <w:r>
              <w:rPr>
                <w:sz w:val="22"/>
              </w:rPr>
              <w:t>SIC</w:t>
            </w:r>
            <w:r>
              <w:rPr>
                <w:spacing w:val="-3"/>
                <w:sz w:val="22"/>
              </w:rPr>
              <w:t> </w:t>
            </w:r>
            <w:r>
              <w:rPr>
                <w:spacing w:val="-2"/>
                <w:sz w:val="22"/>
              </w:rPr>
              <w:t>Iceland</w:t>
            </w:r>
          </w:p>
        </w:tc>
      </w:tr>
    </w:tbl>
    <w:p>
      <w:pPr>
        <w:pStyle w:val="BodyText"/>
        <w:ind w:right="380"/>
        <w:jc w:val="both"/>
      </w:pPr>
      <w:r>
        <w:rPr/>
        <w:t>Notes: 81.5% estimated proportion (66/81) is the paper’s most consequential</w:t>
      </w:r>
      <w:r>
        <w:rPr>
          <w:spacing w:val="40"/>
        </w:rPr>
        <w:t> </w:t>
      </w:r>
      <w:r>
        <w:rPr/>
        <w:t>structural limitation (L2). Primary-source verified episodes number 15: indymac</w:t>
      </w:r>
      <w:r>
        <w:rPr>
          <w:spacing w:val="40"/>
        </w:rPr>
        <w:t> </w:t>
      </w:r>
      <w:r>
        <w:rPr/>
        <w:t>(OTS press release cross-checked against SEC EDGAR 10-Q filings), wachovia (Wikipedia, a contemporaneous Citigroup court filing, and Mortgage Daily’s regulatory-insider</w:t>
      </w:r>
      <w:r>
        <w:rPr>
          <w:spacing w:val="-2"/>
        </w:rPr>
        <w:t> </w:t>
      </w:r>
      <w:r>
        <w:rPr/>
        <w:t>account,</w:t>
      </w:r>
      <w:r>
        <w:rPr>
          <w:spacing w:val="-1"/>
        </w:rPr>
        <w:t> </w:t>
      </w:r>
      <w:r>
        <w:rPr/>
        <w:t>cross-checked</w:t>
      </w:r>
      <w:r>
        <w:rPr>
          <w:spacing w:val="-1"/>
        </w:rPr>
        <w:t> </w:t>
      </w:r>
      <w:r>
        <w:rPr/>
        <w:t>against</w:t>
      </w:r>
      <w:r>
        <w:rPr>
          <w:spacing w:val="-1"/>
        </w:rPr>
        <w:t> </w:t>
      </w:r>
      <w:r>
        <w:rPr/>
        <w:t>each other), landsbanki</w:t>
      </w:r>
      <w:r>
        <w:rPr>
          <w:spacing w:val="-1"/>
        </w:rPr>
        <w:t> </w:t>
      </w:r>
      <w:r>
        <w:rPr/>
        <w:t>(SIC</w:t>
      </w:r>
      <w:r>
        <w:rPr>
          <w:spacing w:val="-1"/>
        </w:rPr>
        <w:t> </w:t>
      </w:r>
      <w:r>
        <w:rPr/>
        <w:t>Report Vol.6</w:t>
      </w:r>
      <w:r>
        <w:rPr>
          <w:spacing w:val="7"/>
        </w:rPr>
        <w:t> </w:t>
      </w:r>
      <w:r>
        <w:rPr/>
        <w:t>Ch.18,</w:t>
      </w:r>
      <w:r>
        <w:rPr>
          <w:spacing w:val="5"/>
        </w:rPr>
        <w:t> </w:t>
      </w:r>
      <w:r>
        <w:rPr/>
        <w:t>fetched</w:t>
      </w:r>
      <w:r>
        <w:rPr>
          <w:spacing w:val="7"/>
        </w:rPr>
        <w:t> </w:t>
      </w:r>
      <w:r>
        <w:rPr/>
        <w:t>and</w:t>
      </w:r>
      <w:r>
        <w:rPr>
          <w:spacing w:val="8"/>
        </w:rPr>
        <w:t> </w:t>
      </w:r>
      <w:r>
        <w:rPr/>
        <w:t>read</w:t>
      </w:r>
      <w:r>
        <w:rPr>
          <w:spacing w:val="7"/>
        </w:rPr>
        <w:t> </w:t>
      </w:r>
      <w:r>
        <w:rPr/>
        <w:t>directly</w:t>
      </w:r>
      <w:r>
        <w:rPr>
          <w:spacing w:val="3"/>
        </w:rPr>
        <w:t> </w:t>
      </w:r>
      <w:r>
        <w:rPr/>
        <w:t>at</w:t>
      </w:r>
      <w:r>
        <w:rPr>
          <w:spacing w:val="8"/>
        </w:rPr>
        <w:t> </w:t>
      </w:r>
      <w:r>
        <w:rPr/>
        <w:t>rna.is),</w:t>
      </w:r>
      <w:r>
        <w:rPr>
          <w:spacing w:val="7"/>
        </w:rPr>
        <w:t> </w:t>
      </w:r>
      <w:r>
        <w:rPr/>
        <w:t>Bank</w:t>
      </w:r>
      <w:r>
        <w:rPr>
          <w:spacing w:val="7"/>
        </w:rPr>
        <w:t> </w:t>
      </w:r>
      <w:r>
        <w:rPr/>
        <w:t>of</w:t>
      </w:r>
      <w:r>
        <w:rPr>
          <w:spacing w:val="7"/>
        </w:rPr>
        <w:t> </w:t>
      </w:r>
      <w:r>
        <w:rPr/>
        <w:t>New</w:t>
      </w:r>
      <w:r>
        <w:rPr>
          <w:spacing w:val="7"/>
        </w:rPr>
        <w:t> </w:t>
      </w:r>
      <w:r>
        <w:rPr/>
        <w:t>England</w:t>
      </w:r>
      <w:r>
        <w:rPr>
          <w:spacing w:val="7"/>
        </w:rPr>
        <w:t> </w:t>
      </w:r>
      <w:r>
        <w:rPr/>
        <w:t>(1991,</w:t>
      </w:r>
      <w:r>
        <w:rPr>
          <w:spacing w:val="8"/>
        </w:rPr>
        <w:t> </w:t>
      </w:r>
      <w:r>
        <w:rPr>
          <w:spacing w:val="-4"/>
        </w:rPr>
        <w:t>FDIC</w:t>
      </w:r>
    </w:p>
    <w:p>
      <w:pPr>
        <w:pStyle w:val="BodyText"/>
        <w:spacing w:after="0"/>
        <w:jc w:val="both"/>
        <w:sectPr>
          <w:pgSz w:w="11900" w:h="16820"/>
          <w:pgMar w:header="714" w:footer="0" w:top="1340" w:bottom="280" w:left="1700" w:right="1417"/>
        </w:sectPr>
      </w:pPr>
    </w:p>
    <w:p>
      <w:pPr>
        <w:pStyle w:val="BodyText"/>
        <w:spacing w:before="79"/>
        <w:ind w:right="264"/>
      </w:pPr>
      <w:r>
        <w:rPr/>
        <w:t>board</w:t>
      </w:r>
      <w:r>
        <w:rPr>
          <w:spacing w:val="80"/>
        </w:rPr>
        <w:t> </w:t>
      </w:r>
      <w:r>
        <w:rPr/>
        <w:t>records),</w:t>
      </w:r>
      <w:r>
        <w:rPr>
          <w:spacing w:val="80"/>
        </w:rPr>
        <w:t> </w:t>
      </w:r>
      <w:r>
        <w:rPr/>
        <w:t>and</w:t>
      </w:r>
      <w:r>
        <w:rPr>
          <w:spacing w:val="80"/>
        </w:rPr>
        <w:t> </w:t>
      </w:r>
      <w:r>
        <w:rPr/>
        <w:t>Countrywide</w:t>
      </w:r>
      <w:r>
        <w:rPr>
          <w:spacing w:val="80"/>
        </w:rPr>
        <w:t> </w:t>
      </w:r>
      <w:r>
        <w:rPr/>
        <w:t>Financial</w:t>
      </w:r>
      <w:r>
        <w:rPr>
          <w:spacing w:val="80"/>
        </w:rPr>
        <w:t> </w:t>
      </w:r>
      <w:r>
        <w:rPr/>
        <w:t>(2007,</w:t>
      </w:r>
      <w:r>
        <w:rPr>
          <w:spacing w:val="80"/>
        </w:rPr>
        <w:t> </w:t>
      </w:r>
      <w:r>
        <w:rPr/>
        <w:t>Federal</w:t>
      </w:r>
      <w:r>
        <w:rPr>
          <w:spacing w:val="80"/>
        </w:rPr>
        <w:t> </w:t>
      </w:r>
      <w:r>
        <w:rPr/>
        <w:t>Reserve</w:t>
      </w:r>
      <w:r>
        <w:rPr>
          <w:spacing w:val="80"/>
        </w:rPr>
        <w:t> </w:t>
      </w:r>
      <w:r>
        <w:rPr/>
        <w:t>Board</w:t>
      </w:r>
      <w:r>
        <w:rPr>
          <w:spacing w:val="80"/>
        </w:rPr>
        <w:t> </w:t>
      </w:r>
      <w:r>
        <w:rPr/>
        <w:t>staff memorandum;</w:t>
      </w:r>
      <w:r>
        <w:rPr>
          <w:spacing w:val="40"/>
        </w:rPr>
        <w:t> </w:t>
      </w:r>
      <w:r>
        <w:rPr/>
        <w:t>both</w:t>
      </w:r>
      <w:r>
        <w:rPr>
          <w:spacing w:val="40"/>
        </w:rPr>
        <w:t> </w:t>
      </w:r>
      <w:r>
        <w:rPr/>
        <w:t>documented</w:t>
      </w:r>
      <w:r>
        <w:rPr>
          <w:spacing w:val="40"/>
        </w:rPr>
        <w:t> </w:t>
      </w:r>
      <w:r>
        <w:rPr/>
        <w:t>in</w:t>
      </w:r>
      <w:r>
        <w:rPr>
          <w:spacing w:val="40"/>
        </w:rPr>
        <w:t> </w:t>
      </w:r>
      <w:r>
        <w:rPr/>
        <w:t>Federal</w:t>
      </w:r>
      <w:r>
        <w:rPr>
          <w:spacing w:val="40"/>
        </w:rPr>
        <w:t> </w:t>
      </w:r>
      <w:r>
        <w:rPr/>
        <w:t>Deposit</w:t>
      </w:r>
      <w:r>
        <w:rPr>
          <w:spacing w:val="40"/>
        </w:rPr>
        <w:t> </w:t>
      </w:r>
      <w:r>
        <w:rPr/>
        <w:t>Insurance</w:t>
      </w:r>
      <w:r>
        <w:rPr>
          <w:spacing w:val="40"/>
        </w:rPr>
        <w:t> </w:t>
      </w:r>
      <w:r>
        <w:rPr/>
        <w:t>Corporation,</w:t>
      </w:r>
      <w:r>
        <w:rPr>
          <w:spacing w:val="40"/>
        </w:rPr>
        <w:t> </w:t>
      </w:r>
      <w:r>
        <w:rPr/>
        <w:t>1998), together</w:t>
      </w:r>
      <w:r>
        <w:rPr>
          <w:spacing w:val="80"/>
        </w:rPr>
        <w:t> </w:t>
      </w:r>
      <w:r>
        <w:rPr/>
        <w:t>with</w:t>
      </w:r>
      <w:r>
        <w:rPr>
          <w:spacing w:val="80"/>
        </w:rPr>
        <w:t> </w:t>
      </w:r>
      <w:r>
        <w:rPr/>
        <w:t>ten</w:t>
      </w:r>
      <w:r>
        <w:rPr>
          <w:spacing w:val="80"/>
        </w:rPr>
        <w:t> </w:t>
      </w:r>
      <w:r>
        <w:rPr/>
        <w:t>further</w:t>
      </w:r>
      <w:r>
        <w:rPr>
          <w:spacing w:val="80"/>
        </w:rPr>
        <w:t> </w:t>
      </w:r>
      <w:r>
        <w:rPr/>
        <w:t>verified</w:t>
      </w:r>
      <w:r>
        <w:rPr>
          <w:spacing w:val="80"/>
        </w:rPr>
        <w:t> </w:t>
      </w:r>
      <w:r>
        <w:rPr/>
        <w:t>episodes</w:t>
      </w:r>
      <w:r>
        <w:rPr>
          <w:spacing w:val="80"/>
        </w:rPr>
        <w:t> </w:t>
      </w:r>
      <w:r>
        <w:rPr/>
        <w:t>detailed</w:t>
      </w:r>
      <w:r>
        <w:rPr>
          <w:spacing w:val="80"/>
        </w:rPr>
        <w:t> </w:t>
      </w:r>
      <w:r>
        <w:rPr/>
        <w:t>in</w:t>
      </w:r>
      <w:r>
        <w:rPr>
          <w:spacing w:val="80"/>
        </w:rPr>
        <w:t> </w:t>
      </w:r>
      <w:r>
        <w:rPr/>
        <w:t>Appendix</w:t>
      </w:r>
      <w:r>
        <w:rPr>
          <w:spacing w:val="80"/>
        </w:rPr>
        <w:t> </w:t>
      </w:r>
      <w:r>
        <w:rPr/>
        <w:t>D.</w:t>
      </w:r>
      <w:r>
        <w:rPr>
          <w:spacing w:val="80"/>
        </w:rPr>
        <w:t> </w:t>
      </w:r>
      <w:r>
        <w:rPr/>
        <w:t>The</w:t>
      </w:r>
      <w:r>
        <w:rPr>
          <w:spacing w:val="80"/>
        </w:rPr>
        <w:t> </w:t>
      </w:r>
      <w:r>
        <w:rPr/>
        <w:t>full verification</w:t>
      </w:r>
      <w:r>
        <w:rPr>
          <w:spacing w:val="80"/>
          <w:w w:val="150"/>
        </w:rPr>
        <w:t> </w:t>
      </w:r>
      <w:r>
        <w:rPr/>
        <w:t>methodology</w:t>
      </w:r>
      <w:r>
        <w:rPr>
          <w:spacing w:val="80"/>
          <w:w w:val="150"/>
        </w:rPr>
        <w:t> </w:t>
      </w:r>
      <w:r>
        <w:rPr/>
        <w:t>and</w:t>
      </w:r>
      <w:r>
        <w:rPr>
          <w:spacing w:val="80"/>
          <w:w w:val="150"/>
        </w:rPr>
        <w:t> </w:t>
      </w:r>
      <w:r>
        <w:rPr/>
        <w:t>source</w:t>
      </w:r>
      <w:r>
        <w:rPr>
          <w:spacing w:val="80"/>
          <w:w w:val="150"/>
        </w:rPr>
        <w:t> </w:t>
      </w:r>
      <w:r>
        <w:rPr/>
        <w:t>log</w:t>
      </w:r>
      <w:r>
        <w:rPr>
          <w:spacing w:val="80"/>
          <w:w w:val="150"/>
        </w:rPr>
        <w:t> </w:t>
      </w:r>
      <w:r>
        <w:rPr/>
        <w:t>for</w:t>
      </w:r>
      <w:r>
        <w:rPr>
          <w:spacing w:val="80"/>
          <w:w w:val="150"/>
        </w:rPr>
        <w:t> </w:t>
      </w:r>
      <w:r>
        <w:rPr/>
        <w:t>every</w:t>
      </w:r>
      <w:r>
        <w:rPr>
          <w:spacing w:val="80"/>
          <w:w w:val="150"/>
        </w:rPr>
        <w:t> </w:t>
      </w:r>
      <w:r>
        <w:rPr/>
        <w:t>episode</w:t>
      </w:r>
      <w:r>
        <w:rPr>
          <w:spacing w:val="80"/>
          <w:w w:val="150"/>
        </w:rPr>
        <w:t> </w:t>
      </w:r>
      <w:r>
        <w:rPr/>
        <w:t>are</w:t>
      </w:r>
      <w:r>
        <w:rPr>
          <w:spacing w:val="80"/>
          <w:w w:val="150"/>
        </w:rPr>
        <w:t> </w:t>
      </w:r>
      <w:r>
        <w:rPr/>
        <w:t>in</w:t>
      </w:r>
      <w:r>
        <w:rPr>
          <w:spacing w:val="80"/>
          <w:w w:val="150"/>
        </w:rPr>
        <w:t> </w:t>
      </w:r>
      <w:r>
        <w:rPr/>
        <w:t>Online</w:t>
      </w:r>
      <w:r>
        <w:rPr>
          <w:spacing w:val="40"/>
        </w:rPr>
        <w:t> </w:t>
      </w:r>
      <w:r>
        <w:rPr/>
        <w:t>Supplementary</w:t>
      </w:r>
      <w:r>
        <w:rPr>
          <w:spacing w:val="40"/>
        </w:rPr>
        <w:t> </w:t>
      </w:r>
      <w:r>
        <w:rPr/>
        <w:t>Appendix</w:t>
      </w:r>
      <w:r>
        <w:rPr>
          <w:spacing w:val="40"/>
        </w:rPr>
        <w:t> </w:t>
      </w:r>
      <w:r>
        <w:rPr/>
        <w:t>H.</w:t>
      </w:r>
      <w:r>
        <w:rPr>
          <w:spacing w:val="40"/>
        </w:rPr>
        <w:t> </w:t>
      </w:r>
      <w:r>
        <w:rPr/>
        <w:t>This</w:t>
      </w:r>
      <w:r>
        <w:rPr>
          <w:spacing w:val="40"/>
        </w:rPr>
        <w:t> </w:t>
      </w:r>
      <w:r>
        <w:rPr/>
        <w:t>is</w:t>
      </w:r>
      <w:r>
        <w:rPr>
          <w:spacing w:val="40"/>
        </w:rPr>
        <w:t> </w:t>
      </w:r>
      <w:r>
        <w:rPr/>
        <w:t>a</w:t>
      </w:r>
      <w:r>
        <w:rPr>
          <w:spacing w:val="40"/>
        </w:rPr>
        <w:t> </w:t>
      </w:r>
      <w:r>
        <w:rPr/>
        <w:t>dataset</w:t>
      </w:r>
      <w:r>
        <w:rPr>
          <w:spacing w:val="40"/>
        </w:rPr>
        <w:t> </w:t>
      </w:r>
      <w:r>
        <w:rPr/>
        <w:t>that</w:t>
      </w:r>
      <w:r>
        <w:rPr>
          <w:spacing w:val="40"/>
        </w:rPr>
        <w:t> </w:t>
      </w:r>
      <w:r>
        <w:rPr/>
        <w:t>can</w:t>
      </w:r>
      <w:r>
        <w:rPr>
          <w:spacing w:val="40"/>
        </w:rPr>
        <w:t> </w:t>
      </w:r>
      <w:r>
        <w:rPr/>
        <w:t>be</w:t>
      </w:r>
      <w:r>
        <w:rPr>
          <w:spacing w:val="40"/>
        </w:rPr>
        <w:t> </w:t>
      </w:r>
      <w:r>
        <w:rPr/>
        <w:t>enlarged</w:t>
      </w:r>
      <w:r>
        <w:rPr>
          <w:spacing w:val="40"/>
        </w:rPr>
        <w:t> </w:t>
      </w:r>
      <w:r>
        <w:rPr/>
        <w:t>only</w:t>
      </w:r>
      <w:r>
        <w:rPr>
          <w:spacing w:val="40"/>
        </w:rPr>
        <w:t> </w:t>
      </w:r>
      <w:r>
        <w:rPr/>
        <w:t>through further original regulatory-document collection of this kind. The Future Work section (Section</w:t>
      </w:r>
      <w:r>
        <w:rPr>
          <w:spacing w:val="40"/>
        </w:rPr>
        <w:t> </w:t>
      </w:r>
      <w:r>
        <w:rPr/>
        <w:t>7.4,</w:t>
      </w:r>
      <w:r>
        <w:rPr>
          <w:spacing w:val="37"/>
        </w:rPr>
        <w:t> </w:t>
      </w:r>
      <w:r>
        <w:rPr/>
        <w:t>priority</w:t>
      </w:r>
      <w:r>
        <w:rPr>
          <w:spacing w:val="35"/>
        </w:rPr>
        <w:t> </w:t>
      </w:r>
      <w:r>
        <w:rPr/>
        <w:t>i)</w:t>
      </w:r>
      <w:r>
        <w:rPr>
          <w:spacing w:val="39"/>
        </w:rPr>
        <w:t> </w:t>
      </w:r>
      <w:r>
        <w:rPr/>
        <w:t>provides</w:t>
      </w:r>
      <w:r>
        <w:rPr>
          <w:spacing w:val="40"/>
        </w:rPr>
        <w:t> </w:t>
      </w:r>
      <w:r>
        <w:rPr/>
        <w:t>a</w:t>
      </w:r>
      <w:r>
        <w:rPr>
          <w:spacing w:val="39"/>
        </w:rPr>
        <w:t> </w:t>
      </w:r>
      <w:r>
        <w:rPr/>
        <w:t>concrete</w:t>
      </w:r>
      <w:r>
        <w:rPr>
          <w:spacing w:val="39"/>
        </w:rPr>
        <w:t> </w:t>
      </w:r>
      <w:r>
        <w:rPr/>
        <w:t>acquisition</w:t>
      </w:r>
      <w:r>
        <w:rPr>
          <w:spacing w:val="40"/>
        </w:rPr>
        <w:t> </w:t>
      </w:r>
      <w:r>
        <w:rPr/>
        <w:t>roadmap</w:t>
      </w:r>
      <w:r>
        <w:rPr>
          <w:spacing w:val="40"/>
        </w:rPr>
        <w:t> </w:t>
      </w:r>
      <w:r>
        <w:rPr/>
        <w:t>targeting</w:t>
      </w:r>
      <w:r>
        <w:rPr>
          <w:spacing w:val="37"/>
        </w:rPr>
        <w:t> </w:t>
      </w:r>
      <w:r>
        <w:rPr/>
        <w:t>the</w:t>
      </w:r>
      <w:r>
        <w:rPr>
          <w:spacing w:val="36"/>
        </w:rPr>
        <w:t> </w:t>
      </w:r>
      <w:r>
        <w:rPr/>
        <w:t>Bank for</w:t>
      </w:r>
      <w:r>
        <w:rPr>
          <w:spacing w:val="40"/>
        </w:rPr>
        <w:t> </w:t>
      </w:r>
      <w:r>
        <w:rPr/>
        <w:t>International</w:t>
      </w:r>
      <w:r>
        <w:rPr>
          <w:spacing w:val="40"/>
        </w:rPr>
        <w:t> </w:t>
      </w:r>
      <w:r>
        <w:rPr/>
        <w:t>Settlements</w:t>
      </w:r>
      <w:r>
        <w:rPr>
          <w:spacing w:val="40"/>
        </w:rPr>
        <w:t> </w:t>
      </w:r>
      <w:r>
        <w:rPr/>
        <w:t>(BIS)</w:t>
      </w:r>
      <w:r>
        <w:rPr>
          <w:spacing w:val="40"/>
        </w:rPr>
        <w:t> </w:t>
      </w:r>
      <w:r>
        <w:rPr/>
        <w:t>Crisis</w:t>
      </w:r>
      <w:r>
        <w:rPr>
          <w:spacing w:val="40"/>
        </w:rPr>
        <w:t> </w:t>
      </w:r>
      <w:r>
        <w:rPr/>
        <w:t>Management</w:t>
      </w:r>
      <w:r>
        <w:rPr>
          <w:spacing w:val="40"/>
        </w:rPr>
        <w:t> </w:t>
      </w:r>
      <w:r>
        <w:rPr/>
        <w:t>Database,</w:t>
      </w:r>
      <w:r>
        <w:rPr>
          <w:spacing w:val="40"/>
        </w:rPr>
        <w:t> </w:t>
      </w:r>
      <w:r>
        <w:rPr/>
        <w:t>FDIC</w:t>
      </w:r>
      <w:r>
        <w:rPr>
          <w:spacing w:val="40"/>
        </w:rPr>
        <w:t> </w:t>
      </w:r>
      <w:r>
        <w:rPr/>
        <w:t>Historical Statistics,</w:t>
      </w:r>
      <w:r>
        <w:rPr>
          <w:spacing w:val="40"/>
        </w:rPr>
        <w:t> </w:t>
      </w:r>
      <w:r>
        <w:rPr/>
        <w:t>and</w:t>
      </w:r>
      <w:r>
        <w:rPr>
          <w:spacing w:val="40"/>
        </w:rPr>
        <w:t> </w:t>
      </w:r>
      <w:r>
        <w:rPr/>
        <w:t>ECB</w:t>
      </w:r>
      <w:r>
        <w:rPr>
          <w:spacing w:val="40"/>
        </w:rPr>
        <w:t> </w:t>
      </w:r>
      <w:r>
        <w:rPr/>
        <w:t>Supervisory</w:t>
      </w:r>
      <w:r>
        <w:rPr>
          <w:spacing w:val="40"/>
        </w:rPr>
        <w:t> </w:t>
      </w:r>
      <w:r>
        <w:rPr/>
        <w:t>Banking</w:t>
      </w:r>
      <w:r>
        <w:rPr>
          <w:spacing w:val="40"/>
        </w:rPr>
        <w:t> </w:t>
      </w:r>
      <w:r>
        <w:rPr/>
        <w:t>Statistics</w:t>
      </w:r>
      <w:r>
        <w:rPr>
          <w:spacing w:val="40"/>
        </w:rPr>
        <w:t> </w:t>
      </w:r>
      <w:r>
        <w:rPr/>
        <w:t>as</w:t>
      </w:r>
      <w:r>
        <w:rPr>
          <w:spacing w:val="40"/>
        </w:rPr>
        <w:t> </w:t>
      </w:r>
      <w:r>
        <w:rPr/>
        <w:t>the</w:t>
      </w:r>
      <w:r>
        <w:rPr>
          <w:spacing w:val="40"/>
        </w:rPr>
        <w:t> </w:t>
      </w:r>
      <w:r>
        <w:rPr/>
        <w:t>highest-leverage</w:t>
      </w:r>
      <w:r>
        <w:rPr>
          <w:spacing w:val="40"/>
        </w:rPr>
        <w:t> </w:t>
      </w:r>
      <w:r>
        <w:rPr/>
        <w:t>sources. Appendix</w:t>
      </w:r>
      <w:r>
        <w:rPr>
          <w:spacing w:val="40"/>
        </w:rPr>
        <w:t> </w:t>
      </w:r>
      <w:r>
        <w:rPr/>
        <w:t>D</w:t>
      </w:r>
      <w:r>
        <w:rPr>
          <w:spacing w:val="40"/>
        </w:rPr>
        <w:t> </w:t>
      </w:r>
      <w:r>
        <w:rPr/>
        <w:t>prints</w:t>
      </w:r>
      <w:r>
        <w:rPr>
          <w:spacing w:val="40"/>
        </w:rPr>
        <w:t> </w:t>
      </w:r>
      <w:r>
        <w:rPr/>
        <w:t>the</w:t>
      </w:r>
      <w:r>
        <w:rPr>
          <w:spacing w:val="40"/>
        </w:rPr>
        <w:t> </w:t>
      </w:r>
      <w:r>
        <w:rPr/>
        <w:t>full</w:t>
      </w:r>
      <w:r>
        <w:rPr>
          <w:spacing w:val="40"/>
        </w:rPr>
        <w:t> </w:t>
      </w:r>
      <w:r>
        <w:rPr/>
        <w:t>estimated-episode</w:t>
      </w:r>
      <w:r>
        <w:rPr>
          <w:spacing w:val="40"/>
        </w:rPr>
        <w:t> </w:t>
      </w:r>
      <w:r>
        <w:rPr/>
        <w:t>variable</w:t>
      </w:r>
      <w:r>
        <w:rPr>
          <w:spacing w:val="40"/>
        </w:rPr>
        <w:t> </w:t>
      </w:r>
      <w:r>
        <w:rPr/>
        <w:t>table</w:t>
      </w:r>
      <w:r>
        <w:rPr>
          <w:spacing w:val="40"/>
        </w:rPr>
        <w:t> </w:t>
      </w:r>
      <w:r>
        <w:rPr/>
        <w:t>(Table</w:t>
      </w:r>
      <w:r>
        <w:rPr>
          <w:spacing w:val="40"/>
        </w:rPr>
        <w:t> </w:t>
      </w:r>
      <w:r>
        <w:rPr/>
        <w:t>D2).</w:t>
      </w:r>
      <w:r>
        <w:rPr>
          <w:spacing w:val="40"/>
        </w:rPr>
        <w:t> </w:t>
      </w:r>
      <w:r>
        <w:rPr/>
        <w:t>Indymac, wachovia, and landsbanki’s rows are retained there for audit continuity and marked</w:t>
      </w:r>
      <w:r>
        <w:rPr>
          <w:spacing w:val="80"/>
        </w:rPr>
        <w:t> </w:t>
      </w:r>
      <w:r>
        <w:rPr/>
        <w:t>[1], [3], and [7] respectively, as no longer counted among the 66 estimated episodes</w:t>
      </w:r>
      <w:r>
        <w:rPr>
          <w:spacing w:val="40"/>
        </w:rPr>
        <w:t> </w:t>
      </w:r>
      <w:r>
        <w:rPr/>
        <w:t>following their re-verifications (§7.3, items 4, 6, 12), so the table’s original 62 printed rows</w:t>
      </w:r>
      <w:r>
        <w:rPr>
          <w:spacing w:val="80"/>
        </w:rPr>
        <w:t> </w:t>
      </w:r>
      <w:r>
        <w:rPr/>
        <w:t>correspond</w:t>
      </w:r>
      <w:r>
        <w:rPr>
          <w:spacing w:val="80"/>
        </w:rPr>
        <w:t> </w:t>
      </w:r>
      <w:r>
        <w:rPr/>
        <w:t>to</w:t>
      </w:r>
      <w:r>
        <w:rPr>
          <w:spacing w:val="80"/>
        </w:rPr>
        <w:t> </w:t>
      </w:r>
      <w:r>
        <w:rPr/>
        <w:t>59</w:t>
      </w:r>
      <w:r>
        <w:rPr>
          <w:spacing w:val="80"/>
        </w:rPr>
        <w:t> </w:t>
      </w:r>
      <w:r>
        <w:rPr/>
        <w:t>currently-estimated</w:t>
      </w:r>
      <w:r>
        <w:rPr>
          <w:spacing w:val="80"/>
        </w:rPr>
        <w:t> </w:t>
      </w:r>
      <w:r>
        <w:rPr/>
        <w:t>episodes</w:t>
      </w:r>
      <w:r>
        <w:rPr>
          <w:spacing w:val="80"/>
        </w:rPr>
        <w:t> </w:t>
      </w:r>
      <w:r>
        <w:rPr/>
        <w:t>plus</w:t>
      </w:r>
      <w:r>
        <w:rPr>
          <w:spacing w:val="80"/>
        </w:rPr>
        <w:t> </w:t>
      </w:r>
      <w:r>
        <w:rPr/>
        <w:t>these</w:t>
      </w:r>
      <w:r>
        <w:rPr>
          <w:spacing w:val="80"/>
        </w:rPr>
        <w:t> </w:t>
      </w:r>
      <w:r>
        <w:rPr/>
        <w:t>three</w:t>
      </w:r>
      <w:r>
        <w:rPr>
          <w:spacing w:val="80"/>
        </w:rPr>
        <w:t> </w:t>
      </w:r>
      <w:r>
        <w:rPr/>
        <w:t>annotated exceptions; a subsequent audit found six further estimated episodes (2008–2016) had been omitted from that listing, since added as Table D2 Part 4. The replication archive contains the same machine-readable rows for audit and is the authoritative source of record. Measurement-error sensitivity for estimated episodes is reported in Appendix</w:t>
      </w:r>
      <w:r>
        <w:rPr>
          <w:spacing w:val="80"/>
        </w:rPr>
        <w:t> </w:t>
      </w:r>
      <w:r>
        <w:rPr>
          <w:spacing w:val="-6"/>
        </w:rPr>
        <w:t>E.</w:t>
      </w:r>
    </w:p>
    <w:p>
      <w:pPr>
        <w:pStyle w:val="Heading2"/>
        <w:numPr>
          <w:ilvl w:val="1"/>
          <w:numId w:val="1"/>
        </w:numPr>
        <w:tabs>
          <w:tab w:pos="457" w:val="left" w:leader="none"/>
        </w:tabs>
        <w:spacing w:line="240" w:lineRule="auto" w:before="240" w:after="0"/>
        <w:ind w:left="457" w:right="0" w:hanging="358"/>
        <w:jc w:val="left"/>
        <w:rPr>
          <w:i/>
        </w:rPr>
      </w:pPr>
      <w:r>
        <w:rPr>
          <w:i/>
        </w:rPr>
        <w:t>Evidence</w:t>
      </w:r>
      <w:r>
        <w:rPr>
          <w:i/>
          <w:spacing w:val="-15"/>
        </w:rPr>
        <w:t> </w:t>
      </w:r>
      <w:r>
        <w:rPr>
          <w:i/>
        </w:rPr>
        <w:t>Hierarchy</w:t>
      </w:r>
      <w:r>
        <w:rPr>
          <w:i/>
          <w:spacing w:val="-15"/>
        </w:rPr>
        <w:t> </w:t>
      </w:r>
      <w:r>
        <w:rPr>
          <w:i/>
        </w:rPr>
        <w:t>and</w:t>
      </w:r>
      <w:r>
        <w:rPr>
          <w:i/>
          <w:spacing w:val="-14"/>
        </w:rPr>
        <w:t> </w:t>
      </w:r>
      <w:r>
        <w:rPr>
          <w:i/>
        </w:rPr>
        <w:t>Data-Provenance</w:t>
      </w:r>
      <w:r>
        <w:rPr>
          <w:i/>
          <w:spacing w:val="-15"/>
        </w:rPr>
        <w:t> </w:t>
      </w:r>
      <w:r>
        <w:rPr>
          <w:i/>
          <w:spacing w:val="-2"/>
        </w:rPr>
        <w:t>Scope</w:t>
      </w:r>
    </w:p>
    <w:p>
      <w:pPr>
        <w:pStyle w:val="BodyText"/>
        <w:spacing w:before="78"/>
        <w:ind w:left="0"/>
        <w:rPr>
          <w:b/>
          <w:i/>
        </w:rPr>
      </w:pPr>
    </w:p>
    <w:p>
      <w:pPr>
        <w:pStyle w:val="BodyText"/>
        <w:spacing w:line="480" w:lineRule="auto"/>
        <w:ind w:right="314"/>
        <w:jc w:val="both"/>
      </w:pPr>
      <w:r>
        <w:rPr/>
        <w:t>To prevent overclaiming, all results are interpreted under a three-tier evidence hierarchy. Tier A comprises quantities directly estimated from the n=81 crisis panel, especially the reduced-form concentration×shock coefficient and its OLS/MLE uncertainty. Tier B comprises robustness checks that depend on reconstructed data quality, including measurement-error perturbations and verified/estimated stratification. Tier C comprises CBDC design simulations that use literature-bounded CBDC-specific parameters and therefore support comparative design rankings rather than precise crisis forecasts. Because 66 of 81 episodes (81.5%) are reconstructed, the manuscript treats every coefficient interval as conditional on the documented reconstruction rules and does not claim standalone predictive validity. As a partial mitigation, the total-deposits figure (deposits_bn) for 15 reconstructed U.S. episodes</w:t>
      </w:r>
      <w:r>
        <w:rPr>
          <w:spacing w:val="80"/>
        </w:rPr>
        <w:t> </w:t>
      </w:r>
      <w:r>
        <w:rPr/>
        <w:t>in the 2008–2010 FDIC/hist subgroup is cross-checked against primary-source FDIC BankFind failure records (identified by FDIC certificate number), with agreement ranging</w:t>
      </w:r>
      <w:r>
        <w:rPr>
          <w:spacing w:val="16"/>
        </w:rPr>
        <w:t> </w:t>
      </w:r>
      <w:r>
        <w:rPr/>
        <w:t>from</w:t>
      </w:r>
      <w:r>
        <w:rPr>
          <w:spacing w:val="20"/>
        </w:rPr>
        <w:t> </w:t>
      </w:r>
      <w:r>
        <w:rPr/>
        <w:t>within</w:t>
      </w:r>
      <w:r>
        <w:rPr>
          <w:spacing w:val="19"/>
        </w:rPr>
        <w:t> </w:t>
      </w:r>
      <w:r>
        <w:rPr/>
        <w:t>0.1%</w:t>
      </w:r>
      <w:r>
        <w:rPr>
          <w:spacing w:val="18"/>
        </w:rPr>
        <w:t> </w:t>
      </w:r>
      <w:r>
        <w:rPr/>
        <w:t>to</w:t>
      </w:r>
      <w:r>
        <w:rPr>
          <w:spacing w:val="17"/>
        </w:rPr>
        <w:t> </w:t>
      </w:r>
      <w:r>
        <w:rPr/>
        <w:t>a</w:t>
      </w:r>
      <w:r>
        <w:rPr>
          <w:spacing w:val="18"/>
        </w:rPr>
        <w:t> </w:t>
      </w:r>
      <w:r>
        <w:rPr/>
        <w:t>maximum</w:t>
      </w:r>
      <w:r>
        <w:rPr>
          <w:spacing w:val="17"/>
        </w:rPr>
        <w:t> </w:t>
      </w:r>
      <w:r>
        <w:rPr/>
        <w:t>discrepancy</w:t>
      </w:r>
      <w:r>
        <w:rPr>
          <w:spacing w:val="15"/>
        </w:rPr>
        <w:t> </w:t>
      </w:r>
      <w:r>
        <w:rPr/>
        <w:t>of</w:t>
      </w:r>
      <w:r>
        <w:rPr>
          <w:spacing w:val="16"/>
        </w:rPr>
        <w:t> </w:t>
      </w:r>
      <w:r>
        <w:rPr/>
        <w:t>42%</w:t>
      </w:r>
      <w:r>
        <w:rPr>
          <w:spacing w:val="19"/>
        </w:rPr>
        <w:t> </w:t>
      </w:r>
      <w:r>
        <w:rPr/>
        <w:t>across</w:t>
      </w:r>
      <w:r>
        <w:rPr>
          <w:spacing w:val="19"/>
        </w:rPr>
        <w:t> </w:t>
      </w:r>
      <w:r>
        <w:rPr/>
        <w:t>these</w:t>
      </w:r>
      <w:r>
        <w:rPr>
          <w:spacing w:val="18"/>
        </w:rPr>
        <w:t> </w:t>
      </w:r>
      <w:r>
        <w:rPr>
          <w:spacing w:val="-2"/>
        </w:rPr>
        <w:t>episodes;</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20"/>
        <w:jc w:val="both"/>
      </w:pPr>
      <w:r>
        <w:rPr/>
        <w:t>deposits_bn for this subgroup is set to the primary-source figure throughout. This check confirms institution identity, failure date, and deposit level, but does not extend to peak_outflow, which remains a reconstructed estimate for these episodes (see Section 7.2, L2, for why peak_outflow could not be verified from available primary sources). Indymac, initially part of this subgroup, has its peak_outflow independently verified via a non-Call-Report primary source (a regulator press release rather than quarterly filings) and is accordingly counted among the verified, not reconstructed, episodes. The strongest policy claim is therefore ordinal: under the same outflow channel and shock environment, Dynamic Cap+Tiered is more stable than Fixed</w:t>
      </w:r>
      <w:r>
        <w:rPr>
          <w:spacing w:val="80"/>
          <w:w w:val="150"/>
        </w:rPr>
        <w:t> </w:t>
      </w:r>
      <w:r>
        <w:rPr/>
        <w:t>Limit and Unconstrained CBDC.</w:t>
      </w:r>
    </w:p>
    <w:p>
      <w:pPr>
        <w:pStyle w:val="BodyText"/>
        <w:spacing w:line="480" w:lineRule="auto"/>
        <w:ind w:right="316"/>
        <w:jc w:val="both"/>
      </w:pPr>
      <w:r>
        <w:rPr/>
        <w:t>The 66 estimated episodes span a reliability continuum from high-confidence (Grade A:</w:t>
      </w:r>
      <w:r>
        <w:rPr>
          <w:spacing w:val="40"/>
        </w:rPr>
        <w:t> </w:t>
      </w:r>
      <w:r>
        <w:rPr/>
        <w:t>public</w:t>
      </w:r>
      <w:r>
        <w:rPr>
          <w:spacing w:val="40"/>
        </w:rPr>
        <w:t> </w:t>
      </w:r>
      <w:r>
        <w:rPr/>
        <w:t>FDIC</w:t>
      </w:r>
      <w:r>
        <w:rPr>
          <w:spacing w:val="40"/>
        </w:rPr>
        <w:t> </w:t>
      </w:r>
      <w:r>
        <w:rPr/>
        <w:t>BankFind</w:t>
      </w:r>
      <w:r>
        <w:rPr>
          <w:spacing w:val="40"/>
        </w:rPr>
        <w:t> </w:t>
      </w:r>
      <w:r>
        <w:rPr/>
        <w:t>or</w:t>
      </w:r>
      <w:r>
        <w:rPr>
          <w:spacing w:val="40"/>
        </w:rPr>
        <w:t> </w:t>
      </w:r>
      <w:r>
        <w:rPr/>
        <w:t>central-bank</w:t>
      </w:r>
      <w:r>
        <w:rPr>
          <w:spacing w:val="40"/>
        </w:rPr>
        <w:t> </w:t>
      </w:r>
      <w:r>
        <w:rPr/>
        <w:t>supervisory</w:t>
      </w:r>
      <w:r>
        <w:rPr>
          <w:spacing w:val="40"/>
        </w:rPr>
        <w:t> </w:t>
      </w:r>
      <w:r>
        <w:rPr/>
        <w:t>data</w:t>
      </w:r>
      <w:r>
        <w:rPr>
          <w:spacing w:val="40"/>
        </w:rPr>
        <w:t> </w:t>
      </w:r>
      <w:r>
        <w:rPr/>
        <w:t>with</w:t>
      </w:r>
      <w:r>
        <w:rPr>
          <w:spacing w:val="40"/>
        </w:rPr>
        <w:t> </w:t>
      </w:r>
      <w:r>
        <w:rPr/>
        <w:t>two</w:t>
      </w:r>
      <w:r>
        <w:rPr>
          <w:spacing w:val="40"/>
        </w:rPr>
        <w:t> </w:t>
      </w:r>
      <w:r>
        <w:rPr/>
        <w:t>or</w:t>
      </w:r>
      <w:r>
        <w:rPr>
          <w:spacing w:val="40"/>
        </w:rPr>
        <w:t> </w:t>
      </w:r>
      <w:r>
        <w:rPr/>
        <w:t>more cross-verified sources) to single-source interpolated (Grade C). Approximate counts</w:t>
      </w:r>
      <w:r>
        <w:rPr>
          <w:spacing w:val="40"/>
        </w:rPr>
        <w:t> </w:t>
      </w:r>
      <w:r>
        <w:rPr/>
        <w:t>on the original 62-episode table (Grade A n≈28, Grade B n≈24, Grade C n≈13; indicative and non-exclusive), which already includes the seven episodes reclassified by</w:t>
      </w:r>
      <w:r>
        <w:rPr>
          <w:spacing w:val="40"/>
        </w:rPr>
        <w:t> </w:t>
      </w:r>
      <w:r>
        <w:rPr/>
        <w:t>§G.2, have not been extended to the seven other estimated episodes that are not separately tabulated in Appendix D.2 (see its notes); those seven are provisionally treated as Grade B pending grading. Full variable derivation rules and episode-level reliability are reported in Appendix D; the data-driven robustness check is the</w:t>
      </w:r>
      <w:r>
        <w:rPr>
          <w:spacing w:val="80"/>
        </w:rPr>
        <w:t> </w:t>
      </w:r>
      <w:r>
        <w:rPr/>
        <w:t>verified-vs-estimated split (Appendix F), not a Grade-C dropout regression.</w:t>
      </w:r>
    </w:p>
    <w:p>
      <w:pPr>
        <w:pStyle w:val="Heading2"/>
        <w:numPr>
          <w:ilvl w:val="1"/>
          <w:numId w:val="1"/>
        </w:numPr>
        <w:tabs>
          <w:tab w:pos="457" w:val="left" w:leader="none"/>
        </w:tabs>
        <w:spacing w:line="240" w:lineRule="auto" w:before="234" w:after="0"/>
        <w:ind w:left="457" w:right="0" w:hanging="358"/>
        <w:jc w:val="both"/>
        <w:rPr>
          <w:i/>
        </w:rPr>
      </w:pPr>
      <w:r>
        <w:rPr>
          <w:i/>
          <w:spacing w:val="-2"/>
        </w:rPr>
        <w:t>Reconstructed-Episode</w:t>
      </w:r>
      <w:r>
        <w:rPr>
          <w:i/>
          <w:spacing w:val="5"/>
        </w:rPr>
        <w:t> </w:t>
      </w:r>
      <w:r>
        <w:rPr>
          <w:i/>
          <w:spacing w:val="-2"/>
        </w:rPr>
        <w:t>Dependence:</w:t>
      </w:r>
      <w:r>
        <w:rPr>
          <w:i/>
          <w:spacing w:val="5"/>
        </w:rPr>
        <w:t> </w:t>
      </w:r>
      <w:r>
        <w:rPr>
          <w:i/>
          <w:spacing w:val="-2"/>
        </w:rPr>
        <w:t>Robustness</w:t>
      </w:r>
      <w:r>
        <w:rPr>
          <w:i/>
          <w:spacing w:val="4"/>
        </w:rPr>
        <w:t> </w:t>
      </w:r>
      <w:r>
        <w:rPr>
          <w:i/>
          <w:spacing w:val="-2"/>
        </w:rPr>
        <w:t>Evidence</w:t>
      </w:r>
    </w:p>
    <w:p>
      <w:pPr>
        <w:pStyle w:val="BodyText"/>
        <w:spacing w:before="80"/>
        <w:ind w:left="0"/>
        <w:rPr>
          <w:b/>
          <w:i/>
        </w:rPr>
      </w:pPr>
    </w:p>
    <w:p>
      <w:pPr>
        <w:pStyle w:val="BodyText"/>
        <w:spacing w:line="480" w:lineRule="auto" w:before="1"/>
        <w:ind w:right="377"/>
        <w:jc w:val="both"/>
      </w:pPr>
      <w:r>
        <w:rPr/>
        <w:t>The 66 estimated episodes are not treated as primary-source observations. They enlarge cross-regime coverage while inference is conditioned on documented reconstruction rules. Four non-equivalent robustness checks address reconstruction dependence.</w:t>
      </w:r>
      <w:r>
        <w:rPr>
          <w:spacing w:val="30"/>
        </w:rPr>
        <w:t> </w:t>
      </w:r>
      <w:r>
        <w:rPr/>
        <w:t>(i)</w:t>
      </w:r>
      <w:r>
        <w:rPr>
          <w:spacing w:val="30"/>
        </w:rPr>
        <w:t> </w:t>
      </w:r>
      <w:r>
        <w:rPr/>
        <w:t>Measurement-error</w:t>
      </w:r>
      <w:r>
        <w:rPr>
          <w:spacing w:val="31"/>
        </w:rPr>
        <w:t> </w:t>
      </w:r>
      <w:r>
        <w:rPr/>
        <w:t>perturbation</w:t>
      </w:r>
      <w:r>
        <w:rPr>
          <w:spacing w:val="32"/>
        </w:rPr>
        <w:t> </w:t>
      </w:r>
      <w:r>
        <w:rPr/>
        <w:t>(±5pp</w:t>
      </w:r>
      <w:r>
        <w:rPr>
          <w:spacing w:val="32"/>
        </w:rPr>
        <w:t> </w:t>
      </w:r>
      <w:r>
        <w:rPr/>
        <w:t>on</w:t>
      </w:r>
      <w:r>
        <w:rPr>
          <w:spacing w:val="29"/>
        </w:rPr>
        <w:t> </w:t>
      </w:r>
      <w:r>
        <w:rPr/>
        <w:t>peak_outflow,</w:t>
      </w:r>
      <w:r>
        <w:rPr>
          <w:spacing w:val="55"/>
          <w:w w:val="150"/>
        </w:rPr>
        <w:t> </w:t>
      </w:r>
      <w:r>
        <w:rPr/>
        <w:t>±0.10</w:t>
      </w:r>
      <w:r>
        <w:rPr>
          <w:spacing w:val="30"/>
        </w:rPr>
        <w:t> </w:t>
      </w:r>
      <w:r>
        <w:rPr>
          <w:spacing w:val="-5"/>
        </w:rPr>
        <w:t>on</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02"/>
      </w:pPr>
      <w:r>
        <w:rPr/>
        <w:t>severity)</w:t>
      </w:r>
      <w:r>
        <w:rPr>
          <w:spacing w:val="40"/>
        </w:rPr>
        <w:t> </w:t>
      </w:r>
      <w:r>
        <w:rPr/>
        <w:t>gives</w:t>
      </w:r>
      <w:r>
        <w:rPr>
          <w:spacing w:val="62"/>
        </w:rPr>
        <w:t> </w:t>
      </w:r>
      <w:r>
        <w:rPr/>
        <w:t>θ₂</w:t>
      </w:r>
      <w:r>
        <w:rPr>
          <w:spacing w:val="80"/>
          <w:w w:val="150"/>
        </w:rPr>
        <w:t> </w:t>
      </w:r>
      <w:r>
        <w:rPr/>
        <w:t>&gt;</w:t>
      </w:r>
      <w:r>
        <w:rPr>
          <w:spacing w:val="40"/>
        </w:rPr>
        <w:t> </w:t>
      </w:r>
      <w:r>
        <w:rPr/>
        <w:t>0</w:t>
      </w:r>
      <w:r>
        <w:rPr>
          <w:spacing w:val="40"/>
        </w:rPr>
        <w:t> </w:t>
      </w:r>
      <w:r>
        <w:rPr/>
        <w:t>in</w:t>
      </w:r>
      <w:r>
        <w:rPr>
          <w:spacing w:val="40"/>
        </w:rPr>
        <w:t> </w:t>
      </w:r>
      <w:r>
        <w:rPr/>
        <w:t>100%</w:t>
      </w:r>
      <w:r>
        <w:rPr>
          <w:spacing w:val="40"/>
        </w:rPr>
        <w:t> </w:t>
      </w:r>
      <w:r>
        <w:rPr/>
        <w:t>of</w:t>
      </w:r>
      <w:r>
        <w:rPr>
          <w:spacing w:val="40"/>
        </w:rPr>
        <w:t> </w:t>
      </w:r>
      <w:r>
        <w:rPr/>
        <w:t>200</w:t>
      </w:r>
      <w:r>
        <w:rPr>
          <w:spacing w:val="40"/>
        </w:rPr>
        <w:t> </w:t>
      </w:r>
      <w:r>
        <w:rPr/>
        <w:t>bootstrap</w:t>
      </w:r>
      <w:r>
        <w:rPr>
          <w:spacing w:val="40"/>
        </w:rPr>
        <w:t> </w:t>
      </w:r>
      <w:r>
        <w:rPr/>
        <w:t>draws</w:t>
      </w:r>
      <w:r>
        <w:rPr>
          <w:spacing w:val="40"/>
        </w:rPr>
        <w:t> </w:t>
      </w:r>
      <w:r>
        <w:rPr/>
        <w:t>each</w:t>
      </w:r>
      <w:r>
        <w:rPr>
          <w:spacing w:val="40"/>
        </w:rPr>
        <w:t> </w:t>
      </w:r>
      <w:r>
        <w:rPr/>
        <w:t>(Appendix</w:t>
      </w:r>
      <w:r>
        <w:rPr>
          <w:spacing w:val="62"/>
        </w:rPr>
        <w:t> </w:t>
      </w:r>
      <w:r>
        <w:rPr/>
        <w:t>E).</w:t>
      </w:r>
      <w:r>
        <w:rPr>
          <w:spacing w:val="40"/>
        </w:rPr>
        <w:t> </w:t>
      </w:r>
      <w:r>
        <w:rPr/>
        <w:t>(ii)</w:t>
      </w:r>
      <w:r>
        <w:rPr>
          <w:spacing w:val="40"/>
        </w:rPr>
        <w:t> </w:t>
      </w:r>
      <w:r>
        <w:rPr/>
        <w:t>Reliability-weighted</w:t>
      </w:r>
      <w:r>
        <w:rPr>
          <w:spacing w:val="80"/>
        </w:rPr>
        <w:t> </w:t>
      </w:r>
      <w:r>
        <w:rPr/>
        <w:t>OLS</w:t>
      </w:r>
      <w:r>
        <w:rPr>
          <w:spacing w:val="80"/>
        </w:rPr>
        <w:t> </w:t>
      </w:r>
      <w:r>
        <w:rPr/>
        <w:t>gives</w:t>
      </w:r>
      <w:r>
        <w:rPr>
          <w:spacing w:val="80"/>
        </w:rPr>
        <w:t> </w:t>
      </w:r>
      <w:r>
        <w:rPr/>
        <w:t>θ₂</w:t>
      </w:r>
      <w:r>
        <w:rPr>
          <w:spacing w:val="80"/>
          <w:w w:val="150"/>
        </w:rPr>
        <w:t> </w:t>
      </w:r>
      <w:r>
        <w:rPr/>
        <w:t>positive</w:t>
      </w:r>
      <w:r>
        <w:rPr>
          <w:spacing w:val="80"/>
        </w:rPr>
        <w:t> </w:t>
      </w:r>
      <w:r>
        <w:rPr/>
        <w:t>and</w:t>
      </w:r>
      <w:r>
        <w:rPr>
          <w:spacing w:val="80"/>
        </w:rPr>
        <w:t> </w:t>
      </w:r>
      <w:r>
        <w:rPr/>
        <w:t>significant</w:t>
      </w:r>
      <w:r>
        <w:rPr>
          <w:spacing w:val="80"/>
        </w:rPr>
        <w:t> </w:t>
      </w:r>
      <w:r>
        <w:rPr/>
        <w:t>under</w:t>
      </w:r>
      <w:r>
        <w:rPr>
          <w:spacing w:val="80"/>
        </w:rPr>
        <w:t> </w:t>
      </w:r>
      <w:r>
        <w:rPr/>
        <w:t>all</w:t>
      </w:r>
      <w:r>
        <w:rPr>
          <w:spacing w:val="80"/>
        </w:rPr>
        <w:t> </w:t>
      </w:r>
      <w:r>
        <w:rPr/>
        <w:t>weighting schemes</w:t>
      </w:r>
      <w:r>
        <w:rPr>
          <w:spacing w:val="40"/>
        </w:rPr>
        <w:t> </w:t>
      </w:r>
      <w:r>
        <w:rPr/>
        <w:t>(Appendix</w:t>
      </w:r>
      <w:r>
        <w:rPr>
          <w:spacing w:val="40"/>
        </w:rPr>
        <w:t> </w:t>
      </w:r>
      <w:r>
        <w:rPr/>
        <w:t>F,</w:t>
      </w:r>
      <w:r>
        <w:rPr>
          <w:spacing w:val="40"/>
        </w:rPr>
        <w:t> </w:t>
      </w:r>
      <w:r>
        <w:rPr/>
        <w:t>Table</w:t>
      </w:r>
      <w:r>
        <w:rPr>
          <w:spacing w:val="40"/>
        </w:rPr>
        <w:t> </w:t>
      </w:r>
      <w:r>
        <w:rPr/>
        <w:t>F2).</w:t>
      </w:r>
      <w:r>
        <w:rPr>
          <w:spacing w:val="40"/>
        </w:rPr>
        <w:t> </w:t>
      </w:r>
      <w:r>
        <w:rPr/>
        <w:t>(iii)</w:t>
      </w:r>
      <w:r>
        <w:rPr>
          <w:spacing w:val="40"/>
        </w:rPr>
        <w:t> </w:t>
      </w:r>
      <w:r>
        <w:rPr/>
        <w:t>Verified-only</w:t>
      </w:r>
      <w:r>
        <w:rPr>
          <w:spacing w:val="40"/>
        </w:rPr>
        <w:t> </w:t>
      </w:r>
      <w:r>
        <w:rPr/>
        <w:t>and</w:t>
      </w:r>
      <w:r>
        <w:rPr>
          <w:spacing w:val="40"/>
        </w:rPr>
        <w:t> </w:t>
      </w:r>
      <w:r>
        <w:rPr/>
        <w:t>estimated-only</w:t>
      </w:r>
      <w:r>
        <w:rPr>
          <w:spacing w:val="40"/>
        </w:rPr>
        <w:t> </w:t>
      </w:r>
      <w:r>
        <w:rPr/>
        <w:t>stratified re-estimation gives a positive sign in both strata (Table 2d, Appendix F). (iv) Random dropout</w:t>
      </w:r>
      <w:r>
        <w:rPr>
          <w:spacing w:val="72"/>
        </w:rPr>
        <w:t> </w:t>
      </w:r>
      <w:r>
        <w:rPr/>
        <w:t>of</w:t>
      </w:r>
      <w:r>
        <w:rPr>
          <w:spacing w:val="74"/>
        </w:rPr>
        <w:t> </w:t>
      </w:r>
      <w:r>
        <w:rPr/>
        <w:t>10–30%</w:t>
      </w:r>
      <w:r>
        <w:rPr>
          <w:spacing w:val="70"/>
        </w:rPr>
        <w:t> </w:t>
      </w:r>
      <w:r>
        <w:rPr/>
        <w:t>of</w:t>
      </w:r>
      <w:r>
        <w:rPr>
          <w:spacing w:val="74"/>
        </w:rPr>
        <w:t> </w:t>
      </w:r>
      <w:r>
        <w:rPr/>
        <w:t>estimated</w:t>
      </w:r>
      <w:r>
        <w:rPr>
          <w:spacing w:val="74"/>
        </w:rPr>
        <w:t> </w:t>
      </w:r>
      <w:r>
        <w:rPr/>
        <w:t>episodes</w:t>
      </w:r>
      <w:r>
        <w:rPr>
          <w:spacing w:val="71"/>
        </w:rPr>
        <w:t> </w:t>
      </w:r>
      <w:r>
        <w:rPr/>
        <w:t>gives</w:t>
      </w:r>
      <w:r>
        <w:rPr>
          <w:spacing w:val="71"/>
        </w:rPr>
        <w:t> </w:t>
      </w:r>
      <w:r>
        <w:rPr/>
        <w:t>θ₂</w:t>
      </w:r>
      <w:r>
        <w:rPr>
          <w:spacing w:val="80"/>
          <w:w w:val="150"/>
        </w:rPr>
        <w:t> </w:t>
      </w:r>
      <w:r>
        <w:rPr/>
        <w:t>&gt;</w:t>
      </w:r>
      <w:r>
        <w:rPr>
          <w:spacing w:val="72"/>
        </w:rPr>
        <w:t> </w:t>
      </w:r>
      <w:r>
        <w:rPr/>
        <w:t>0</w:t>
      </w:r>
      <w:r>
        <w:rPr>
          <w:spacing w:val="71"/>
        </w:rPr>
        <w:t> </w:t>
      </w:r>
      <w:r>
        <w:rPr/>
        <w:t>in</w:t>
      </w:r>
      <w:r>
        <w:rPr>
          <w:spacing w:val="71"/>
        </w:rPr>
        <w:t> </w:t>
      </w:r>
      <w:r>
        <w:rPr/>
        <w:t>100%</w:t>
      </w:r>
      <w:r>
        <w:rPr>
          <w:spacing w:val="70"/>
        </w:rPr>
        <w:t> </w:t>
      </w:r>
      <w:r>
        <w:rPr/>
        <w:t>of</w:t>
      </w:r>
      <w:r>
        <w:rPr>
          <w:spacing w:val="70"/>
        </w:rPr>
        <w:t> </w:t>
      </w:r>
      <w:r>
        <w:rPr/>
        <w:t>600</w:t>
      </w:r>
      <w:r>
        <w:rPr>
          <w:spacing w:val="71"/>
        </w:rPr>
        <w:t> </w:t>
      </w:r>
      <w:r>
        <w:rPr/>
        <w:t>trials (Appendix</w:t>
      </w:r>
      <w:r>
        <w:rPr>
          <w:spacing w:val="38"/>
        </w:rPr>
        <w:t> </w:t>
      </w:r>
      <w:r>
        <w:rPr/>
        <w:t>E.3). These checks</w:t>
      </w:r>
      <w:r>
        <w:rPr>
          <w:spacing w:val="36"/>
        </w:rPr>
        <w:t> </w:t>
      </w:r>
      <w:r>
        <w:rPr/>
        <w:t>test sign robustness,</w:t>
      </w:r>
      <w:r>
        <w:rPr>
          <w:spacing w:val="36"/>
        </w:rPr>
        <w:t> </w:t>
      </w:r>
      <w:r>
        <w:rPr/>
        <w:t>not data quality.</w:t>
      </w:r>
      <w:r>
        <w:rPr>
          <w:spacing w:val="36"/>
        </w:rPr>
        <w:t> </w:t>
      </w:r>
      <w:r>
        <w:rPr/>
        <w:t>They establish that</w:t>
      </w:r>
      <w:r>
        <w:rPr>
          <w:spacing w:val="37"/>
        </w:rPr>
        <w:t> </w:t>
      </w:r>
      <w:r>
        <w:rPr/>
        <w:t>θ₂&gt;0</w:t>
      </w:r>
      <w:r>
        <w:rPr>
          <w:spacing w:val="36"/>
        </w:rPr>
        <w:t> </w:t>
      </w:r>
      <w:r>
        <w:rPr/>
        <w:t>is</w:t>
      </w:r>
      <w:r>
        <w:rPr>
          <w:spacing w:val="34"/>
        </w:rPr>
        <w:t> </w:t>
      </w:r>
      <w:r>
        <w:rPr/>
        <w:t>not</w:t>
      </w:r>
      <w:r>
        <w:rPr>
          <w:spacing w:val="37"/>
        </w:rPr>
        <w:t> </w:t>
      </w:r>
      <w:r>
        <w:rPr/>
        <w:t>an</w:t>
      </w:r>
      <w:r>
        <w:rPr>
          <w:spacing w:val="36"/>
        </w:rPr>
        <w:t> </w:t>
      </w:r>
      <w:r>
        <w:rPr/>
        <w:t>artefact</w:t>
      </w:r>
      <w:r>
        <w:rPr>
          <w:spacing w:val="37"/>
        </w:rPr>
        <w:t> </w:t>
      </w:r>
      <w:r>
        <w:rPr/>
        <w:t>of</w:t>
      </w:r>
      <w:r>
        <w:rPr>
          <w:spacing w:val="35"/>
        </w:rPr>
        <w:t> </w:t>
      </w:r>
      <w:r>
        <w:rPr/>
        <w:t>any</w:t>
      </w:r>
      <w:r>
        <w:rPr>
          <w:spacing w:val="31"/>
        </w:rPr>
        <w:t> </w:t>
      </w:r>
      <w:r>
        <w:rPr/>
        <w:t>particular</w:t>
      </w:r>
      <w:r>
        <w:rPr>
          <w:spacing w:val="36"/>
        </w:rPr>
        <w:t> </w:t>
      </w:r>
      <w:r>
        <w:rPr/>
        <w:t>reconstruction</w:t>
      </w:r>
      <w:r>
        <w:rPr>
          <w:spacing w:val="36"/>
        </w:rPr>
        <w:t> </w:t>
      </w:r>
      <w:r>
        <w:rPr/>
        <w:t>choice,</w:t>
      </w:r>
      <w:r>
        <w:rPr>
          <w:spacing w:val="36"/>
        </w:rPr>
        <w:t> </w:t>
      </w:r>
      <w:r>
        <w:rPr/>
        <w:t>but</w:t>
      </w:r>
      <w:r>
        <w:rPr>
          <w:spacing w:val="35"/>
        </w:rPr>
        <w:t> </w:t>
      </w:r>
      <w:r>
        <w:rPr/>
        <w:t>they</w:t>
      </w:r>
      <w:r>
        <w:rPr>
          <w:spacing w:val="31"/>
        </w:rPr>
        <w:t> </w:t>
      </w:r>
      <w:r>
        <w:rPr/>
        <w:t>cannot convert</w:t>
      </w:r>
      <w:r>
        <w:rPr>
          <w:spacing w:val="40"/>
        </w:rPr>
        <w:t> </w:t>
      </w:r>
      <w:r>
        <w:rPr/>
        <w:t>reconstructed</w:t>
      </w:r>
      <w:r>
        <w:rPr>
          <w:spacing w:val="40"/>
        </w:rPr>
        <w:t> </w:t>
      </w:r>
      <w:r>
        <w:rPr/>
        <w:t>values</w:t>
      </w:r>
      <w:r>
        <w:rPr>
          <w:spacing w:val="40"/>
        </w:rPr>
        <w:t> </w:t>
      </w:r>
      <w:r>
        <w:rPr/>
        <w:t>into</w:t>
      </w:r>
      <w:r>
        <w:rPr>
          <w:spacing w:val="40"/>
        </w:rPr>
        <w:t> </w:t>
      </w:r>
      <w:r>
        <w:rPr/>
        <w:t>primary-source</w:t>
      </w:r>
      <w:r>
        <w:rPr>
          <w:spacing w:val="40"/>
        </w:rPr>
        <w:t> </w:t>
      </w:r>
      <w:r>
        <w:rPr/>
        <w:t>facts.</w:t>
      </w:r>
      <w:r>
        <w:rPr>
          <w:spacing w:val="40"/>
        </w:rPr>
        <w:t> </w:t>
      </w:r>
      <w:r>
        <w:rPr/>
        <w:t>The</w:t>
      </w:r>
      <w:r>
        <w:rPr>
          <w:spacing w:val="40"/>
        </w:rPr>
        <w:t> </w:t>
      </w:r>
      <w:r>
        <w:rPr/>
        <w:t>substantive</w:t>
      </w:r>
      <w:r>
        <w:rPr>
          <w:spacing w:val="40"/>
        </w:rPr>
        <w:t> </w:t>
      </w:r>
      <w:r>
        <w:rPr/>
        <w:t>claim</w:t>
      </w:r>
      <w:r>
        <w:rPr>
          <w:spacing w:val="40"/>
        </w:rPr>
        <w:t> </w:t>
      </w:r>
      <w:r>
        <w:rPr/>
        <w:t>is</w:t>
      </w:r>
      <w:r>
        <w:rPr>
          <w:spacing w:val="40"/>
        </w:rPr>
        <w:t> </w:t>
      </w:r>
      <w:r>
        <w:rPr/>
        <w:t>therefore</w:t>
      </w:r>
      <w:r>
        <w:rPr>
          <w:spacing w:val="80"/>
        </w:rPr>
        <w:t> </w:t>
      </w:r>
      <w:r>
        <w:rPr/>
        <w:t>limited</w:t>
      </w:r>
      <w:r>
        <w:rPr>
          <w:spacing w:val="80"/>
        </w:rPr>
        <w:t> </w:t>
      </w:r>
      <w:r>
        <w:rPr/>
        <w:t>to</w:t>
      </w:r>
      <w:r>
        <w:rPr>
          <w:spacing w:val="80"/>
        </w:rPr>
        <w:t> </w:t>
      </w:r>
      <w:r>
        <w:rPr/>
        <w:t>the</w:t>
      </w:r>
      <w:r>
        <w:rPr>
          <w:spacing w:val="80"/>
        </w:rPr>
        <w:t> </w:t>
      </w:r>
      <w:r>
        <w:rPr/>
        <w:t>sign</w:t>
      </w:r>
      <w:r>
        <w:rPr>
          <w:spacing w:val="80"/>
        </w:rPr>
        <w:t> </w:t>
      </w:r>
      <w:r>
        <w:rPr/>
        <w:t>and</w:t>
      </w:r>
      <w:r>
        <w:rPr>
          <w:spacing w:val="80"/>
        </w:rPr>
        <w:t> </w:t>
      </w:r>
      <w:r>
        <w:rPr/>
        <w:t>ordinal</w:t>
      </w:r>
      <w:r>
        <w:rPr>
          <w:spacing w:val="80"/>
          <w:w w:val="150"/>
        </w:rPr>
        <w:t> </w:t>
      </w:r>
      <w:r>
        <w:rPr/>
        <w:t>design-ranking</w:t>
      </w:r>
      <w:r>
        <w:rPr>
          <w:spacing w:val="80"/>
        </w:rPr>
        <w:t> </w:t>
      </w:r>
      <w:r>
        <w:rPr/>
        <w:t>implications</w:t>
      </w:r>
      <w:r>
        <w:rPr>
          <w:spacing w:val="80"/>
        </w:rPr>
        <w:t> </w:t>
      </w:r>
      <w:r>
        <w:rPr/>
        <w:t>of</w:t>
      </w:r>
      <w:r>
        <w:rPr>
          <w:spacing w:val="80"/>
        </w:rPr>
        <w:t> </w:t>
      </w:r>
      <w:r>
        <w:rPr/>
        <w:t>the</w:t>
      </w:r>
      <w:r>
        <w:rPr>
          <w:spacing w:val="80"/>
        </w:rPr>
        <w:t> </w:t>
      </w:r>
      <w:r>
        <w:rPr/>
        <w:t>concentration×shock channel. Coefficient precision (CI width) remains conditional on the correctness of 66 reconstructed episodes, and per Appendix E.5, closing this gap through</w:t>
      </w:r>
      <w:r>
        <w:rPr>
          <w:spacing w:val="40"/>
        </w:rPr>
        <w:t> </w:t>
      </w:r>
      <w:r>
        <w:rPr/>
        <w:t>independent</w:t>
      </w:r>
      <w:r>
        <w:rPr>
          <w:spacing w:val="40"/>
        </w:rPr>
        <w:t> </w:t>
      </w:r>
      <w:r>
        <w:rPr/>
        <w:t>verified-only</w:t>
      </w:r>
      <w:r>
        <w:rPr>
          <w:spacing w:val="40"/>
        </w:rPr>
        <w:t> </w:t>
      </w:r>
      <w:r>
        <w:rPr/>
        <w:t>estimation</w:t>
      </w:r>
      <w:r>
        <w:rPr>
          <w:spacing w:val="40"/>
        </w:rPr>
        <w:t> </w:t>
      </w:r>
      <w:r>
        <w:rPr/>
        <w:t>alone</w:t>
      </w:r>
      <w:r>
        <w:rPr>
          <w:spacing w:val="40"/>
        </w:rPr>
        <w:t> </w:t>
      </w:r>
      <w:r>
        <w:rPr/>
        <w:t>would</w:t>
      </w:r>
      <w:r>
        <w:rPr>
          <w:spacing w:val="40"/>
        </w:rPr>
        <w:t> </w:t>
      </w:r>
      <w:r>
        <w:rPr/>
        <w:t>require</w:t>
      </w:r>
      <w:r>
        <w:rPr>
          <w:spacing w:val="40"/>
        </w:rPr>
        <w:t> </w:t>
      </w:r>
      <w:r>
        <w:rPr/>
        <w:t>on</w:t>
      </w:r>
      <w:r>
        <w:rPr>
          <w:spacing w:val="40"/>
        </w:rPr>
        <w:t> </w:t>
      </w:r>
      <w:r>
        <w:rPr/>
        <w:t>the</w:t>
      </w:r>
      <w:r>
        <w:rPr>
          <w:spacing w:val="40"/>
        </w:rPr>
        <w:t> </w:t>
      </w:r>
      <w:r>
        <w:rPr/>
        <w:t>order</w:t>
      </w:r>
      <w:r>
        <w:rPr>
          <w:spacing w:val="40"/>
        </w:rPr>
        <w:t> </w:t>
      </w:r>
      <w:r>
        <w:rPr/>
        <w:t>of 2,650</w:t>
      </w:r>
      <w:r>
        <w:rPr>
          <w:spacing w:val="40"/>
        </w:rPr>
        <w:t> </w:t>
      </w:r>
      <w:r>
        <w:rPr/>
        <w:t>verified</w:t>
      </w:r>
      <w:r>
        <w:rPr>
          <w:spacing w:val="40"/>
        </w:rPr>
        <w:t> </w:t>
      </w:r>
      <w:r>
        <w:rPr/>
        <w:t>episodes</w:t>
      </w:r>
      <w:r>
        <w:rPr>
          <w:spacing w:val="80"/>
          <w:w w:val="150"/>
        </w:rPr>
        <w:t> </w:t>
      </w:r>
      <w:r>
        <w:rPr/>
        <w:t>—</w:t>
      </w:r>
      <w:r>
        <w:rPr>
          <w:spacing w:val="80"/>
          <w:w w:val="150"/>
        </w:rPr>
        <w:t> </w:t>
      </w:r>
      <w:r>
        <w:rPr/>
        <w:t>a</w:t>
      </w:r>
      <w:r>
        <w:rPr>
          <w:spacing w:val="40"/>
        </w:rPr>
        <w:t> </w:t>
      </w:r>
      <w:r>
        <w:rPr/>
        <w:t>frequentist</w:t>
      </w:r>
      <w:r>
        <w:rPr>
          <w:spacing w:val="40"/>
        </w:rPr>
        <w:t> </w:t>
      </w:r>
      <w:r>
        <w:rPr/>
        <w:t>benchmark</w:t>
      </w:r>
      <w:r>
        <w:rPr>
          <w:spacing w:val="40"/>
        </w:rPr>
        <w:t> </w:t>
      </w:r>
      <w:r>
        <w:rPr/>
        <w:t>that</w:t>
      </w:r>
      <w:r>
        <w:rPr>
          <w:spacing w:val="40"/>
        </w:rPr>
        <w:t> </w:t>
      </w:r>
      <w:r>
        <w:rPr/>
        <w:t>treats</w:t>
      </w:r>
      <w:r>
        <w:rPr>
          <w:spacing w:val="40"/>
        </w:rPr>
        <w:t> </w:t>
      </w:r>
      <w:r>
        <w:rPr/>
        <w:t>the</w:t>
      </w:r>
      <w:r>
        <w:rPr>
          <w:spacing w:val="40"/>
        </w:rPr>
        <w:t> </w:t>
      </w:r>
      <w:r>
        <w:rPr/>
        <w:t>verified</w:t>
      </w:r>
      <w:r>
        <w:rPr>
          <w:spacing w:val="40"/>
        </w:rPr>
        <w:t> </w:t>
      </w:r>
      <w:r>
        <w:rPr/>
        <w:t>and estimated strata as two unrelated samples and asks the verified stratum to stand alone. </w:t>
      </w:r>
      <w:r>
        <w:rPr>
          <w:b/>
        </w:rPr>
        <w:t>A shrinkage-based alternative to the 2,650-episode benchmark. </w:t>
      </w:r>
      <w:r>
        <w:rPr/>
        <w:t>That benchmark is pessimistic</w:t>
      </w:r>
      <w:r>
        <w:rPr>
          <w:spacing w:val="40"/>
        </w:rPr>
        <w:t> </w:t>
      </w:r>
      <w:r>
        <w:rPr/>
        <w:t>partly</w:t>
      </w:r>
      <w:r>
        <w:rPr>
          <w:spacing w:val="40"/>
        </w:rPr>
        <w:t> </w:t>
      </w:r>
      <w:r>
        <w:rPr/>
        <w:t>because</w:t>
      </w:r>
      <w:r>
        <w:rPr>
          <w:spacing w:val="40"/>
        </w:rPr>
        <w:t> </w:t>
      </w:r>
      <w:r>
        <w:rPr/>
        <w:t>it</w:t>
      </w:r>
      <w:r>
        <w:rPr>
          <w:spacing w:val="40"/>
        </w:rPr>
        <w:t> </w:t>
      </w:r>
      <w:r>
        <w:rPr/>
        <w:t>discards</w:t>
      </w:r>
      <w:r>
        <w:rPr>
          <w:spacing w:val="40"/>
        </w:rPr>
        <w:t> </w:t>
      </w:r>
      <w:r>
        <w:rPr/>
        <w:t>the</w:t>
      </w:r>
      <w:r>
        <w:rPr>
          <w:spacing w:val="40"/>
        </w:rPr>
        <w:t> </w:t>
      </w:r>
      <w:r>
        <w:rPr/>
        <w:t>estimated</w:t>
      </w:r>
      <w:r>
        <w:rPr>
          <w:spacing w:val="40"/>
        </w:rPr>
        <w:t> </w:t>
      </w:r>
      <w:r>
        <w:rPr/>
        <w:t>stratum’s</w:t>
      </w:r>
      <w:r>
        <w:rPr>
          <w:spacing w:val="40"/>
        </w:rPr>
        <w:t> </w:t>
      </w:r>
      <w:r>
        <w:rPr/>
        <w:t>information</w:t>
      </w:r>
      <w:r>
        <w:rPr>
          <w:spacing w:val="40"/>
        </w:rPr>
        <w:t> </w:t>
      </w:r>
      <w:r>
        <w:rPr/>
        <w:t>entirely once verified-only precision is the question. A hierarchical (partial-pooling) estimator instead</w:t>
      </w:r>
      <w:r>
        <w:rPr>
          <w:spacing w:val="40"/>
        </w:rPr>
        <w:t> </w:t>
      </w:r>
      <w:r>
        <w:rPr/>
        <w:t>treats</w:t>
      </w:r>
      <w:r>
        <w:rPr>
          <w:spacing w:val="40"/>
        </w:rPr>
        <w:t> </w:t>
      </w:r>
      <w:r>
        <w:rPr/>
        <w:t>the</w:t>
      </w:r>
      <w:r>
        <w:rPr>
          <w:spacing w:val="40"/>
        </w:rPr>
        <w:t> </w:t>
      </w:r>
      <w:r>
        <w:rPr/>
        <w:t>verified</w:t>
      </w:r>
      <w:r>
        <w:rPr>
          <w:spacing w:val="40"/>
        </w:rPr>
        <w:t> </w:t>
      </w:r>
      <w:r>
        <w:rPr/>
        <w:t>and</w:t>
      </w:r>
      <w:r>
        <w:rPr>
          <w:spacing w:val="40"/>
        </w:rPr>
        <w:t> </w:t>
      </w:r>
      <w:r>
        <w:rPr/>
        <w:t>estimated</w:t>
      </w:r>
      <w:r>
        <w:rPr>
          <w:spacing w:val="40"/>
        </w:rPr>
        <w:t> </w:t>
      </w:r>
      <w:r>
        <w:rPr/>
        <w:t>strata</w:t>
      </w:r>
      <w:r>
        <w:rPr>
          <w:spacing w:val="40"/>
        </w:rPr>
        <w:t> </w:t>
      </w:r>
      <w:r>
        <w:rPr/>
        <w:t>as</w:t>
      </w:r>
      <w:r>
        <w:rPr>
          <w:spacing w:val="40"/>
        </w:rPr>
        <w:t> </w:t>
      </w:r>
      <w:r>
        <w:rPr/>
        <w:t>related</w:t>
      </w:r>
      <w:r>
        <w:rPr>
          <w:spacing w:val="40"/>
        </w:rPr>
        <w:t> </w:t>
      </w:r>
      <w:r>
        <w:rPr/>
        <w:t>draws</w:t>
      </w:r>
      <w:r>
        <w:rPr>
          <w:spacing w:val="40"/>
        </w:rPr>
        <w:t> </w:t>
      </w:r>
      <w:r>
        <w:rPr/>
        <w:t>from</w:t>
      </w:r>
      <w:r>
        <w:rPr>
          <w:spacing w:val="40"/>
        </w:rPr>
        <w:t> </w:t>
      </w:r>
      <w:r>
        <w:rPr/>
        <w:t>a</w:t>
      </w:r>
      <w:r>
        <w:rPr>
          <w:spacing w:val="40"/>
        </w:rPr>
        <w:t> </w:t>
      </w:r>
      <w:r>
        <w:rPr/>
        <w:t>common data-generating process, shrinking the small, noisy verified-only estimate toward the better-identified full-panel estimate in proportion to their relative precision, with the shrinkage</w:t>
      </w:r>
      <w:r>
        <w:rPr>
          <w:spacing w:val="39"/>
        </w:rPr>
        <w:t> </w:t>
      </w:r>
      <w:r>
        <w:rPr/>
        <w:t>weight</w:t>
      </w:r>
      <w:r>
        <w:rPr>
          <w:spacing w:val="38"/>
        </w:rPr>
        <w:t> </w:t>
      </w:r>
      <w:r>
        <w:rPr/>
        <w:t>determined</w:t>
      </w:r>
      <w:r>
        <w:rPr>
          <w:spacing w:val="39"/>
        </w:rPr>
        <w:t> </w:t>
      </w:r>
      <w:r>
        <w:rPr/>
        <w:t>by</w:t>
      </w:r>
      <w:r>
        <w:rPr>
          <w:spacing w:val="35"/>
        </w:rPr>
        <w:t> </w:t>
      </w:r>
      <w:r>
        <w:rPr/>
        <w:t>the</w:t>
      </w:r>
      <w:r>
        <w:rPr>
          <w:spacing w:val="39"/>
        </w:rPr>
        <w:t> </w:t>
      </w:r>
      <w:r>
        <w:rPr/>
        <w:t>data</w:t>
      </w:r>
      <w:r>
        <w:rPr>
          <w:spacing w:val="39"/>
        </w:rPr>
        <w:t> </w:t>
      </w:r>
      <w:r>
        <w:rPr/>
        <w:t>rather</w:t>
      </w:r>
      <w:r>
        <w:rPr>
          <w:spacing w:val="39"/>
        </w:rPr>
        <w:t> </w:t>
      </w:r>
      <w:r>
        <w:rPr/>
        <w:t>than</w:t>
      </w:r>
      <w:r>
        <w:rPr>
          <w:spacing w:val="40"/>
        </w:rPr>
        <w:t> </w:t>
      </w:r>
      <w:r>
        <w:rPr/>
        <w:t>fixed</w:t>
      </w:r>
      <w:r>
        <w:rPr>
          <w:spacing w:val="39"/>
        </w:rPr>
        <w:t> </w:t>
      </w:r>
      <w:r>
        <w:rPr/>
        <w:t>by</w:t>
      </w:r>
      <w:r>
        <w:rPr>
          <w:spacing w:val="35"/>
        </w:rPr>
        <w:t> </w:t>
      </w:r>
      <w:r>
        <w:rPr/>
        <w:t>assumption.</w:t>
      </w:r>
      <w:r>
        <w:rPr>
          <w:spacing w:val="40"/>
        </w:rPr>
        <w:t> </w:t>
      </w:r>
      <w:r>
        <w:rPr/>
        <w:t>Because Appendix</w:t>
      </w:r>
      <w:r>
        <w:rPr>
          <w:spacing w:val="37"/>
        </w:rPr>
        <w:t> </w:t>
      </w:r>
      <w:r>
        <w:rPr/>
        <w:t>E.7</w:t>
      </w:r>
      <w:r>
        <w:rPr>
          <w:spacing w:val="37"/>
        </w:rPr>
        <w:t> </w:t>
      </w:r>
      <w:r>
        <w:rPr/>
        <w:t>already finds</w:t>
      </w:r>
      <w:r>
        <w:rPr>
          <w:spacing w:val="37"/>
        </w:rPr>
        <w:t> </w:t>
      </w:r>
      <w:r>
        <w:rPr/>
        <w:t>no</w:t>
      </w:r>
      <w:r>
        <w:rPr>
          <w:spacing w:val="37"/>
        </w:rPr>
        <w:t> </w:t>
      </w:r>
      <w:r>
        <w:rPr/>
        <w:t>significant</w:t>
      </w:r>
      <w:r>
        <w:rPr>
          <w:spacing w:val="38"/>
        </w:rPr>
        <w:t> </w:t>
      </w:r>
      <w:r>
        <w:rPr/>
        <w:t>difference between</w:t>
      </w:r>
      <w:r>
        <w:rPr>
          <w:spacing w:val="37"/>
        </w:rPr>
        <w:t> </w:t>
      </w:r>
      <w:r>
        <w:rPr/>
        <w:t>the verified-only and estimated-only</w:t>
      </w:r>
      <w:r>
        <w:rPr>
          <w:spacing w:val="40"/>
        </w:rPr>
        <w:t> </w:t>
      </w:r>
      <w:r>
        <w:rPr/>
        <w:t>slopes</w:t>
      </w:r>
      <w:r>
        <w:rPr>
          <w:spacing w:val="40"/>
        </w:rPr>
        <w:t> </w:t>
      </w:r>
      <w:r>
        <w:rPr/>
        <w:t>(p=0.602),</w:t>
      </w:r>
      <w:r>
        <w:rPr>
          <w:spacing w:val="40"/>
        </w:rPr>
        <w:t> </w:t>
      </w:r>
      <w:r>
        <w:rPr/>
        <w:t>the</w:t>
      </w:r>
      <w:r>
        <w:rPr>
          <w:spacing w:val="40"/>
        </w:rPr>
        <w:t> </w:t>
      </w:r>
      <w:r>
        <w:rPr/>
        <w:t>two</w:t>
      </w:r>
      <w:r>
        <w:rPr>
          <w:spacing w:val="40"/>
        </w:rPr>
        <w:t> </w:t>
      </w:r>
      <w:r>
        <w:rPr/>
        <w:t>strata</w:t>
      </w:r>
      <w:r>
        <w:rPr>
          <w:spacing w:val="40"/>
        </w:rPr>
        <w:t> </w:t>
      </w:r>
      <w:r>
        <w:rPr/>
        <w:t>are</w:t>
      </w:r>
      <w:r>
        <w:rPr>
          <w:spacing w:val="40"/>
        </w:rPr>
        <w:t> </w:t>
      </w:r>
      <w:r>
        <w:rPr/>
        <w:t>not</w:t>
      </w:r>
      <w:r>
        <w:rPr>
          <w:spacing w:val="40"/>
        </w:rPr>
        <w:t> </w:t>
      </w:r>
      <w:r>
        <w:rPr/>
        <w:t>fighting</w:t>
      </w:r>
      <w:r>
        <w:rPr>
          <w:spacing w:val="40"/>
        </w:rPr>
        <w:t> </w:t>
      </w:r>
      <w:r>
        <w:rPr/>
        <w:t>each</w:t>
      </w:r>
      <w:r>
        <w:rPr>
          <w:spacing w:val="40"/>
        </w:rPr>
        <w:t> </w:t>
      </w:r>
      <w:r>
        <w:rPr/>
        <w:t>other</w:t>
      </w:r>
      <w:r>
        <w:rPr>
          <w:spacing w:val="40"/>
        </w:rPr>
        <w:t> </w:t>
      </w:r>
      <w:r>
        <w:rPr/>
        <w:t>in</w:t>
      </w:r>
      <w:r>
        <w:rPr>
          <w:spacing w:val="40"/>
        </w:rPr>
        <w:t> </w:t>
      </w:r>
      <w:r>
        <w:rPr/>
        <w:t>this panel, which is precisely the condition under which partial pooling delivers a tighter, still-defensible</w:t>
      </w:r>
      <w:r>
        <w:rPr>
          <w:spacing w:val="40"/>
        </w:rPr>
        <w:t> </w:t>
      </w:r>
      <w:r>
        <w:rPr/>
        <w:t>interval</w:t>
      </w:r>
      <w:r>
        <w:rPr>
          <w:spacing w:val="40"/>
        </w:rPr>
        <w:t> </w:t>
      </w:r>
      <w:r>
        <w:rPr/>
        <w:t>without</w:t>
      </w:r>
      <w:r>
        <w:rPr>
          <w:spacing w:val="40"/>
        </w:rPr>
        <w:t> </w:t>
      </w:r>
      <w:r>
        <w:rPr/>
        <w:t>requiring</w:t>
      </w:r>
      <w:r>
        <w:rPr>
          <w:spacing w:val="40"/>
        </w:rPr>
        <w:t> </w:t>
      </w:r>
      <w:r>
        <w:rPr/>
        <w:t>thousands</w:t>
      </w:r>
      <w:r>
        <w:rPr>
          <w:spacing w:val="40"/>
        </w:rPr>
        <w:t> </w:t>
      </w:r>
      <w:r>
        <w:rPr/>
        <w:t>of</w:t>
      </w:r>
      <w:r>
        <w:rPr>
          <w:spacing w:val="40"/>
        </w:rPr>
        <w:t> </w:t>
      </w:r>
      <w:r>
        <w:rPr/>
        <w:t>new</w:t>
      </w:r>
      <w:r>
        <w:rPr>
          <w:spacing w:val="40"/>
        </w:rPr>
        <w:t> </w:t>
      </w:r>
      <w:r>
        <w:rPr/>
        <w:t>episodes:</w:t>
      </w:r>
      <w:r>
        <w:rPr>
          <w:spacing w:val="40"/>
        </w:rPr>
        <w:t> </w:t>
      </w:r>
      <w:r>
        <w:rPr/>
        <w:t>the</w:t>
      </w:r>
      <w:r>
        <w:rPr>
          <w:spacing w:val="40"/>
        </w:rPr>
        <w:t> </w:t>
      </w:r>
      <w:r>
        <w:rPr/>
        <w:t>verified</w:t>
      </w:r>
    </w:p>
    <w:p>
      <w:pPr>
        <w:pStyle w:val="BodyText"/>
        <w:spacing w:after="0" w:line="480" w:lineRule="auto"/>
        <w:sectPr>
          <w:pgSz w:w="11900" w:h="16820"/>
          <w:pgMar w:header="714" w:footer="0" w:top="1340" w:bottom="280" w:left="1700" w:right="1417"/>
        </w:sectPr>
      </w:pPr>
    </w:p>
    <w:p>
      <w:pPr>
        <w:pStyle w:val="BodyText"/>
        <w:spacing w:line="480" w:lineRule="auto" w:before="79"/>
        <w:ind w:right="322"/>
        <w:jc w:val="both"/>
      </w:pPr>
      <w:r>
        <w:rPr/>
        <w:t>stratum’s low precision is compensated by the estimated stratum’s numerosity, weighted down for its lower reliability, rather than a demand for either stratum to be individually decisive. This is a genuinely different question from the frequentist one (how many verified episodes for standalone significance?) and does not retroactively validate reconstructed data; it uses the two strata’s joint structure more efficiently</w:t>
      </w:r>
      <w:r>
        <w:rPr>
          <w:spacing w:val="-2"/>
        </w:rPr>
        <w:t> </w:t>
      </w:r>
      <w:r>
        <w:rPr/>
        <w:t>than either stratum alone. We implement this estimator as a normal-normal random-effects (DerSimonian–Laird) pooling of the verified-only (θ₂=0.7451, SE=0.308, n=15) and estimated-only (θ₂=0.1597, SE=0.051, n=66) Specification I stratum estimates: a heterogeneity test on these two “studies” gives Q=3.51 (df=1), implying τ²=0.123 and inverse-variance weights that place 36.5% of the pooled estimate’s weight on the verified stratum and 63.5% on the estimated stratum. The resulting pooled estimate is θ₂=0.3734</w:t>
      </w:r>
      <w:r>
        <w:rPr>
          <w:spacing w:val="30"/>
        </w:rPr>
        <w:t> </w:t>
      </w:r>
      <w:r>
        <w:rPr/>
        <w:t>(SE=0.282,</w:t>
      </w:r>
      <w:r>
        <w:rPr>
          <w:spacing w:val="30"/>
        </w:rPr>
        <w:t> </w:t>
      </w:r>
      <w:r>
        <w:rPr/>
        <w:t>z=1.33,</w:t>
      </w:r>
      <w:r>
        <w:rPr>
          <w:spacing w:val="28"/>
        </w:rPr>
        <w:t> </w:t>
      </w:r>
      <w:r>
        <w:rPr/>
        <w:t>p=0.185,</w:t>
      </w:r>
      <w:r>
        <w:rPr>
          <w:spacing w:val="30"/>
        </w:rPr>
        <w:t> </w:t>
      </w:r>
      <w:r>
        <w:rPr/>
        <w:t>95%</w:t>
      </w:r>
      <w:r>
        <w:rPr>
          <w:spacing w:val="30"/>
        </w:rPr>
        <w:t> </w:t>
      </w:r>
      <w:r>
        <w:rPr/>
        <w:t>CI</w:t>
      </w:r>
      <w:r>
        <w:rPr>
          <w:spacing w:val="27"/>
        </w:rPr>
        <w:t> </w:t>
      </w:r>
      <w:r>
        <w:rPr/>
        <w:t>[−0.179,</w:t>
      </w:r>
      <w:r>
        <w:rPr>
          <w:spacing w:val="30"/>
        </w:rPr>
        <w:t> </w:t>
      </w:r>
      <w:r>
        <w:rPr/>
        <w:t>0.926]):</w:t>
      </w:r>
      <w:r>
        <w:rPr>
          <w:spacing w:val="31"/>
        </w:rPr>
        <w:t> </w:t>
      </w:r>
      <w:r>
        <w:rPr/>
        <w:t>positive</w:t>
      </w:r>
      <w:r>
        <w:rPr>
          <w:spacing w:val="30"/>
        </w:rPr>
        <w:t> </w:t>
      </w:r>
      <w:r>
        <w:rPr/>
        <w:t>and</w:t>
      </w:r>
      <w:r>
        <w:rPr>
          <w:spacing w:val="30"/>
        </w:rPr>
        <w:t> </w:t>
      </w:r>
      <w:r>
        <w:rPr/>
        <w:t>of</w:t>
      </w:r>
      <w:r>
        <w:rPr>
          <w:spacing w:val="30"/>
        </w:rPr>
        <w:t> </w:t>
      </w:r>
      <w:r>
        <w:rPr/>
        <w:t>a</w:t>
      </w:r>
    </w:p>
    <w:p>
      <w:pPr>
        <w:pStyle w:val="BodyText"/>
        <w:spacing w:line="480" w:lineRule="auto"/>
        <w:ind w:right="323"/>
        <w:jc w:val="both"/>
      </w:pPr>
      <w:r>
        <w:rPr/>
        <w:t>magnitude between the two strata’ raw estimates, with a standard error smaller than</w:t>
      </w:r>
      <w:r>
        <w:rPr>
          <w:spacing w:val="40"/>
        </w:rPr>
        <w:t> </w:t>
      </w:r>
      <w:r>
        <w:rPr/>
        <w:t>the</w:t>
      </w:r>
      <w:r>
        <w:rPr>
          <w:spacing w:val="80"/>
        </w:rPr>
        <w:t> </w:t>
      </w:r>
      <w:r>
        <w:rPr/>
        <w:t>raw</w:t>
      </w:r>
      <w:r>
        <w:rPr>
          <w:spacing w:val="80"/>
        </w:rPr>
        <w:t> </w:t>
      </w:r>
      <w:r>
        <w:rPr/>
        <w:t>verified-only</w:t>
      </w:r>
      <w:r>
        <w:rPr>
          <w:spacing w:val="80"/>
        </w:rPr>
        <w:t> </w:t>
      </w:r>
      <w:r>
        <w:rPr/>
        <w:t>SE</w:t>
      </w:r>
      <w:r>
        <w:rPr>
          <w:spacing w:val="80"/>
        </w:rPr>
        <w:t> </w:t>
      </w:r>
      <w:r>
        <w:rPr/>
        <w:t>(0.282</w:t>
      </w:r>
      <w:r>
        <w:rPr>
          <w:spacing w:val="80"/>
        </w:rPr>
        <w:t> </w:t>
      </w:r>
      <w:r>
        <w:rPr/>
        <w:t>vs</w:t>
      </w:r>
      <w:r>
        <w:rPr>
          <w:spacing w:val="80"/>
        </w:rPr>
        <w:t> </w:t>
      </w:r>
      <w:r>
        <w:rPr/>
        <w:t>0.308)</w:t>
      </w:r>
      <w:r>
        <w:rPr>
          <w:spacing w:val="80"/>
        </w:rPr>
        <w:t> </w:t>
      </w:r>
      <w:r>
        <w:rPr/>
        <w:t>despite</w:t>
      </w:r>
      <w:r>
        <w:rPr>
          <w:spacing w:val="80"/>
        </w:rPr>
        <w:t> </w:t>
      </w:r>
      <w:r>
        <w:rPr/>
        <w:t>incorporating</w:t>
      </w:r>
      <w:r>
        <w:rPr>
          <w:spacing w:val="80"/>
        </w:rPr>
        <w:t> </w:t>
      </w:r>
      <w:r>
        <w:rPr/>
        <w:t>genuine between-stratum heterogeneity, but — reported honestly — not independently significant at conventional levels. This is not a resolution of the underlying precision problem: the pooled interval still spans zero. What it offers is a principled, data-driven middle path between an unstable n=15 point estimate and a full-panel estimate that leans on reconstructed data, achieved without requiring 2,650 new episodes, and a concrete illustration that even optimal combination of the two strata’s information</w:t>
      </w:r>
      <w:r>
        <w:rPr>
          <w:spacing w:val="40"/>
        </w:rPr>
        <w:t> </w:t>
      </w:r>
      <w:r>
        <w:rPr/>
        <w:t>does not yet clear the verified-data-alone bar on its own. The full computation (data loading,</w:t>
      </w:r>
      <w:r>
        <w:rPr>
          <w:spacing w:val="-2"/>
        </w:rPr>
        <w:t> </w:t>
      </w:r>
      <w:r>
        <w:rPr/>
        <w:t>per-stratum</w:t>
      </w:r>
      <w:r>
        <w:rPr>
          <w:spacing w:val="-2"/>
        </w:rPr>
        <w:t> </w:t>
      </w:r>
      <w:r>
        <w:rPr/>
        <w:t>OLS,</w:t>
      </w:r>
      <w:r>
        <w:rPr>
          <w:spacing w:val="-2"/>
        </w:rPr>
        <w:t> </w:t>
      </w:r>
      <w:r>
        <w:rPr/>
        <w:t>and</w:t>
      </w:r>
      <w:r>
        <w:rPr>
          <w:spacing w:val="-2"/>
        </w:rPr>
        <w:t> </w:t>
      </w:r>
      <w:r>
        <w:rPr/>
        <w:t>the</w:t>
      </w:r>
      <w:r>
        <w:rPr>
          <w:spacing w:val="-3"/>
        </w:rPr>
        <w:t> </w:t>
      </w:r>
      <w:r>
        <w:rPr/>
        <w:t>random-effects</w:t>
      </w:r>
      <w:r>
        <w:rPr>
          <w:spacing w:val="-2"/>
        </w:rPr>
        <w:t> </w:t>
      </w:r>
      <w:r>
        <w:rPr/>
        <w:t>pooling)</w:t>
      </w:r>
      <w:r>
        <w:rPr>
          <w:spacing w:val="-2"/>
        </w:rPr>
        <w:t> </w:t>
      </w:r>
      <w:r>
        <w:rPr/>
        <w:t>is</w:t>
      </w:r>
      <w:r>
        <w:rPr>
          <w:spacing w:val="-4"/>
        </w:rPr>
        <w:t> </w:t>
      </w:r>
      <w:r>
        <w:rPr/>
        <w:t>included</w:t>
      </w:r>
      <w:r>
        <w:rPr>
          <w:spacing w:val="-4"/>
        </w:rPr>
        <w:t> </w:t>
      </w:r>
      <w:r>
        <w:rPr/>
        <w:t>as</w:t>
      </w:r>
      <w:r>
        <w:rPr>
          <w:spacing w:val="-1"/>
        </w:rPr>
        <w:t> </w:t>
      </w:r>
      <w:r>
        <w:rPr/>
        <w:t>a</w:t>
      </w:r>
      <w:r>
        <w:rPr>
          <w:spacing w:val="-3"/>
        </w:rPr>
        <w:t> </w:t>
      </w:r>
      <w:r>
        <w:rPr/>
        <w:t>standalone, independently re-runnable script in the reproducibility package accompanying this </w:t>
      </w:r>
      <w:r>
        <w:rPr>
          <w:spacing w:val="-2"/>
        </w:rPr>
        <w:t>submission.</w:t>
      </w:r>
    </w:p>
    <w:p>
      <w:pPr>
        <w:pStyle w:val="BodyText"/>
        <w:spacing w:after="0" w:line="480" w:lineRule="auto"/>
        <w:jc w:val="both"/>
        <w:sectPr>
          <w:pgSz w:w="11900" w:h="16820"/>
          <w:pgMar w:header="714" w:footer="0" w:top="1340" w:bottom="280" w:left="1700" w:right="1417"/>
        </w:sectPr>
      </w:pPr>
    </w:p>
    <w:p>
      <w:pPr>
        <w:pStyle w:val="BodyText"/>
        <w:spacing w:before="43"/>
        <w:ind w:left="0"/>
      </w:pPr>
    </w:p>
    <w:p>
      <w:pPr>
        <w:pStyle w:val="Heading2"/>
        <w:numPr>
          <w:ilvl w:val="1"/>
          <w:numId w:val="1"/>
        </w:numPr>
        <w:tabs>
          <w:tab w:pos="457" w:val="left" w:leader="none"/>
        </w:tabs>
        <w:spacing w:line="240" w:lineRule="auto" w:before="0" w:after="0"/>
        <w:ind w:left="457" w:right="0" w:hanging="358"/>
        <w:jc w:val="left"/>
        <w:rPr>
          <w:i/>
        </w:rPr>
      </w:pPr>
      <w:r>
        <w:rPr>
          <w:i/>
        </w:rPr>
        <w:t>Empirical</w:t>
      </w:r>
      <w:r>
        <w:rPr>
          <w:i/>
          <w:spacing w:val="-15"/>
        </w:rPr>
        <w:t> </w:t>
      </w:r>
      <w:r>
        <w:rPr>
          <w:i/>
        </w:rPr>
        <w:t>Estimation</w:t>
      </w:r>
      <w:r>
        <w:rPr>
          <w:i/>
          <w:spacing w:val="-15"/>
        </w:rPr>
        <w:t> </w:t>
      </w:r>
      <w:r>
        <w:rPr>
          <w:i/>
        </w:rPr>
        <w:t>(Table</w:t>
      </w:r>
      <w:r>
        <w:rPr>
          <w:i/>
          <w:spacing w:val="-13"/>
        </w:rPr>
        <w:t> </w:t>
      </w:r>
      <w:r>
        <w:rPr>
          <w:i/>
          <w:spacing w:val="-5"/>
        </w:rPr>
        <w:t>2)</w:t>
      </w:r>
    </w:p>
    <w:p>
      <w:pPr>
        <w:pStyle w:val="BodyText"/>
        <w:spacing w:before="81"/>
        <w:ind w:left="0"/>
        <w:rPr>
          <w:b/>
          <w:i/>
        </w:rPr>
      </w:pPr>
    </w:p>
    <w:p>
      <w:pPr>
        <w:pStyle w:val="BodyText"/>
        <w:spacing w:line="480" w:lineRule="auto"/>
        <w:ind w:right="300"/>
      </w:pPr>
      <w:r>
        <w:rPr/>
        <w:t>Two regressor sets for Eq. 2 are pre-specified and reported as co-equal throughout this paper, to avoid any appearance of selecting whichever specification happens to reach significance. </w:t>
      </w:r>
      <w:r>
        <w:rPr>
          <w:b/>
        </w:rPr>
        <w:t>Specification I (main-effects) </w:t>
      </w:r>
      <w:r>
        <w:rPr/>
        <w:t>includes shock severity S as a direct term (θ₁)</w:t>
      </w:r>
      <w:r>
        <w:rPr>
          <w:spacing w:val="38"/>
        </w:rPr>
        <w:t> </w:t>
      </w:r>
      <w:r>
        <w:rPr/>
        <w:t>alongside</w:t>
      </w:r>
      <w:r>
        <w:rPr>
          <w:spacing w:val="38"/>
        </w:rPr>
        <w:t> </w:t>
      </w:r>
      <w:r>
        <w:rPr/>
        <w:t>the interaction C×S</w:t>
      </w:r>
      <w:r>
        <w:rPr>
          <w:spacing w:val="37"/>
        </w:rPr>
        <w:t> </w:t>
      </w:r>
      <w:r>
        <w:rPr/>
        <w:t>(θ₂);</w:t>
      </w:r>
      <w:r>
        <w:rPr>
          <w:spacing w:val="37"/>
        </w:rPr>
        <w:t> </w:t>
      </w:r>
      <w:r>
        <w:rPr/>
        <w:t>this</w:t>
      </w:r>
      <w:r>
        <w:rPr>
          <w:spacing w:val="37"/>
        </w:rPr>
        <w:t> </w:t>
      </w:r>
      <w:r>
        <w:rPr/>
        <w:t>is the</w:t>
      </w:r>
      <w:r>
        <w:rPr>
          <w:spacing w:val="38"/>
        </w:rPr>
        <w:t> </w:t>
      </w:r>
      <w:r>
        <w:rPr/>
        <w:t>standard</w:t>
      </w:r>
      <w:r>
        <w:rPr>
          <w:spacing w:val="37"/>
        </w:rPr>
        <w:t> </w:t>
      </w:r>
      <w:r>
        <w:rPr/>
        <w:t>approach</w:t>
      </w:r>
      <w:r>
        <w:rPr>
          <w:spacing w:val="40"/>
        </w:rPr>
        <w:t> </w:t>
      </w:r>
      <w:r>
        <w:rPr/>
        <w:t>for</w:t>
      </w:r>
      <w:r>
        <w:rPr>
          <w:spacing w:val="38"/>
        </w:rPr>
        <w:t> </w:t>
      </w:r>
      <w:r>
        <w:rPr/>
        <w:t>interaction testing in applied regression (Aiken and West, 1991, ch. 3): including the lower-order term</w:t>
      </w:r>
      <w:r>
        <w:rPr>
          <w:spacing w:val="40"/>
        </w:rPr>
        <w:t> </w:t>
      </w:r>
      <w:r>
        <w:rPr/>
        <w:t>S</w:t>
      </w:r>
      <w:r>
        <w:rPr>
          <w:spacing w:val="40"/>
        </w:rPr>
        <w:t> </w:t>
      </w:r>
      <w:r>
        <w:rPr/>
        <w:t>directly</w:t>
      </w:r>
      <w:r>
        <w:rPr>
          <w:spacing w:val="40"/>
        </w:rPr>
        <w:t> </w:t>
      </w:r>
      <w:r>
        <w:rPr/>
        <w:t>guards</w:t>
      </w:r>
      <w:r>
        <w:rPr>
          <w:spacing w:val="40"/>
        </w:rPr>
        <w:t> </w:t>
      </w:r>
      <w:r>
        <w:rPr/>
        <w:t>against</w:t>
      </w:r>
      <w:r>
        <w:rPr>
          <w:spacing w:val="40"/>
        </w:rPr>
        <w:t> </w:t>
      </w:r>
      <w:r>
        <w:rPr/>
        <w:t>attributing</w:t>
      </w:r>
      <w:r>
        <w:rPr>
          <w:spacing w:val="40"/>
        </w:rPr>
        <w:t> </w:t>
      </w:r>
      <w:r>
        <w:rPr/>
        <w:t>to</w:t>
      </w:r>
      <w:r>
        <w:rPr>
          <w:spacing w:val="40"/>
        </w:rPr>
        <w:t> </w:t>
      </w:r>
      <w:r>
        <w:rPr/>
        <w:t>the</w:t>
      </w:r>
      <w:r>
        <w:rPr>
          <w:spacing w:val="40"/>
        </w:rPr>
        <w:t> </w:t>
      </w:r>
      <w:r>
        <w:rPr/>
        <w:t>interaction</w:t>
      </w:r>
      <w:r>
        <w:rPr>
          <w:spacing w:val="40"/>
        </w:rPr>
        <w:t> </w:t>
      </w:r>
      <w:r>
        <w:rPr/>
        <w:t>what</w:t>
      </w:r>
      <w:r>
        <w:rPr>
          <w:spacing w:val="40"/>
        </w:rPr>
        <w:t> </w:t>
      </w:r>
      <w:r>
        <w:rPr/>
        <w:t>is</w:t>
      </w:r>
      <w:r>
        <w:rPr>
          <w:spacing w:val="40"/>
        </w:rPr>
        <w:t> </w:t>
      </w:r>
      <w:r>
        <w:rPr/>
        <w:t>in</w:t>
      </w:r>
      <w:r>
        <w:rPr>
          <w:spacing w:val="40"/>
        </w:rPr>
        <w:t> </w:t>
      </w:r>
      <w:r>
        <w:rPr/>
        <w:t>fact</w:t>
      </w:r>
      <w:r>
        <w:rPr>
          <w:spacing w:val="40"/>
        </w:rPr>
        <w:t> </w:t>
      </w:r>
      <w:r>
        <w:rPr/>
        <w:t>a</w:t>
      </w:r>
      <w:r>
        <w:rPr>
          <w:spacing w:val="40"/>
        </w:rPr>
        <w:t> </w:t>
      </w:r>
      <w:r>
        <w:rPr/>
        <w:t>main effect of shock severity, and this convention is fixed by standard practice independent of what</w:t>
      </w:r>
      <w:r>
        <w:rPr>
          <w:spacing w:val="19"/>
        </w:rPr>
        <w:t> </w:t>
      </w:r>
      <w:r>
        <w:rPr/>
        <w:t>either coefficient</w:t>
      </w:r>
      <w:r>
        <w:rPr>
          <w:spacing w:val="19"/>
        </w:rPr>
        <w:t> </w:t>
      </w:r>
      <w:r>
        <w:rPr/>
        <w:t>turns</w:t>
      </w:r>
      <w:r>
        <w:rPr>
          <w:spacing w:val="19"/>
        </w:rPr>
        <w:t> </w:t>
      </w:r>
      <w:r>
        <w:rPr/>
        <w:t>out</w:t>
      </w:r>
      <w:r>
        <w:rPr>
          <w:spacing w:val="19"/>
        </w:rPr>
        <w:t> </w:t>
      </w:r>
      <w:r>
        <w:rPr/>
        <w:t>to equal.</w:t>
      </w:r>
      <w:r>
        <w:rPr>
          <w:spacing w:val="19"/>
        </w:rPr>
        <w:t> </w:t>
      </w:r>
      <w:r>
        <w:rPr>
          <w:b/>
        </w:rPr>
        <w:t>Specification</w:t>
      </w:r>
      <w:r>
        <w:rPr>
          <w:b/>
          <w:spacing w:val="19"/>
        </w:rPr>
        <w:t> </w:t>
      </w:r>
      <w:r>
        <w:rPr>
          <w:b/>
        </w:rPr>
        <w:t>II</w:t>
      </w:r>
      <w:r>
        <w:rPr>
          <w:b/>
          <w:spacing w:val="19"/>
        </w:rPr>
        <w:t> </w:t>
      </w:r>
      <w:r>
        <w:rPr>
          <w:b/>
        </w:rPr>
        <w:t>(concentration-direct)</w:t>
      </w:r>
      <w:r>
        <w:rPr/>
        <w:t>,</w:t>
      </w:r>
    </w:p>
    <w:p>
      <w:pPr>
        <w:pStyle w:val="BodyText"/>
        <w:spacing w:line="328" w:lineRule="exact"/>
      </w:pPr>
      <w:r>
        <w:rPr/>
        <w:t>reported</w:t>
      </w:r>
      <w:r>
        <w:rPr>
          <w:spacing w:val="59"/>
        </w:rPr>
        <w:t> </w:t>
      </w:r>
      <w:r>
        <w:rPr/>
        <w:t>in</w:t>
      </w:r>
      <w:r>
        <w:rPr>
          <w:spacing w:val="59"/>
        </w:rPr>
        <w:t> </w:t>
      </w:r>
      <w:r>
        <w:rPr/>
        <w:t>Appendix</w:t>
      </w:r>
      <w:r>
        <w:rPr>
          <w:spacing w:val="62"/>
        </w:rPr>
        <w:t> </w:t>
      </w:r>
      <w:r>
        <w:rPr/>
        <w:t>F</w:t>
      </w:r>
      <w:r>
        <w:rPr>
          <w:spacing w:val="58"/>
        </w:rPr>
        <w:t> </w:t>
      </w:r>
      <w:r>
        <w:rPr/>
        <w:t>(peak_outflow</w:t>
      </w:r>
      <w:r>
        <w:rPr>
          <w:spacing w:val="29"/>
        </w:rPr>
        <w:t>  </w:t>
      </w:r>
      <w:r>
        <w:rPr>
          <w:rFonts w:ascii="Lucida Sans Unicode" w:hAnsi="Lucida Sans Unicode"/>
        </w:rPr>
        <w:t>∼</w:t>
      </w:r>
      <w:r>
        <w:rPr>
          <w:rFonts w:ascii="Lucida Sans Unicode" w:hAnsi="Lucida Sans Unicode"/>
          <w:spacing w:val="63"/>
          <w:w w:val="150"/>
        </w:rPr>
        <w:t> </w:t>
      </w:r>
      <w:r>
        <w:rPr/>
        <w:t>κ</w:t>
      </w:r>
      <w:r>
        <w:rPr>
          <w:spacing w:val="58"/>
        </w:rPr>
        <w:t> </w:t>
      </w:r>
      <w:r>
        <w:rPr/>
        <w:t>+</w:t>
      </w:r>
      <w:r>
        <w:rPr>
          <w:spacing w:val="56"/>
        </w:rPr>
        <w:t> </w:t>
      </w:r>
      <w:r>
        <w:rPr/>
        <w:t>C</w:t>
      </w:r>
      <w:r>
        <w:rPr>
          <w:spacing w:val="60"/>
        </w:rPr>
        <w:t> </w:t>
      </w:r>
      <w:r>
        <w:rPr/>
        <w:t>+</w:t>
      </w:r>
      <w:r>
        <w:rPr>
          <w:spacing w:val="56"/>
        </w:rPr>
        <w:t> </w:t>
      </w:r>
      <w:r>
        <w:rPr/>
        <w:t>θ₂·(C×S)),</w:t>
      </w:r>
      <w:r>
        <w:rPr>
          <w:spacing w:val="59"/>
        </w:rPr>
        <w:t> </w:t>
      </w:r>
      <w:r>
        <w:rPr/>
        <w:t>instead</w:t>
      </w:r>
      <w:r>
        <w:rPr>
          <w:spacing w:val="56"/>
        </w:rPr>
        <w:t> </w:t>
      </w:r>
      <w:r>
        <w:rPr>
          <w:spacing w:val="-2"/>
        </w:rPr>
        <w:t>includes</w:t>
      </w:r>
    </w:p>
    <w:p>
      <w:pPr>
        <w:pStyle w:val="BodyText"/>
        <w:spacing w:line="480" w:lineRule="auto" w:before="222"/>
        <w:ind w:right="316"/>
        <w:jc w:val="both"/>
      </w:pPr>
      <w:r>
        <w:rPr/>
        <w:t>concentration C directly; it produces θ₂=0.3827 and serves as a provenance/weighting robustness check. Neither specification is designated “primary” on the basis of its results. The reason their magnitudes differ is measurable, not merely qualitative: concentration C, severity S, and the interaction C×S are highly collinear in this panel (corr(C, C×S)=0.899; corr(S, C×S)=0.874; corr(C, S)=0.582), so whichever term is included as the direct regressor absorbs a different share of the shared variance, mechanically re-allocating the coefficient on the interaction term. This is why θ₂</w:t>
      </w:r>
      <w:r>
        <w:rPr>
          <w:spacing w:val="40"/>
        </w:rPr>
        <w:t> </w:t>
      </w:r>
      <w:r>
        <w:rPr/>
        <w:t>moves from 0.2466 (Specification I) to 0.3827 (Specification II) depending on which main effect is included</w:t>
      </w:r>
      <w:r>
        <w:rPr>
          <w:spacing w:val="40"/>
        </w:rPr>
        <w:t> </w:t>
      </w:r>
      <w:r>
        <w:rPr/>
        <w:t>—</w:t>
      </w:r>
      <w:r>
        <w:rPr>
          <w:spacing w:val="40"/>
        </w:rPr>
        <w:t> </w:t>
      </w:r>
      <w:r>
        <w:rPr/>
        <w:t>the two specifications test different things and their magnitudes are not directly comparable, though both confirm the positive sign and significance of the concentration×shock channel on the full panel (see Appendix F, Table F2):</w:t>
      </w:r>
    </w:p>
    <w:p>
      <w:pPr>
        <w:spacing w:line="288" w:lineRule="exact" w:before="0"/>
        <w:ind w:left="99" w:right="0" w:firstLine="0"/>
        <w:jc w:val="both"/>
        <w:rPr>
          <w:i/>
          <w:iCs/>
          <w:sz w:val="24"/>
          <w:szCs w:val="24"/>
        </w:rPr>
      </w:pPr>
      <w:r>
        <w:rPr>
          <w:i/>
          <w:iCs/>
          <w:sz w:val="24"/>
          <w:szCs w:val="24"/>
        </w:rPr>
        <w:t>peak_outflow_i</w:t>
      </w:r>
      <w:r>
        <w:rPr>
          <w:i/>
          <w:iCs/>
          <w:spacing w:val="-2"/>
          <w:sz w:val="24"/>
          <w:szCs w:val="24"/>
        </w:rPr>
        <w:t> </w:t>
      </w:r>
      <w:r>
        <w:rPr>
          <w:i/>
          <w:iCs/>
          <w:sz w:val="24"/>
          <w:szCs w:val="24"/>
        </w:rPr>
        <w:t>=</w:t>
      </w:r>
      <w:r>
        <w:rPr>
          <w:i/>
          <w:iCs/>
          <w:spacing w:val="-4"/>
          <w:sz w:val="24"/>
          <w:szCs w:val="24"/>
        </w:rPr>
        <w:t> </w:t>
      </w:r>
      <w:r>
        <w:rPr>
          <w:i/>
          <w:iCs/>
          <w:sz w:val="24"/>
          <w:szCs w:val="24"/>
        </w:rPr>
        <w:t>κ</w:t>
      </w:r>
      <w:r>
        <w:rPr>
          <w:i/>
          <w:iCs/>
          <w:spacing w:val="-3"/>
          <w:sz w:val="24"/>
          <w:szCs w:val="24"/>
        </w:rPr>
        <w:t> </w:t>
      </w:r>
      <w:r>
        <w:rPr>
          <w:i/>
          <w:iCs/>
          <w:sz w:val="24"/>
          <w:szCs w:val="24"/>
        </w:rPr>
        <w:t>+</w:t>
      </w:r>
      <w:r>
        <w:rPr>
          <w:i/>
          <w:iCs/>
          <w:spacing w:val="-2"/>
          <w:sz w:val="24"/>
          <w:szCs w:val="24"/>
        </w:rPr>
        <w:t> </w:t>
      </w:r>
      <w:r>
        <w:rPr>
          <w:i/>
          <w:iCs/>
          <w:sz w:val="24"/>
          <w:szCs w:val="24"/>
        </w:rPr>
        <w:t>θ₁·S_i</w:t>
      </w:r>
      <w:r>
        <w:rPr>
          <w:i/>
          <w:iCs/>
          <w:spacing w:val="-4"/>
          <w:sz w:val="24"/>
          <w:szCs w:val="24"/>
        </w:rPr>
        <w:t> </w:t>
      </w:r>
      <w:r>
        <w:rPr>
          <w:i/>
          <w:iCs/>
          <w:sz w:val="24"/>
          <w:szCs w:val="24"/>
        </w:rPr>
        <w:t>+</w:t>
      </w:r>
      <w:r>
        <w:rPr>
          <w:i/>
          <w:iCs/>
          <w:spacing w:val="-1"/>
          <w:sz w:val="24"/>
          <w:szCs w:val="24"/>
        </w:rPr>
        <w:t> </w:t>
      </w:r>
      <w:r>
        <w:rPr>
          <w:i/>
          <w:iCs/>
          <w:sz w:val="24"/>
          <w:szCs w:val="24"/>
        </w:rPr>
        <w:t>θ₂·(C_i</w:t>
      </w:r>
      <w:r>
        <w:rPr>
          <w:i/>
          <w:iCs/>
          <w:spacing w:val="53"/>
          <w:sz w:val="24"/>
          <w:szCs w:val="24"/>
        </w:rPr>
        <w:t> </w:t>
      </w:r>
      <w:r>
        <w:rPr>
          <w:i/>
          <w:iCs/>
          <w:sz w:val="24"/>
          <w:szCs w:val="24"/>
        </w:rPr>
        <w:t>×</w:t>
      </w:r>
      <w:r>
        <w:rPr>
          <w:i/>
          <w:iCs/>
          <w:spacing w:val="56"/>
          <w:sz w:val="24"/>
          <w:szCs w:val="24"/>
        </w:rPr>
        <w:t> </w:t>
      </w:r>
      <w:r>
        <w:rPr>
          <w:i/>
          <w:iCs/>
          <w:sz w:val="24"/>
          <w:szCs w:val="24"/>
        </w:rPr>
        <w:t>S_i)</w:t>
      </w:r>
      <w:r>
        <w:rPr>
          <w:i/>
          <w:iCs/>
          <w:spacing w:val="-3"/>
          <w:sz w:val="24"/>
          <w:szCs w:val="24"/>
        </w:rPr>
        <w:t> </w:t>
      </w:r>
      <w:r>
        <w:rPr>
          <w:i/>
          <w:iCs/>
          <w:sz w:val="24"/>
          <w:szCs w:val="24"/>
        </w:rPr>
        <w:t>+</w:t>
      </w:r>
      <w:r>
        <w:rPr>
          <w:i/>
          <w:iCs/>
          <w:spacing w:val="-4"/>
          <w:sz w:val="24"/>
          <w:szCs w:val="24"/>
        </w:rPr>
        <w:t> </w:t>
      </w:r>
      <w:r>
        <w:rPr>
          <w:i/>
          <w:iCs/>
          <w:sz w:val="24"/>
          <w:szCs w:val="24"/>
        </w:rPr>
        <w:t>ε</w:t>
      </w:r>
      <w:r>
        <w:rPr>
          <w:rFonts w:ascii="Tahoma" w:hAnsi="Tahoma" w:cs="Tahoma" w:eastAsia="Tahoma"/>
          <w:i/>
          <w:iCs/>
          <w:sz w:val="25"/>
          <w:szCs w:val="25"/>
        </w:rPr>
        <w:t>ᵢ</w:t>
      </w:r>
      <w:r>
        <w:rPr>
          <w:i/>
          <w:iCs/>
          <w:sz w:val="24"/>
          <w:szCs w:val="24"/>
        </w:rPr>
        <w:t>,</w:t>
      </w:r>
      <w:r>
        <w:rPr>
          <w:i/>
          <w:iCs/>
          <w:spacing w:val="-3"/>
          <w:sz w:val="24"/>
          <w:szCs w:val="24"/>
        </w:rPr>
        <w:t> </w:t>
      </w:r>
      <w:r>
        <w:rPr>
          <w:i/>
          <w:iCs/>
          <w:sz w:val="24"/>
          <w:szCs w:val="24"/>
        </w:rPr>
        <w:t>ε</w:t>
      </w:r>
      <w:r>
        <w:rPr>
          <w:rFonts w:ascii="Tahoma" w:hAnsi="Tahoma" w:cs="Tahoma" w:eastAsia="Tahoma"/>
          <w:i/>
          <w:iCs/>
          <w:sz w:val="25"/>
          <w:szCs w:val="25"/>
        </w:rPr>
        <w:t>ᵢ</w:t>
      </w:r>
      <w:r>
        <w:rPr>
          <w:rFonts w:ascii="Tahoma" w:hAnsi="Tahoma" w:cs="Tahoma" w:eastAsia="Tahoma"/>
          <w:i/>
          <w:iCs/>
          <w:spacing w:val="35"/>
          <w:sz w:val="25"/>
          <w:szCs w:val="25"/>
        </w:rPr>
        <w:t> </w:t>
      </w:r>
      <w:r>
        <w:rPr>
          <w:i/>
          <w:iCs/>
          <w:sz w:val="24"/>
          <w:szCs w:val="24"/>
        </w:rPr>
        <w:t>~</w:t>
      </w:r>
      <w:r>
        <w:rPr>
          <w:i/>
          <w:iCs/>
          <w:spacing w:val="-3"/>
          <w:sz w:val="24"/>
          <w:szCs w:val="24"/>
        </w:rPr>
        <w:t> </w:t>
      </w:r>
      <w:r>
        <w:rPr>
          <w:i/>
          <w:iCs/>
          <w:sz w:val="24"/>
          <w:szCs w:val="24"/>
        </w:rPr>
        <w:t>N(0,</w:t>
      </w:r>
      <w:r>
        <w:rPr>
          <w:i/>
          <w:iCs/>
          <w:spacing w:val="-5"/>
          <w:sz w:val="24"/>
          <w:szCs w:val="24"/>
        </w:rPr>
        <w:t> </w:t>
      </w:r>
      <w:r>
        <w:rPr>
          <w:i/>
          <w:iCs/>
          <w:sz w:val="24"/>
          <w:szCs w:val="24"/>
        </w:rPr>
        <w:t>σ²)</w:t>
      </w:r>
      <w:r>
        <w:rPr>
          <w:i/>
          <w:iCs/>
          <w:spacing w:val="-7"/>
          <w:sz w:val="24"/>
          <w:szCs w:val="24"/>
        </w:rPr>
        <w:t> </w:t>
      </w:r>
      <w:r>
        <w:rPr>
          <w:i/>
          <w:iCs/>
          <w:sz w:val="24"/>
          <w:szCs w:val="24"/>
        </w:rPr>
        <w:t>(Eq.</w:t>
      </w:r>
      <w:r>
        <w:rPr>
          <w:i/>
          <w:iCs/>
          <w:spacing w:val="-3"/>
          <w:sz w:val="24"/>
          <w:szCs w:val="24"/>
        </w:rPr>
        <w:t> </w:t>
      </w:r>
      <w:r>
        <w:rPr>
          <w:i/>
          <w:iCs/>
          <w:spacing w:val="-5"/>
          <w:sz w:val="24"/>
          <w:szCs w:val="24"/>
        </w:rPr>
        <w:t>2)</w:t>
      </w:r>
    </w:p>
    <w:p>
      <w:pPr>
        <w:pStyle w:val="BodyText"/>
        <w:spacing w:before="54"/>
        <w:ind w:left="0"/>
        <w:rPr>
          <w:i/>
        </w:rPr>
      </w:pPr>
    </w:p>
    <w:p>
      <w:pPr>
        <w:pStyle w:val="BodyText"/>
        <w:spacing w:line="480" w:lineRule="auto"/>
        <w:ind w:right="377"/>
        <w:jc w:val="both"/>
      </w:pPr>
      <w:r>
        <w:rPr/>
        <w:t>θ₂=0.2466 (p&lt;0.001) under Specification I: concentration</w:t>
      </w:r>
      <w:r>
        <w:rPr>
          <w:spacing w:val="40"/>
        </w:rPr>
        <w:t> </w:t>
      </w:r>
      <w:r>
        <w:rPr/>
        <w:t>×</w:t>
      </w:r>
      <w:r>
        <w:rPr>
          <w:spacing w:val="40"/>
        </w:rPr>
        <w:t> </w:t>
      </w:r>
      <w:r>
        <w:rPr/>
        <w:t>shock is a statistically identifiable</w:t>
      </w:r>
      <w:r>
        <w:rPr>
          <w:spacing w:val="13"/>
        </w:rPr>
        <w:t> </w:t>
      </w:r>
      <w:r>
        <w:rPr/>
        <w:t>driver</w:t>
      </w:r>
      <w:r>
        <w:rPr>
          <w:spacing w:val="14"/>
        </w:rPr>
        <w:t> </w:t>
      </w:r>
      <w:r>
        <w:rPr/>
        <w:t>of</w:t>
      </w:r>
      <w:r>
        <w:rPr>
          <w:spacing w:val="16"/>
        </w:rPr>
        <w:t> </w:t>
      </w:r>
      <w:r>
        <w:rPr/>
        <w:t>peak</w:t>
      </w:r>
      <w:r>
        <w:rPr>
          <w:spacing w:val="16"/>
        </w:rPr>
        <w:t> </w:t>
      </w:r>
      <w:r>
        <w:rPr/>
        <w:t>outflow.</w:t>
      </w:r>
      <w:r>
        <w:rPr>
          <w:spacing w:val="14"/>
        </w:rPr>
        <w:t> </w:t>
      </w:r>
      <w:r>
        <w:rPr/>
        <w:t>θ₁</w:t>
      </w:r>
      <w:r>
        <w:rPr>
          <w:spacing w:val="68"/>
        </w:rPr>
        <w:t> </w:t>
      </w:r>
      <w:r>
        <w:rPr/>
        <w:t>is</w:t>
      </w:r>
      <w:r>
        <w:rPr>
          <w:spacing w:val="14"/>
        </w:rPr>
        <w:t> </w:t>
      </w:r>
      <w:r>
        <w:rPr/>
        <w:t>not</w:t>
      </w:r>
      <w:r>
        <w:rPr>
          <w:spacing w:val="15"/>
        </w:rPr>
        <w:t> </w:t>
      </w:r>
      <w:r>
        <w:rPr/>
        <w:t>significant</w:t>
      </w:r>
      <w:r>
        <w:rPr>
          <w:spacing w:val="15"/>
        </w:rPr>
        <w:t> </w:t>
      </w:r>
      <w:r>
        <w:rPr/>
        <w:t>(p=0.477).</w:t>
      </w:r>
      <w:r>
        <w:rPr>
          <w:spacing w:val="16"/>
        </w:rPr>
        <w:t> </w:t>
      </w:r>
      <w:r>
        <w:rPr/>
        <w:t>Table</w:t>
      </w:r>
      <w:r>
        <w:rPr>
          <w:spacing w:val="13"/>
        </w:rPr>
        <w:t> </w:t>
      </w:r>
      <w:r>
        <w:rPr/>
        <w:t>2b</w:t>
      </w:r>
      <w:r>
        <w:rPr>
          <w:spacing w:val="16"/>
        </w:rPr>
        <w:t> </w:t>
      </w:r>
      <w:r>
        <w:rPr>
          <w:spacing w:val="-2"/>
        </w:rPr>
        <w:t>reports</w:t>
      </w:r>
    </w:p>
    <w:p>
      <w:pPr>
        <w:pStyle w:val="BodyText"/>
        <w:spacing w:after="0" w:line="480" w:lineRule="auto"/>
        <w:jc w:val="both"/>
        <w:sectPr>
          <w:pgSz w:w="11900" w:h="16820"/>
          <w:pgMar w:header="714" w:footer="0" w:top="1340" w:bottom="280" w:left="1700" w:right="1417"/>
        </w:sectPr>
      </w:pPr>
    </w:p>
    <w:p>
      <w:pPr>
        <w:pStyle w:val="BodyText"/>
        <w:spacing w:line="482" w:lineRule="auto" w:before="79"/>
      </w:pPr>
      <w:r>
        <w:rPr/>
        <w:t>an</w:t>
      </w:r>
      <w:r>
        <w:rPr>
          <w:spacing w:val="65"/>
        </w:rPr>
        <w:t> </w:t>
      </w:r>
      <w:r>
        <w:rPr/>
        <w:t>extended</w:t>
      </w:r>
      <w:r>
        <w:rPr>
          <w:spacing w:val="66"/>
        </w:rPr>
        <w:t> </w:t>
      </w:r>
      <w:r>
        <w:rPr/>
        <w:t>version</w:t>
      </w:r>
      <w:r>
        <w:rPr>
          <w:spacing w:val="65"/>
        </w:rPr>
        <w:t> </w:t>
      </w:r>
      <w:r>
        <w:rPr/>
        <w:t>of</w:t>
      </w:r>
      <w:r>
        <w:rPr>
          <w:spacing w:val="64"/>
        </w:rPr>
        <w:t> </w:t>
      </w:r>
      <w:r>
        <w:rPr/>
        <w:t>Specification</w:t>
      </w:r>
      <w:r>
        <w:rPr>
          <w:spacing w:val="65"/>
        </w:rPr>
        <w:t> </w:t>
      </w:r>
      <w:r>
        <w:rPr/>
        <w:t>I</w:t>
      </w:r>
      <w:r>
        <w:rPr>
          <w:spacing w:val="64"/>
        </w:rPr>
        <w:t> </w:t>
      </w:r>
      <w:r>
        <w:rPr/>
        <w:t>that</w:t>
      </w:r>
      <w:r>
        <w:rPr>
          <w:spacing w:val="66"/>
        </w:rPr>
        <w:t> </w:t>
      </w:r>
      <w:r>
        <w:rPr/>
        <w:t>adds</w:t>
      </w:r>
      <w:r>
        <w:rPr>
          <w:spacing w:val="65"/>
        </w:rPr>
        <w:t> </w:t>
      </w:r>
      <w:r>
        <w:rPr/>
        <w:t>digital</w:t>
      </w:r>
      <w:r>
        <w:rPr>
          <w:spacing w:val="66"/>
        </w:rPr>
        <w:t> </w:t>
      </w:r>
      <w:r>
        <w:rPr/>
        <w:t>adoption</w:t>
      </w:r>
      <w:r>
        <w:rPr>
          <w:spacing w:val="66"/>
        </w:rPr>
        <w:t> </w:t>
      </w:r>
      <w:r>
        <w:rPr/>
        <w:t>D</w:t>
      </w:r>
      <w:r>
        <w:rPr>
          <w:spacing w:val="65"/>
        </w:rPr>
        <w:t> </w:t>
      </w:r>
      <w:r>
        <w:rPr/>
        <w:t>as</w:t>
      </w:r>
      <w:r>
        <w:rPr>
          <w:spacing w:val="65"/>
        </w:rPr>
        <w:t> </w:t>
      </w:r>
      <w:r>
        <w:rPr/>
        <w:t>a</w:t>
      </w:r>
      <w:r>
        <w:rPr>
          <w:spacing w:val="67"/>
        </w:rPr>
        <w:t> </w:t>
      </w:r>
      <w:r>
        <w:rPr/>
        <w:t>direct regressor;</w:t>
      </w:r>
      <w:r>
        <w:rPr>
          <w:spacing w:val="-3"/>
        </w:rPr>
        <w:t> </w:t>
      </w:r>
      <w:r>
        <w:rPr/>
        <w:t>θ₂</w:t>
      </w:r>
      <w:r>
        <w:rPr>
          <w:spacing w:val="48"/>
        </w:rPr>
        <w:t> </w:t>
      </w:r>
      <w:r>
        <w:rPr/>
        <w:t>remains</w:t>
      </w:r>
      <w:r>
        <w:rPr>
          <w:spacing w:val="-2"/>
        </w:rPr>
        <w:t> </w:t>
      </w:r>
      <w:r>
        <w:rPr/>
        <w:t>positive</w:t>
      </w:r>
      <w:r>
        <w:rPr>
          <w:spacing w:val="-4"/>
        </w:rPr>
        <w:t> </w:t>
      </w:r>
      <w:r>
        <w:rPr/>
        <w:t>and</w:t>
      </w:r>
      <w:r>
        <w:rPr>
          <w:spacing w:val="-3"/>
        </w:rPr>
        <w:t> </w:t>
      </w:r>
      <w:r>
        <w:rPr/>
        <w:t>significant</w:t>
      </w:r>
      <w:r>
        <w:rPr>
          <w:spacing w:val="-2"/>
        </w:rPr>
        <w:t> </w:t>
      </w:r>
      <w:r>
        <w:rPr/>
        <w:t>(0.209,</w:t>
      </w:r>
      <w:r>
        <w:rPr>
          <w:spacing w:val="-3"/>
        </w:rPr>
        <w:t> </w:t>
      </w:r>
      <w:r>
        <w:rPr/>
        <w:t>p=0.0031)</w:t>
      </w:r>
      <w:r>
        <w:rPr>
          <w:spacing w:val="-4"/>
        </w:rPr>
        <w:t> </w:t>
      </w:r>
      <w:r>
        <w:rPr/>
        <w:t>after</w:t>
      </w:r>
      <w:r>
        <w:rPr>
          <w:spacing w:val="-1"/>
        </w:rPr>
        <w:t> </w:t>
      </w:r>
      <w:r>
        <w:rPr/>
        <w:t>conditioning</w:t>
      </w:r>
      <w:r>
        <w:rPr>
          <w:spacing w:val="-5"/>
        </w:rPr>
        <w:t> on</w:t>
      </w:r>
    </w:p>
    <w:p>
      <w:pPr>
        <w:pStyle w:val="BodyText"/>
        <w:spacing w:line="480" w:lineRule="auto"/>
        <w:ind w:right="302"/>
      </w:pPr>
      <w:r>
        <w:rPr/>
        <w:t>D. The point estimate declines slightly from 0.2466 because D is correlated with the C×S term and absorbs part of the shared variance, but the sign and significance of the concentration×shock</w:t>
      </w:r>
      <w:r>
        <w:rPr>
          <w:spacing w:val="80"/>
        </w:rPr>
        <w:t> </w:t>
      </w:r>
      <w:r>
        <w:rPr/>
        <w:t>channel</w:t>
      </w:r>
      <w:r>
        <w:rPr>
          <w:spacing w:val="80"/>
        </w:rPr>
        <w:t> </w:t>
      </w:r>
      <w:r>
        <w:rPr/>
        <w:t>are</w:t>
      </w:r>
      <w:r>
        <w:rPr>
          <w:spacing w:val="80"/>
        </w:rPr>
        <w:t> </w:t>
      </w:r>
      <w:r>
        <w:rPr/>
        <w:t>retained.</w:t>
      </w:r>
      <w:r>
        <w:rPr>
          <w:spacing w:val="80"/>
        </w:rPr>
        <w:t> </w:t>
      </w:r>
      <w:r>
        <w:rPr/>
        <w:t>D’s</w:t>
      </w:r>
      <w:r>
        <w:rPr>
          <w:spacing w:val="80"/>
        </w:rPr>
        <w:t> </w:t>
      </w:r>
      <w:r>
        <w:rPr/>
        <w:t>own</w:t>
      </w:r>
      <w:r>
        <w:rPr>
          <w:spacing w:val="80"/>
        </w:rPr>
        <w:t> </w:t>
      </w:r>
      <w:r>
        <w:rPr/>
        <w:t>coefficient</w:t>
      </w:r>
      <w:r>
        <w:rPr>
          <w:spacing w:val="80"/>
        </w:rPr>
        <w:t> </w:t>
      </w:r>
      <w:r>
        <w:rPr/>
        <w:t>is</w:t>
      </w:r>
      <w:r>
        <w:rPr>
          <w:spacing w:val="80"/>
        </w:rPr>
        <w:t> </w:t>
      </w:r>
      <w:r>
        <w:rPr/>
        <w:t>positive</w:t>
      </w:r>
      <w:r>
        <w:rPr>
          <w:spacing w:val="80"/>
        </w:rPr>
        <w:t> </w:t>
      </w:r>
      <w:r>
        <w:rPr/>
        <w:t>yet statistically inconclusive (θ₃=0.0394, p=0.0973), so a genuinely independent additive digital-adoption</w:t>
      </w:r>
      <w:r>
        <w:rPr>
          <w:spacing w:val="80"/>
        </w:rPr>
        <w:t> </w:t>
      </w:r>
      <w:r>
        <w:rPr/>
        <w:t>channel</w:t>
      </w:r>
      <w:r>
        <w:rPr>
          <w:spacing w:val="80"/>
        </w:rPr>
        <w:t> </w:t>
      </w:r>
      <w:r>
        <w:rPr/>
        <w:t>is</w:t>
      </w:r>
      <w:r>
        <w:rPr>
          <w:spacing w:val="80"/>
        </w:rPr>
        <w:t> </w:t>
      </w:r>
      <w:r>
        <w:rPr/>
        <w:t>not</w:t>
      </w:r>
      <w:r>
        <w:rPr>
          <w:spacing w:val="80"/>
        </w:rPr>
        <w:t> </w:t>
      </w:r>
      <w:r>
        <w:rPr/>
        <w:t>confirmed</w:t>
      </w:r>
      <w:r>
        <w:rPr>
          <w:spacing w:val="80"/>
        </w:rPr>
        <w:t> </w:t>
      </w:r>
      <w:r>
        <w:rPr/>
        <w:t>at</w:t>
      </w:r>
      <w:r>
        <w:rPr>
          <w:spacing w:val="80"/>
        </w:rPr>
        <w:t> </w:t>
      </w:r>
      <w:r>
        <w:rPr/>
        <w:t>conventional</w:t>
      </w:r>
      <w:r>
        <w:rPr>
          <w:spacing w:val="80"/>
        </w:rPr>
        <w:t> </w:t>
      </w:r>
      <w:r>
        <w:rPr/>
        <w:t>significance</w:t>
      </w:r>
      <w:r>
        <w:rPr>
          <w:spacing w:val="80"/>
        </w:rPr>
        <w:t> </w:t>
      </w:r>
      <w:r>
        <w:rPr/>
        <w:t>in</w:t>
      </w:r>
      <w:r>
        <w:rPr>
          <w:spacing w:val="80"/>
        </w:rPr>
        <w:t> </w:t>
      </w:r>
      <w:r>
        <w:rPr/>
        <w:t>the</w:t>
      </w:r>
      <w:r>
        <w:rPr>
          <w:spacing w:val="40"/>
        </w:rPr>
        <w:t> </w:t>
      </w:r>
      <w:r>
        <w:rPr/>
        <w:t>reconciled</w:t>
      </w:r>
      <w:r>
        <w:rPr>
          <w:spacing w:val="40"/>
        </w:rPr>
        <w:t> </w:t>
      </w:r>
      <w:r>
        <w:rPr/>
        <w:t>panel.</w:t>
      </w:r>
      <w:r>
        <w:rPr>
          <w:spacing w:val="40"/>
        </w:rPr>
        <w:t> </w:t>
      </w:r>
      <w:r>
        <w:rPr/>
        <w:t>Table</w:t>
      </w:r>
      <w:r>
        <w:rPr>
          <w:spacing w:val="40"/>
        </w:rPr>
        <w:t> </w:t>
      </w:r>
      <w:r>
        <w:rPr/>
        <w:t>2</w:t>
      </w:r>
      <w:r>
        <w:rPr>
          <w:spacing w:val="40"/>
        </w:rPr>
        <w:t> </w:t>
      </w:r>
      <w:r>
        <w:rPr/>
        <w:t>(Specification</w:t>
      </w:r>
      <w:r>
        <w:rPr>
          <w:spacing w:val="40"/>
        </w:rPr>
        <w:t> </w:t>
      </w:r>
      <w:r>
        <w:rPr/>
        <w:t>I)</w:t>
      </w:r>
      <w:r>
        <w:rPr>
          <w:spacing w:val="40"/>
        </w:rPr>
        <w:t> </w:t>
      </w:r>
      <w:r>
        <w:rPr/>
        <w:t>and</w:t>
      </w:r>
      <w:r>
        <w:rPr>
          <w:spacing w:val="40"/>
        </w:rPr>
        <w:t> </w:t>
      </w:r>
      <w:r>
        <w:rPr/>
        <w:t>Table</w:t>
      </w:r>
      <w:r>
        <w:rPr>
          <w:spacing w:val="40"/>
        </w:rPr>
        <w:t> </w:t>
      </w:r>
      <w:r>
        <w:rPr/>
        <w:t>2b</w:t>
      </w:r>
      <w:r>
        <w:rPr>
          <w:spacing w:val="40"/>
        </w:rPr>
        <w:t> </w:t>
      </w:r>
      <w:r>
        <w:rPr/>
        <w:t>(Specification</w:t>
      </w:r>
      <w:r>
        <w:rPr>
          <w:spacing w:val="40"/>
        </w:rPr>
        <w:t> </w:t>
      </w:r>
      <w:r>
        <w:rPr/>
        <w:t>I</w:t>
      </w:r>
      <w:r>
        <w:rPr>
          <w:spacing w:val="40"/>
        </w:rPr>
        <w:t> </w:t>
      </w:r>
      <w:r>
        <w:rPr/>
        <w:t>plus</w:t>
      </w:r>
      <w:r>
        <w:rPr>
          <w:spacing w:val="40"/>
        </w:rPr>
        <w:t> </w:t>
      </w:r>
      <w:r>
        <w:rPr/>
        <w:t>D) together show that the concentration×shock channel survives conditioning on digital adoption, while the digital-adoption channel itself remains only suggestive in sign.</w:t>
      </w:r>
    </w:p>
    <w:p>
      <w:pPr>
        <w:spacing w:before="231"/>
        <w:ind w:left="120" w:right="0" w:firstLine="0"/>
        <w:jc w:val="left"/>
        <w:rPr>
          <w:b/>
          <w:sz w:val="24"/>
        </w:rPr>
      </w:pPr>
      <w:r>
        <w:rPr>
          <w:b/>
          <w:sz w:val="24"/>
        </w:rPr>
        <w:t>Table2.</w:t>
      </w:r>
      <w:r>
        <w:rPr>
          <w:b/>
          <w:spacing w:val="-13"/>
          <w:sz w:val="24"/>
        </w:rPr>
        <w:t> </w:t>
      </w:r>
      <w:r>
        <w:rPr>
          <w:b/>
          <w:sz w:val="24"/>
        </w:rPr>
        <w:t>OLS/MLE</w:t>
      </w:r>
      <w:r>
        <w:rPr>
          <w:b/>
          <w:spacing w:val="-15"/>
          <w:sz w:val="24"/>
        </w:rPr>
        <w:t> </w:t>
      </w:r>
      <w:r>
        <w:rPr>
          <w:b/>
          <w:sz w:val="24"/>
        </w:rPr>
        <w:t>Estimation</w:t>
      </w:r>
      <w:r>
        <w:rPr>
          <w:b/>
          <w:spacing w:val="-13"/>
          <w:sz w:val="24"/>
        </w:rPr>
        <w:t> </w:t>
      </w:r>
      <w:r>
        <w:rPr>
          <w:b/>
          <w:sz w:val="24"/>
        </w:rPr>
        <w:t>Results</w:t>
      </w:r>
      <w:r>
        <w:rPr>
          <w:b/>
          <w:spacing w:val="-13"/>
          <w:sz w:val="24"/>
        </w:rPr>
        <w:t> </w:t>
      </w:r>
      <w:r>
        <w:rPr>
          <w:b/>
          <w:sz w:val="24"/>
        </w:rPr>
        <w:t>(n=81,</w:t>
      </w:r>
      <w:r>
        <w:rPr>
          <w:b/>
          <w:spacing w:val="-13"/>
          <w:sz w:val="24"/>
        </w:rPr>
        <w:t> </w:t>
      </w:r>
      <w:r>
        <w:rPr>
          <w:b/>
          <w:sz w:val="24"/>
        </w:rPr>
        <w:t>Dependent</w:t>
      </w:r>
      <w:r>
        <w:rPr>
          <w:b/>
          <w:spacing w:val="-12"/>
          <w:sz w:val="24"/>
        </w:rPr>
        <w:t> </w:t>
      </w:r>
      <w:r>
        <w:rPr>
          <w:b/>
          <w:sz w:val="24"/>
        </w:rPr>
        <w:t>Variable:</w:t>
      </w:r>
      <w:r>
        <w:rPr>
          <w:b/>
          <w:spacing w:val="-14"/>
          <w:sz w:val="24"/>
        </w:rPr>
        <w:t> </w:t>
      </w:r>
      <w:r>
        <w:rPr>
          <w:b/>
          <w:spacing w:val="-2"/>
          <w:sz w:val="24"/>
        </w:rPr>
        <w:t>peak_outflow)</w:t>
      </w:r>
    </w:p>
    <w:p>
      <w:pPr>
        <w:pStyle w:val="BodyText"/>
        <w:ind w:left="0"/>
        <w:rPr>
          <w:b/>
          <w:sz w:val="17"/>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9"/>
        <w:gridCol w:w="943"/>
        <w:gridCol w:w="1089"/>
        <w:gridCol w:w="1233"/>
        <w:gridCol w:w="945"/>
        <w:gridCol w:w="1015"/>
        <w:gridCol w:w="1001"/>
        <w:gridCol w:w="663"/>
      </w:tblGrid>
      <w:tr>
        <w:trPr>
          <w:trHeight w:val="280" w:hRule="atLeast"/>
        </w:trPr>
        <w:tc>
          <w:tcPr>
            <w:tcW w:w="1389" w:type="dxa"/>
          </w:tcPr>
          <w:p>
            <w:pPr>
              <w:pStyle w:val="TableParagraph"/>
              <w:spacing w:line="246" w:lineRule="exact"/>
              <w:ind w:left="191"/>
              <w:rPr>
                <w:b/>
                <w:sz w:val="22"/>
              </w:rPr>
            </w:pPr>
            <w:r>
              <w:rPr>
                <w:b/>
                <w:spacing w:val="-2"/>
                <w:sz w:val="22"/>
              </w:rPr>
              <w:t>Parameter</w:t>
            </w:r>
          </w:p>
        </w:tc>
        <w:tc>
          <w:tcPr>
            <w:tcW w:w="943" w:type="dxa"/>
          </w:tcPr>
          <w:p>
            <w:pPr>
              <w:pStyle w:val="TableParagraph"/>
              <w:spacing w:line="246" w:lineRule="exact"/>
              <w:ind w:left="114"/>
              <w:rPr>
                <w:b/>
                <w:sz w:val="22"/>
              </w:rPr>
            </w:pPr>
            <w:r>
              <w:rPr>
                <w:b/>
                <w:spacing w:val="-2"/>
                <w:sz w:val="22"/>
              </w:rPr>
              <w:t>Symbol</w:t>
            </w:r>
          </w:p>
        </w:tc>
        <w:tc>
          <w:tcPr>
            <w:tcW w:w="1089" w:type="dxa"/>
          </w:tcPr>
          <w:p>
            <w:pPr>
              <w:pStyle w:val="TableParagraph"/>
              <w:spacing w:line="246" w:lineRule="exact"/>
              <w:ind w:left="128"/>
              <w:rPr>
                <w:b/>
                <w:sz w:val="22"/>
              </w:rPr>
            </w:pPr>
            <w:r>
              <w:rPr>
                <w:b/>
                <w:spacing w:val="-2"/>
                <w:sz w:val="22"/>
              </w:rPr>
              <w:t>Estimate</w:t>
            </w:r>
          </w:p>
        </w:tc>
        <w:tc>
          <w:tcPr>
            <w:tcW w:w="1233" w:type="dxa"/>
          </w:tcPr>
          <w:p>
            <w:pPr>
              <w:pStyle w:val="TableParagraph"/>
              <w:spacing w:line="246" w:lineRule="exact"/>
              <w:ind w:left="126"/>
              <w:rPr>
                <w:b/>
                <w:sz w:val="22"/>
              </w:rPr>
            </w:pPr>
            <w:r>
              <w:rPr>
                <w:b/>
                <w:sz w:val="22"/>
              </w:rPr>
              <w:t>Std.</w:t>
            </w:r>
            <w:r>
              <w:rPr>
                <w:b/>
                <w:spacing w:val="-4"/>
                <w:sz w:val="22"/>
              </w:rPr>
              <w:t> </w:t>
            </w:r>
            <w:r>
              <w:rPr>
                <w:b/>
                <w:spacing w:val="-2"/>
                <w:sz w:val="22"/>
              </w:rPr>
              <w:t>Error</w:t>
            </w:r>
          </w:p>
        </w:tc>
        <w:tc>
          <w:tcPr>
            <w:tcW w:w="945" w:type="dxa"/>
          </w:tcPr>
          <w:p>
            <w:pPr>
              <w:pStyle w:val="TableParagraph"/>
              <w:spacing w:line="246" w:lineRule="exact"/>
              <w:ind w:left="227"/>
              <w:rPr>
                <w:b/>
                <w:sz w:val="22"/>
              </w:rPr>
            </w:pPr>
            <w:r>
              <w:rPr>
                <w:b/>
                <w:spacing w:val="-2"/>
                <w:sz w:val="22"/>
              </w:rPr>
              <w:t>t-</w:t>
            </w:r>
            <w:r>
              <w:rPr>
                <w:b/>
                <w:spacing w:val="-4"/>
                <w:sz w:val="22"/>
              </w:rPr>
              <w:t>stat</w:t>
            </w:r>
          </w:p>
        </w:tc>
        <w:tc>
          <w:tcPr>
            <w:tcW w:w="1015" w:type="dxa"/>
          </w:tcPr>
          <w:p>
            <w:pPr>
              <w:pStyle w:val="TableParagraph"/>
              <w:spacing w:line="246" w:lineRule="exact"/>
              <w:ind w:left="157"/>
              <w:rPr>
                <w:b/>
                <w:sz w:val="22"/>
              </w:rPr>
            </w:pPr>
            <w:r>
              <w:rPr>
                <w:b/>
                <w:spacing w:val="-2"/>
                <w:sz w:val="22"/>
              </w:rPr>
              <w:t>p-value</w:t>
            </w:r>
          </w:p>
        </w:tc>
        <w:tc>
          <w:tcPr>
            <w:tcW w:w="1001" w:type="dxa"/>
          </w:tcPr>
          <w:p>
            <w:pPr>
              <w:pStyle w:val="TableParagraph"/>
              <w:spacing w:line="246" w:lineRule="exact"/>
              <w:ind w:left="128"/>
              <w:rPr>
                <w:b/>
                <w:sz w:val="22"/>
              </w:rPr>
            </w:pPr>
            <w:r>
              <w:rPr>
                <w:b/>
                <w:sz w:val="22"/>
              </w:rPr>
              <w:t>95%</w:t>
            </w:r>
            <w:r>
              <w:rPr>
                <w:b/>
                <w:spacing w:val="-1"/>
                <w:sz w:val="22"/>
              </w:rPr>
              <w:t> </w:t>
            </w:r>
            <w:r>
              <w:rPr>
                <w:b/>
                <w:spacing w:val="-5"/>
                <w:sz w:val="22"/>
              </w:rPr>
              <w:t>CI</w:t>
            </w:r>
          </w:p>
        </w:tc>
        <w:tc>
          <w:tcPr>
            <w:tcW w:w="663" w:type="dxa"/>
          </w:tcPr>
          <w:p>
            <w:pPr>
              <w:pStyle w:val="TableParagraph"/>
              <w:spacing w:line="246" w:lineRule="exact"/>
              <w:ind w:left="182"/>
              <w:rPr>
                <w:b/>
                <w:sz w:val="22"/>
              </w:rPr>
            </w:pPr>
            <w:r>
              <w:rPr>
                <w:b/>
                <w:spacing w:val="-4"/>
                <w:sz w:val="22"/>
              </w:rPr>
              <w:t>Sig.</w:t>
            </w:r>
          </w:p>
        </w:tc>
      </w:tr>
      <w:tr>
        <w:trPr>
          <w:trHeight w:val="860" w:hRule="atLeast"/>
        </w:trPr>
        <w:tc>
          <w:tcPr>
            <w:tcW w:w="1389" w:type="dxa"/>
          </w:tcPr>
          <w:p>
            <w:pPr>
              <w:pStyle w:val="TableParagraph"/>
              <w:spacing w:before="32"/>
              <w:ind w:left="0"/>
              <w:rPr>
                <w:b/>
                <w:sz w:val="22"/>
              </w:rPr>
            </w:pPr>
          </w:p>
          <w:p>
            <w:pPr>
              <w:pStyle w:val="TableParagraph"/>
              <w:spacing w:before="1"/>
              <w:rPr>
                <w:sz w:val="22"/>
              </w:rPr>
            </w:pPr>
            <w:r>
              <w:rPr>
                <w:spacing w:val="-2"/>
                <w:sz w:val="22"/>
              </w:rPr>
              <w:t>Constant</w:t>
            </w:r>
          </w:p>
        </w:tc>
        <w:tc>
          <w:tcPr>
            <w:tcW w:w="943" w:type="dxa"/>
          </w:tcPr>
          <w:p>
            <w:pPr>
              <w:pStyle w:val="TableParagraph"/>
              <w:spacing w:before="32"/>
              <w:ind w:left="0"/>
              <w:rPr>
                <w:b/>
                <w:sz w:val="22"/>
              </w:rPr>
            </w:pPr>
          </w:p>
          <w:p>
            <w:pPr>
              <w:pStyle w:val="TableParagraph"/>
              <w:spacing w:before="1"/>
              <w:rPr>
                <w:sz w:val="22"/>
              </w:rPr>
            </w:pPr>
            <w:r>
              <w:rPr>
                <w:spacing w:val="-10"/>
                <w:sz w:val="22"/>
              </w:rPr>
              <w:t>κ</w:t>
            </w:r>
          </w:p>
        </w:tc>
        <w:tc>
          <w:tcPr>
            <w:tcW w:w="1089" w:type="dxa"/>
          </w:tcPr>
          <w:p>
            <w:pPr>
              <w:pStyle w:val="TableParagraph"/>
              <w:spacing w:before="32"/>
              <w:ind w:left="0"/>
              <w:rPr>
                <w:b/>
                <w:sz w:val="22"/>
              </w:rPr>
            </w:pPr>
          </w:p>
          <w:p>
            <w:pPr>
              <w:pStyle w:val="TableParagraph"/>
              <w:spacing w:before="1"/>
              <w:rPr>
                <w:sz w:val="22"/>
              </w:rPr>
            </w:pPr>
            <w:r>
              <w:rPr>
                <w:spacing w:val="-2"/>
                <w:sz w:val="22"/>
              </w:rPr>
              <w:t>−0.0683</w:t>
            </w:r>
          </w:p>
        </w:tc>
        <w:tc>
          <w:tcPr>
            <w:tcW w:w="1233" w:type="dxa"/>
          </w:tcPr>
          <w:p>
            <w:pPr>
              <w:pStyle w:val="TableParagraph"/>
              <w:spacing w:before="32"/>
              <w:ind w:left="0"/>
              <w:rPr>
                <w:b/>
                <w:sz w:val="22"/>
              </w:rPr>
            </w:pPr>
          </w:p>
          <w:p>
            <w:pPr>
              <w:pStyle w:val="TableParagraph"/>
              <w:spacing w:before="1"/>
              <w:rPr>
                <w:sz w:val="22"/>
              </w:rPr>
            </w:pPr>
            <w:r>
              <w:rPr>
                <w:spacing w:val="-2"/>
                <w:sz w:val="22"/>
              </w:rPr>
              <w:t>0.0335</w:t>
            </w:r>
          </w:p>
        </w:tc>
        <w:tc>
          <w:tcPr>
            <w:tcW w:w="945" w:type="dxa"/>
          </w:tcPr>
          <w:p>
            <w:pPr>
              <w:pStyle w:val="TableParagraph"/>
              <w:spacing w:before="32"/>
              <w:ind w:left="0"/>
              <w:rPr>
                <w:b/>
                <w:sz w:val="22"/>
              </w:rPr>
            </w:pPr>
          </w:p>
          <w:p>
            <w:pPr>
              <w:pStyle w:val="TableParagraph"/>
              <w:spacing w:before="1"/>
              <w:rPr>
                <w:sz w:val="22"/>
              </w:rPr>
            </w:pPr>
            <w:r>
              <w:rPr>
                <w:spacing w:val="-2"/>
                <w:sz w:val="22"/>
              </w:rPr>
              <w:t>−2.042</w:t>
            </w:r>
          </w:p>
        </w:tc>
        <w:tc>
          <w:tcPr>
            <w:tcW w:w="1015" w:type="dxa"/>
          </w:tcPr>
          <w:p>
            <w:pPr>
              <w:pStyle w:val="TableParagraph"/>
              <w:spacing w:before="32"/>
              <w:ind w:left="0"/>
              <w:rPr>
                <w:b/>
                <w:sz w:val="22"/>
              </w:rPr>
            </w:pPr>
          </w:p>
          <w:p>
            <w:pPr>
              <w:pStyle w:val="TableParagraph"/>
              <w:spacing w:before="1"/>
              <w:rPr>
                <w:sz w:val="22"/>
              </w:rPr>
            </w:pPr>
            <w:r>
              <w:rPr>
                <w:spacing w:val="-2"/>
                <w:sz w:val="22"/>
              </w:rPr>
              <w:t>0.0446</w:t>
            </w:r>
          </w:p>
        </w:tc>
        <w:tc>
          <w:tcPr>
            <w:tcW w:w="1001" w:type="dxa"/>
          </w:tcPr>
          <w:p>
            <w:pPr>
              <w:pStyle w:val="TableParagraph"/>
              <w:spacing w:line="278" w:lineRule="auto"/>
              <w:ind w:left="106" w:right="219"/>
              <w:rPr>
                <w:sz w:val="22"/>
              </w:rPr>
            </w:pPr>
            <w:r>
              <w:rPr>
                <w:spacing w:val="-6"/>
                <w:sz w:val="22"/>
              </w:rPr>
              <w:t>[− </w:t>
            </w:r>
            <w:r>
              <w:rPr>
                <w:spacing w:val="-2"/>
                <w:sz w:val="22"/>
              </w:rPr>
              <w:t>0.1350,</w:t>
            </w:r>
          </w:p>
          <w:p>
            <w:pPr>
              <w:pStyle w:val="TableParagraph"/>
              <w:spacing w:line="249" w:lineRule="exact"/>
              <w:ind w:left="106"/>
              <w:rPr>
                <w:sz w:val="22"/>
              </w:rPr>
            </w:pPr>
            <w:r>
              <w:rPr>
                <w:spacing w:val="-2"/>
                <w:sz w:val="22"/>
              </w:rPr>
              <w:t>−0.0016]</w:t>
            </w:r>
          </w:p>
        </w:tc>
        <w:tc>
          <w:tcPr>
            <w:tcW w:w="663" w:type="dxa"/>
          </w:tcPr>
          <w:p>
            <w:pPr>
              <w:pStyle w:val="TableParagraph"/>
              <w:spacing w:before="32"/>
              <w:ind w:left="0"/>
              <w:rPr>
                <w:b/>
                <w:sz w:val="22"/>
              </w:rPr>
            </w:pPr>
          </w:p>
          <w:p>
            <w:pPr>
              <w:pStyle w:val="TableParagraph"/>
              <w:spacing w:before="1"/>
              <w:ind w:left="106"/>
              <w:rPr>
                <w:sz w:val="22"/>
              </w:rPr>
            </w:pPr>
            <w:r>
              <w:rPr>
                <w:spacing w:val="-5"/>
                <w:sz w:val="22"/>
              </w:rPr>
              <w:t>**</w:t>
            </w:r>
          </w:p>
        </w:tc>
      </w:tr>
      <w:tr>
        <w:trPr>
          <w:trHeight w:val="862" w:hRule="atLeast"/>
        </w:trPr>
        <w:tc>
          <w:tcPr>
            <w:tcW w:w="1389" w:type="dxa"/>
          </w:tcPr>
          <w:p>
            <w:pPr>
              <w:pStyle w:val="TableParagraph"/>
              <w:spacing w:line="276" w:lineRule="auto" w:before="142"/>
              <w:ind w:right="81"/>
              <w:rPr>
                <w:sz w:val="22"/>
              </w:rPr>
            </w:pPr>
            <w:r>
              <w:rPr>
                <w:spacing w:val="-4"/>
                <w:sz w:val="22"/>
              </w:rPr>
              <w:t>Shock </w:t>
            </w:r>
            <w:r>
              <w:rPr>
                <w:spacing w:val="-2"/>
                <w:sz w:val="22"/>
              </w:rPr>
              <w:t>severity</w:t>
            </w:r>
          </w:p>
        </w:tc>
        <w:tc>
          <w:tcPr>
            <w:tcW w:w="943" w:type="dxa"/>
          </w:tcPr>
          <w:p>
            <w:pPr>
              <w:pStyle w:val="TableParagraph"/>
              <w:spacing w:before="32"/>
              <w:ind w:left="0"/>
              <w:rPr>
                <w:b/>
                <w:sz w:val="22"/>
              </w:rPr>
            </w:pPr>
          </w:p>
          <w:p>
            <w:pPr>
              <w:pStyle w:val="TableParagraph"/>
              <w:spacing w:before="1"/>
              <w:rPr>
                <w:sz w:val="22"/>
              </w:rPr>
            </w:pPr>
            <w:r>
              <w:rPr>
                <w:spacing w:val="-5"/>
                <w:sz w:val="22"/>
              </w:rPr>
              <w:t>θ₁</w:t>
            </w:r>
          </w:p>
        </w:tc>
        <w:tc>
          <w:tcPr>
            <w:tcW w:w="1089" w:type="dxa"/>
          </w:tcPr>
          <w:p>
            <w:pPr>
              <w:pStyle w:val="TableParagraph"/>
              <w:spacing w:before="32"/>
              <w:ind w:left="0"/>
              <w:rPr>
                <w:b/>
                <w:sz w:val="22"/>
              </w:rPr>
            </w:pPr>
          </w:p>
          <w:p>
            <w:pPr>
              <w:pStyle w:val="TableParagraph"/>
              <w:spacing w:before="1"/>
              <w:rPr>
                <w:sz w:val="22"/>
              </w:rPr>
            </w:pPr>
            <w:r>
              <w:rPr>
                <w:spacing w:val="-2"/>
                <w:sz w:val="22"/>
              </w:rPr>
              <w:t>0.0597</w:t>
            </w:r>
          </w:p>
        </w:tc>
        <w:tc>
          <w:tcPr>
            <w:tcW w:w="1233" w:type="dxa"/>
          </w:tcPr>
          <w:p>
            <w:pPr>
              <w:pStyle w:val="TableParagraph"/>
              <w:spacing w:before="32"/>
              <w:ind w:left="0"/>
              <w:rPr>
                <w:b/>
                <w:sz w:val="22"/>
              </w:rPr>
            </w:pPr>
          </w:p>
          <w:p>
            <w:pPr>
              <w:pStyle w:val="TableParagraph"/>
              <w:spacing w:before="1"/>
              <w:rPr>
                <w:sz w:val="22"/>
              </w:rPr>
            </w:pPr>
            <w:r>
              <w:rPr>
                <w:spacing w:val="-2"/>
                <w:sz w:val="22"/>
              </w:rPr>
              <w:t>0.0835</w:t>
            </w:r>
          </w:p>
        </w:tc>
        <w:tc>
          <w:tcPr>
            <w:tcW w:w="945" w:type="dxa"/>
          </w:tcPr>
          <w:p>
            <w:pPr>
              <w:pStyle w:val="TableParagraph"/>
              <w:spacing w:before="32"/>
              <w:ind w:left="0"/>
              <w:rPr>
                <w:b/>
                <w:sz w:val="22"/>
              </w:rPr>
            </w:pPr>
          </w:p>
          <w:p>
            <w:pPr>
              <w:pStyle w:val="TableParagraph"/>
              <w:spacing w:before="1"/>
              <w:rPr>
                <w:sz w:val="22"/>
              </w:rPr>
            </w:pPr>
            <w:r>
              <w:rPr>
                <w:spacing w:val="-2"/>
                <w:sz w:val="22"/>
              </w:rPr>
              <w:t>0.715</w:t>
            </w:r>
          </w:p>
        </w:tc>
        <w:tc>
          <w:tcPr>
            <w:tcW w:w="1015" w:type="dxa"/>
          </w:tcPr>
          <w:p>
            <w:pPr>
              <w:pStyle w:val="TableParagraph"/>
              <w:spacing w:before="32"/>
              <w:ind w:left="0"/>
              <w:rPr>
                <w:b/>
                <w:sz w:val="22"/>
              </w:rPr>
            </w:pPr>
          </w:p>
          <w:p>
            <w:pPr>
              <w:pStyle w:val="TableParagraph"/>
              <w:spacing w:before="1"/>
              <w:rPr>
                <w:sz w:val="22"/>
              </w:rPr>
            </w:pPr>
            <w:r>
              <w:rPr>
                <w:spacing w:val="-2"/>
                <w:sz w:val="22"/>
              </w:rPr>
              <w:t>0.477</w:t>
            </w:r>
          </w:p>
        </w:tc>
        <w:tc>
          <w:tcPr>
            <w:tcW w:w="1001" w:type="dxa"/>
          </w:tcPr>
          <w:p>
            <w:pPr>
              <w:pStyle w:val="TableParagraph"/>
              <w:spacing w:line="276" w:lineRule="auto"/>
              <w:ind w:left="106" w:right="219"/>
              <w:rPr>
                <w:sz w:val="22"/>
              </w:rPr>
            </w:pPr>
            <w:r>
              <w:rPr>
                <w:spacing w:val="-6"/>
                <w:sz w:val="22"/>
              </w:rPr>
              <w:t>[− </w:t>
            </w:r>
            <w:r>
              <w:rPr>
                <w:spacing w:val="-2"/>
                <w:sz w:val="22"/>
              </w:rPr>
              <w:t>0.1065,</w:t>
            </w:r>
          </w:p>
          <w:p>
            <w:pPr>
              <w:pStyle w:val="TableParagraph"/>
              <w:spacing w:line="251" w:lineRule="exact"/>
              <w:ind w:left="106"/>
              <w:rPr>
                <w:sz w:val="22"/>
              </w:rPr>
            </w:pPr>
            <w:r>
              <w:rPr>
                <w:spacing w:val="-2"/>
                <w:sz w:val="22"/>
              </w:rPr>
              <w:t>0.2259]</w:t>
            </w:r>
          </w:p>
        </w:tc>
        <w:tc>
          <w:tcPr>
            <w:tcW w:w="663" w:type="dxa"/>
          </w:tcPr>
          <w:p>
            <w:pPr>
              <w:pStyle w:val="TableParagraph"/>
              <w:spacing w:before="32"/>
              <w:ind w:left="0"/>
              <w:rPr>
                <w:b/>
                <w:sz w:val="22"/>
              </w:rPr>
            </w:pPr>
          </w:p>
          <w:p>
            <w:pPr>
              <w:pStyle w:val="TableParagraph"/>
              <w:spacing w:before="1"/>
              <w:ind w:left="106"/>
              <w:rPr>
                <w:sz w:val="22"/>
              </w:rPr>
            </w:pPr>
            <w:r>
              <w:rPr>
                <w:spacing w:val="-4"/>
                <w:sz w:val="22"/>
              </w:rPr>
              <w:t>n.s.</w:t>
            </w:r>
          </w:p>
        </w:tc>
      </w:tr>
      <w:tr>
        <w:trPr>
          <w:trHeight w:val="570" w:hRule="atLeast"/>
        </w:trPr>
        <w:tc>
          <w:tcPr>
            <w:tcW w:w="1389" w:type="dxa"/>
          </w:tcPr>
          <w:p>
            <w:pPr>
              <w:pStyle w:val="TableParagraph"/>
              <w:spacing w:before="139"/>
              <w:rPr>
                <w:sz w:val="22"/>
              </w:rPr>
            </w:pPr>
            <w:r>
              <w:rPr>
                <w:spacing w:val="-2"/>
                <w:sz w:val="22"/>
              </w:rPr>
              <w:t>Conc.×shock</w:t>
            </w:r>
          </w:p>
        </w:tc>
        <w:tc>
          <w:tcPr>
            <w:tcW w:w="943" w:type="dxa"/>
          </w:tcPr>
          <w:p>
            <w:pPr>
              <w:pStyle w:val="TableParagraph"/>
              <w:spacing w:before="139"/>
              <w:rPr>
                <w:sz w:val="22"/>
              </w:rPr>
            </w:pPr>
            <w:r>
              <w:rPr>
                <w:spacing w:val="-5"/>
                <w:sz w:val="22"/>
              </w:rPr>
              <w:t>θ₂</w:t>
            </w:r>
          </w:p>
        </w:tc>
        <w:tc>
          <w:tcPr>
            <w:tcW w:w="1089" w:type="dxa"/>
          </w:tcPr>
          <w:p>
            <w:pPr>
              <w:pStyle w:val="TableParagraph"/>
              <w:spacing w:before="139"/>
              <w:rPr>
                <w:sz w:val="22"/>
              </w:rPr>
            </w:pPr>
            <w:r>
              <w:rPr>
                <w:spacing w:val="-2"/>
                <w:sz w:val="22"/>
              </w:rPr>
              <w:t>0.2466</w:t>
            </w:r>
          </w:p>
        </w:tc>
        <w:tc>
          <w:tcPr>
            <w:tcW w:w="1233" w:type="dxa"/>
          </w:tcPr>
          <w:p>
            <w:pPr>
              <w:pStyle w:val="TableParagraph"/>
              <w:spacing w:before="139"/>
              <w:rPr>
                <w:sz w:val="22"/>
              </w:rPr>
            </w:pPr>
            <w:r>
              <w:rPr>
                <w:spacing w:val="-2"/>
                <w:sz w:val="22"/>
              </w:rPr>
              <w:t>0.0655</w:t>
            </w:r>
          </w:p>
        </w:tc>
        <w:tc>
          <w:tcPr>
            <w:tcW w:w="945" w:type="dxa"/>
          </w:tcPr>
          <w:p>
            <w:pPr>
              <w:pStyle w:val="TableParagraph"/>
              <w:spacing w:before="139"/>
              <w:rPr>
                <w:sz w:val="22"/>
              </w:rPr>
            </w:pPr>
            <w:r>
              <w:rPr>
                <w:spacing w:val="-2"/>
                <w:sz w:val="22"/>
              </w:rPr>
              <w:t>3.765</w:t>
            </w:r>
          </w:p>
        </w:tc>
        <w:tc>
          <w:tcPr>
            <w:tcW w:w="1015" w:type="dxa"/>
          </w:tcPr>
          <w:p>
            <w:pPr>
              <w:pStyle w:val="TableParagraph"/>
              <w:spacing w:before="139"/>
              <w:rPr>
                <w:sz w:val="22"/>
              </w:rPr>
            </w:pPr>
            <w:r>
              <w:rPr>
                <w:spacing w:val="-2"/>
                <w:sz w:val="22"/>
              </w:rPr>
              <w:t>&lt;0.001</w:t>
            </w:r>
          </w:p>
        </w:tc>
        <w:tc>
          <w:tcPr>
            <w:tcW w:w="1001" w:type="dxa"/>
          </w:tcPr>
          <w:p>
            <w:pPr>
              <w:pStyle w:val="TableParagraph"/>
              <w:spacing w:line="246" w:lineRule="exact"/>
              <w:ind w:left="106"/>
              <w:rPr>
                <w:sz w:val="22"/>
              </w:rPr>
            </w:pPr>
            <w:r>
              <w:rPr>
                <w:spacing w:val="-2"/>
                <w:sz w:val="22"/>
              </w:rPr>
              <w:t>[0.1162,</w:t>
            </w:r>
          </w:p>
          <w:p>
            <w:pPr>
              <w:pStyle w:val="TableParagraph"/>
              <w:spacing w:before="39"/>
              <w:ind w:left="106"/>
              <w:rPr>
                <w:sz w:val="22"/>
              </w:rPr>
            </w:pPr>
            <w:r>
              <w:rPr>
                <w:spacing w:val="-2"/>
                <w:sz w:val="22"/>
              </w:rPr>
              <w:t>0.3770]</w:t>
            </w:r>
          </w:p>
        </w:tc>
        <w:tc>
          <w:tcPr>
            <w:tcW w:w="663" w:type="dxa"/>
          </w:tcPr>
          <w:p>
            <w:pPr>
              <w:pStyle w:val="TableParagraph"/>
              <w:spacing w:before="139"/>
              <w:ind w:left="106"/>
              <w:rPr>
                <w:sz w:val="22"/>
              </w:rPr>
            </w:pPr>
            <w:r>
              <w:rPr>
                <w:spacing w:val="-5"/>
                <w:sz w:val="22"/>
              </w:rPr>
              <w:t>***</w:t>
            </w:r>
          </w:p>
        </w:tc>
      </w:tr>
    </w:tbl>
    <w:p>
      <w:pPr>
        <w:pStyle w:val="BodyText"/>
        <w:spacing w:line="273" w:lineRule="exact"/>
        <w:jc w:val="both"/>
      </w:pPr>
      <w:r>
        <w:rPr>
          <w:b/>
        </w:rPr>
        <w:t>Notes:</w:t>
      </w:r>
      <w:r>
        <w:rPr>
          <w:b/>
          <w:spacing w:val="-9"/>
        </w:rPr>
        <w:t> </w:t>
      </w:r>
      <w:r>
        <w:rPr/>
        <w:t>n=81;</w:t>
      </w:r>
      <w:r>
        <w:rPr>
          <w:spacing w:val="-8"/>
        </w:rPr>
        <w:t> </w:t>
      </w:r>
      <w:r>
        <w:rPr/>
        <w:t>df=76;</w:t>
      </w:r>
      <w:r>
        <w:rPr>
          <w:spacing w:val="-8"/>
        </w:rPr>
        <w:t> </w:t>
      </w:r>
      <w:r>
        <w:rPr/>
        <w:t>R²=0.553;</w:t>
      </w:r>
      <w:r>
        <w:rPr>
          <w:spacing w:val="-9"/>
        </w:rPr>
        <w:t> </w:t>
      </w:r>
      <w:r>
        <w:rPr/>
        <w:t>RMSE=0.030;</w:t>
      </w:r>
      <w:r>
        <w:rPr>
          <w:spacing w:val="-9"/>
        </w:rPr>
        <w:t> </w:t>
      </w:r>
      <w:r>
        <w:rPr/>
        <w:t>AIC=−325.77;</w:t>
      </w:r>
      <w:r>
        <w:rPr>
          <w:spacing w:val="-8"/>
        </w:rPr>
        <w:t> </w:t>
      </w:r>
      <w:r>
        <w:rPr/>
        <w:t>BIC=−318.66.</w:t>
      </w:r>
      <w:r>
        <w:rPr>
          <w:spacing w:val="-8"/>
        </w:rPr>
        <w:t> </w:t>
      </w:r>
      <w:r>
        <w:rPr/>
        <w:t>p-</w:t>
      </w:r>
      <w:r>
        <w:rPr>
          <w:spacing w:val="-2"/>
        </w:rPr>
        <w:t>values</w:t>
      </w:r>
    </w:p>
    <w:p>
      <w:pPr>
        <w:pStyle w:val="BodyText"/>
        <w:ind w:right="380"/>
        <w:jc w:val="both"/>
      </w:pPr>
      <w:r>
        <w:rPr/>
        <w:t>are from statsmodels MLE (OLS with exact log-likelihood).001 for θ₂</w:t>
      </w:r>
      <w:r>
        <w:rPr>
          <w:spacing w:val="40"/>
        </w:rPr>
        <w:t> </w:t>
      </w:r>
      <w:r>
        <w:rPr/>
        <w:t>(rounding difference; sign and significance unchanged). ** p&lt;0.01; *** p&lt;0.001; n.s.=not </w:t>
      </w:r>
      <w:r>
        <w:rPr>
          <w:spacing w:val="-2"/>
        </w:rPr>
        <w:t>significant.</w:t>
      </w:r>
    </w:p>
    <w:p>
      <w:pPr>
        <w:pStyle w:val="BodyText"/>
        <w:spacing w:line="480" w:lineRule="auto" w:before="274"/>
        <w:ind w:right="379"/>
        <w:jc w:val="both"/>
      </w:pPr>
      <w:r>
        <w:rPr>
          <w:b/>
        </w:rPr>
        <w:t>Primary-source-only check. </w:t>
      </w:r>
      <w:r>
        <w:rPr/>
        <w:t>Because 81.5% of the panel is reconstructed rather than primary-source verified (§G.2), Table 2 is deliberately supplemented here with the estimate obtained from the 15 primary-source-verified episodes alone (unweighted OLS,</w:t>
      </w:r>
      <w:r>
        <w:rPr>
          <w:spacing w:val="9"/>
        </w:rPr>
        <w:t> </w:t>
      </w:r>
      <w:r>
        <w:rPr/>
        <w:t>Appendix</w:t>
      </w:r>
      <w:r>
        <w:rPr>
          <w:spacing w:val="13"/>
        </w:rPr>
        <w:t> </w:t>
      </w:r>
      <w:r>
        <w:rPr/>
        <w:t>F,</w:t>
      </w:r>
      <w:r>
        <w:rPr>
          <w:spacing w:val="12"/>
        </w:rPr>
        <w:t> </w:t>
      </w:r>
      <w:r>
        <w:rPr/>
        <w:t>Table</w:t>
      </w:r>
      <w:r>
        <w:rPr>
          <w:spacing w:val="8"/>
        </w:rPr>
        <w:t> </w:t>
      </w:r>
      <w:r>
        <w:rPr/>
        <w:t>F2):</w:t>
      </w:r>
      <w:r>
        <w:rPr>
          <w:spacing w:val="10"/>
        </w:rPr>
        <w:t> </w:t>
      </w:r>
      <w:r>
        <w:rPr/>
        <w:t>θ₂</w:t>
      </w:r>
      <w:r>
        <w:rPr>
          <w:spacing w:val="69"/>
        </w:rPr>
        <w:t> </w:t>
      </w:r>
      <w:r>
        <w:rPr/>
        <w:t>=</w:t>
      </w:r>
      <w:r>
        <w:rPr>
          <w:spacing w:val="8"/>
        </w:rPr>
        <w:t> </w:t>
      </w:r>
      <w:r>
        <w:rPr/>
        <w:t>0.085</w:t>
      </w:r>
      <w:r>
        <w:rPr>
          <w:spacing w:val="10"/>
        </w:rPr>
        <w:t> </w:t>
      </w:r>
      <w:r>
        <w:rPr/>
        <w:t>(SE</w:t>
      </w:r>
      <w:r>
        <w:rPr>
          <w:spacing w:val="12"/>
        </w:rPr>
        <w:t> </w:t>
      </w:r>
      <w:r>
        <w:rPr/>
        <w:t>=</w:t>
      </w:r>
      <w:r>
        <w:rPr>
          <w:spacing w:val="9"/>
        </w:rPr>
        <w:t> </w:t>
      </w:r>
      <w:r>
        <w:rPr/>
        <w:t>0.289,</w:t>
      </w:r>
      <w:r>
        <w:rPr>
          <w:spacing w:val="10"/>
        </w:rPr>
        <w:t> </w:t>
      </w:r>
      <w:r>
        <w:rPr/>
        <w:t>t</w:t>
      </w:r>
      <w:r>
        <w:rPr>
          <w:spacing w:val="9"/>
        </w:rPr>
        <w:t> </w:t>
      </w:r>
      <w:r>
        <w:rPr/>
        <w:t>=</w:t>
      </w:r>
      <w:r>
        <w:rPr>
          <w:spacing w:val="11"/>
        </w:rPr>
        <w:t> </w:t>
      </w:r>
      <w:r>
        <w:rPr/>
        <w:t>0.294,</w:t>
      </w:r>
      <w:r>
        <w:rPr>
          <w:spacing w:val="10"/>
        </w:rPr>
        <w:t> </w:t>
      </w:r>
      <w:r>
        <w:rPr/>
        <w:t>p</w:t>
      </w:r>
      <w:r>
        <w:rPr>
          <w:spacing w:val="10"/>
        </w:rPr>
        <w:t> </w:t>
      </w:r>
      <w:r>
        <w:rPr/>
        <w:t>=</w:t>
      </w:r>
      <w:r>
        <w:rPr>
          <w:spacing w:val="10"/>
        </w:rPr>
        <w:t> </w:t>
      </w:r>
      <w:r>
        <w:rPr/>
        <w:t>0.774,</w:t>
      </w:r>
      <w:r>
        <w:rPr>
          <w:spacing w:val="10"/>
        </w:rPr>
        <w:t> </w:t>
      </w:r>
      <w:r>
        <w:rPr/>
        <w:t>95%</w:t>
      </w:r>
      <w:r>
        <w:rPr>
          <w:spacing w:val="12"/>
        </w:rPr>
        <w:t> </w:t>
      </w:r>
      <w:r>
        <w:rPr>
          <w:spacing w:val="-5"/>
        </w:rPr>
        <w:t>CI</w:t>
      </w:r>
    </w:p>
    <w:p>
      <w:pPr>
        <w:pStyle w:val="BodyText"/>
        <w:spacing w:line="274" w:lineRule="exact"/>
        <w:jc w:val="both"/>
      </w:pPr>
      <w:r>
        <w:rPr/>
        <w:t>[−0.517,</w:t>
      </w:r>
      <w:r>
        <w:rPr>
          <w:spacing w:val="15"/>
        </w:rPr>
        <w:t> </w:t>
      </w:r>
      <w:r>
        <w:rPr/>
        <w:t>0.687]).</w:t>
      </w:r>
      <w:r>
        <w:rPr>
          <w:spacing w:val="16"/>
        </w:rPr>
        <w:t> </w:t>
      </w:r>
      <w:r>
        <w:rPr/>
        <w:t>This</w:t>
      </w:r>
      <w:r>
        <w:rPr>
          <w:spacing w:val="18"/>
        </w:rPr>
        <w:t> </w:t>
      </w:r>
      <w:r>
        <w:rPr/>
        <w:t>estimate</w:t>
      </w:r>
      <w:r>
        <w:rPr>
          <w:spacing w:val="17"/>
        </w:rPr>
        <w:t> </w:t>
      </w:r>
      <w:r>
        <w:rPr/>
        <w:t>is</w:t>
      </w:r>
      <w:r>
        <w:rPr>
          <w:spacing w:val="18"/>
        </w:rPr>
        <w:t> </w:t>
      </w:r>
      <w:r>
        <w:rPr/>
        <w:t>positive</w:t>
      </w:r>
      <w:r>
        <w:rPr>
          <w:spacing w:val="73"/>
        </w:rPr>
        <w:t> </w:t>
      </w:r>
      <w:r>
        <w:rPr/>
        <w:t>—</w:t>
      </w:r>
      <w:r>
        <w:rPr>
          <w:spacing w:val="70"/>
        </w:rPr>
        <w:t> </w:t>
      </w:r>
      <w:r>
        <w:rPr/>
        <w:t>the</w:t>
      </w:r>
      <w:r>
        <w:rPr>
          <w:spacing w:val="17"/>
        </w:rPr>
        <w:t> </w:t>
      </w:r>
      <w:r>
        <w:rPr/>
        <w:t>same</w:t>
      </w:r>
      <w:r>
        <w:rPr>
          <w:spacing w:val="17"/>
        </w:rPr>
        <w:t> </w:t>
      </w:r>
      <w:r>
        <w:rPr/>
        <w:t>sign</w:t>
      </w:r>
      <w:r>
        <w:rPr>
          <w:spacing w:val="15"/>
        </w:rPr>
        <w:t> </w:t>
      </w:r>
      <w:r>
        <w:rPr/>
        <w:t>as</w:t>
      </w:r>
      <w:r>
        <w:rPr>
          <w:spacing w:val="15"/>
        </w:rPr>
        <w:t> </w:t>
      </w:r>
      <w:r>
        <w:rPr/>
        <w:t>the</w:t>
      </w:r>
      <w:r>
        <w:rPr>
          <w:spacing w:val="17"/>
        </w:rPr>
        <w:t> </w:t>
      </w:r>
      <w:r>
        <w:rPr/>
        <w:t>full-panel</w:t>
      </w:r>
      <w:r>
        <w:rPr>
          <w:spacing w:val="19"/>
        </w:rPr>
        <w:t> </w:t>
      </w:r>
      <w:r>
        <w:rPr>
          <w:spacing w:val="-2"/>
        </w:rPr>
        <w:t>result</w:t>
      </w:r>
    </w:p>
    <w:p>
      <w:pPr>
        <w:pStyle w:val="BodyText"/>
        <w:ind w:left="0"/>
      </w:pPr>
    </w:p>
    <w:p>
      <w:pPr>
        <w:pStyle w:val="BodyText"/>
        <w:spacing w:line="480" w:lineRule="auto"/>
        <w:ind w:right="377"/>
        <w:jc w:val="both"/>
      </w:pPr>
      <w:r>
        <w:rPr/>
        <w:t>—</w:t>
      </w:r>
      <w:r>
        <w:rPr>
          <w:spacing w:val="40"/>
        </w:rPr>
        <w:t> </w:t>
      </w:r>
      <w:r>
        <w:rPr/>
        <w:t>but, with only</w:t>
      </w:r>
      <w:r>
        <w:rPr>
          <w:spacing w:val="-2"/>
        </w:rPr>
        <w:t> </w:t>
      </w:r>
      <w:r>
        <w:rPr/>
        <w:t>n = 15 observations and 12 degrees of freedom, it is not statistically distinguishable from zero on its own. It is reported prominently, rather than left in an</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81"/>
        <w:jc w:val="both"/>
      </w:pPr>
      <w:r>
        <w:rPr/>
        <w:t>appendix, because it is the single most conservative piece of evidence in the paper: it shows what the data say</w:t>
      </w:r>
      <w:r>
        <w:rPr>
          <w:spacing w:val="-5"/>
        </w:rPr>
        <w:t> </w:t>
      </w:r>
      <w:r>
        <w:rPr/>
        <w:t>when reconstructed episodes are</w:t>
      </w:r>
      <w:r>
        <w:rPr>
          <w:spacing w:val="-1"/>
        </w:rPr>
        <w:t> </w:t>
      </w:r>
      <w:r>
        <w:rPr/>
        <w:t>excluded entirely. The same verified-only</w:t>
      </w:r>
      <w:r>
        <w:rPr>
          <w:spacing w:val="-1"/>
        </w:rPr>
        <w:t> </w:t>
      </w:r>
      <w:r>
        <w:rPr/>
        <w:t>subsample</w:t>
      </w:r>
      <w:r>
        <w:rPr>
          <w:spacing w:val="1"/>
        </w:rPr>
        <w:t> </w:t>
      </w:r>
      <w:r>
        <w:rPr/>
        <w:t>is</w:t>
      </w:r>
      <w:r>
        <w:rPr>
          <w:spacing w:val="1"/>
        </w:rPr>
        <w:t> </w:t>
      </w:r>
      <w:r>
        <w:rPr/>
        <w:t>significant under the</w:t>
      </w:r>
      <w:r>
        <w:rPr>
          <w:spacing w:val="2"/>
        </w:rPr>
        <w:t> </w:t>
      </w:r>
      <w:r>
        <w:rPr/>
        <w:t>main-effects</w:t>
      </w:r>
      <w:r>
        <w:rPr>
          <w:spacing w:val="2"/>
        </w:rPr>
        <w:t> </w:t>
      </w:r>
      <w:r>
        <w:rPr/>
        <w:t>specification</w:t>
      </w:r>
      <w:r>
        <w:rPr>
          <w:spacing w:val="1"/>
        </w:rPr>
        <w:t> </w:t>
      </w:r>
      <w:r>
        <w:rPr/>
        <w:t>instead</w:t>
      </w:r>
      <w:r>
        <w:rPr>
          <w:spacing w:val="1"/>
        </w:rPr>
        <w:t> </w:t>
      </w:r>
      <w:r>
        <w:rPr>
          <w:spacing w:val="-5"/>
        </w:rPr>
        <w:t>(θ₂</w:t>
      </w:r>
    </w:p>
    <w:p>
      <w:pPr>
        <w:pStyle w:val="BodyText"/>
        <w:spacing w:line="480" w:lineRule="auto" w:before="1"/>
        <w:ind w:right="302"/>
        <w:jc w:val="both"/>
      </w:pPr>
      <w:r>
        <w:rPr/>
        <w:t>= 0.7451, p = 0.0325;</w:t>
      </w:r>
      <w:r>
        <w:rPr>
          <w:spacing w:val="40"/>
        </w:rPr>
        <w:t> </w:t>
      </w:r>
      <w:r>
        <w:rPr/>
        <w:t>§3.5, Table 2c), so this weaker unweighted-Appendix-F</w:t>
      </w:r>
      <w:r>
        <w:rPr>
          <w:spacing w:val="40"/>
        </w:rPr>
        <w:t> </w:t>
      </w:r>
      <w:r>
        <w:rPr/>
        <w:t>estimate should be read as one of two specification-dependent verified-only results,</w:t>
      </w:r>
      <w:r>
        <w:rPr>
          <w:spacing w:val="40"/>
        </w:rPr>
        <w:t> </w:t>
      </w:r>
      <w:r>
        <w:rPr/>
        <w:t>not as the verified-only finding. The full-panel estimate (θ₂</w:t>
      </w:r>
      <w:r>
        <w:rPr>
          <w:spacing w:val="40"/>
        </w:rPr>
        <w:t> </w:t>
      </w:r>
      <w:r>
        <w:rPr/>
        <w:t>= 0.2466, p &lt; 0.001) should be read together with both, not in their place.</w:t>
      </w:r>
    </w:p>
    <w:p>
      <w:pPr>
        <w:spacing w:before="238"/>
        <w:ind w:left="0" w:right="201" w:firstLine="0"/>
        <w:jc w:val="center"/>
        <w:rPr>
          <w:b/>
          <w:sz w:val="24"/>
        </w:rPr>
      </w:pPr>
      <w:r>
        <w:rPr>
          <w:b/>
          <w:sz w:val="24"/>
        </w:rPr>
        <w:t>Table2b.</w:t>
      </w:r>
      <w:r>
        <w:rPr>
          <w:b/>
          <w:spacing w:val="-7"/>
          <w:sz w:val="24"/>
        </w:rPr>
        <w:t> </w:t>
      </w:r>
      <w:r>
        <w:rPr>
          <w:b/>
          <w:sz w:val="24"/>
        </w:rPr>
        <w:t>Extended</w:t>
      </w:r>
      <w:r>
        <w:rPr>
          <w:b/>
          <w:spacing w:val="-8"/>
          <w:sz w:val="24"/>
        </w:rPr>
        <w:t> </w:t>
      </w:r>
      <w:r>
        <w:rPr>
          <w:b/>
          <w:sz w:val="24"/>
        </w:rPr>
        <w:t>OLS</w:t>
      </w:r>
      <w:r>
        <w:rPr>
          <w:b/>
          <w:spacing w:val="45"/>
          <w:sz w:val="24"/>
        </w:rPr>
        <w:t> </w:t>
      </w:r>
      <w:r>
        <w:rPr>
          <w:b/>
          <w:sz w:val="24"/>
        </w:rPr>
        <w:t>—</w:t>
      </w:r>
      <w:r>
        <w:rPr>
          <w:b/>
          <w:spacing w:val="47"/>
          <w:sz w:val="24"/>
        </w:rPr>
        <w:t> </w:t>
      </w:r>
      <w:r>
        <w:rPr>
          <w:b/>
          <w:sz w:val="24"/>
        </w:rPr>
        <w:t>Adding</w:t>
      </w:r>
      <w:r>
        <w:rPr>
          <w:b/>
          <w:spacing w:val="-8"/>
          <w:sz w:val="24"/>
        </w:rPr>
        <w:t> </w:t>
      </w:r>
      <w:r>
        <w:rPr>
          <w:b/>
          <w:sz w:val="24"/>
        </w:rPr>
        <w:t>Digital</w:t>
      </w:r>
      <w:r>
        <w:rPr>
          <w:b/>
          <w:spacing w:val="-6"/>
          <w:sz w:val="24"/>
        </w:rPr>
        <w:t> </w:t>
      </w:r>
      <w:r>
        <w:rPr>
          <w:b/>
          <w:sz w:val="24"/>
        </w:rPr>
        <w:t>Adoption</w:t>
      </w:r>
      <w:r>
        <w:rPr>
          <w:b/>
          <w:spacing w:val="-6"/>
          <w:sz w:val="24"/>
        </w:rPr>
        <w:t> </w:t>
      </w:r>
      <w:r>
        <w:rPr>
          <w:b/>
          <w:sz w:val="24"/>
        </w:rPr>
        <w:t>(D)</w:t>
      </w:r>
      <w:r>
        <w:rPr>
          <w:b/>
          <w:spacing w:val="-8"/>
          <w:sz w:val="24"/>
        </w:rPr>
        <w:t> </w:t>
      </w:r>
      <w:r>
        <w:rPr>
          <w:b/>
          <w:sz w:val="24"/>
        </w:rPr>
        <w:t>to</w:t>
      </w:r>
      <w:r>
        <w:rPr>
          <w:b/>
          <w:spacing w:val="-7"/>
          <w:sz w:val="24"/>
        </w:rPr>
        <w:t> </w:t>
      </w:r>
      <w:r>
        <w:rPr>
          <w:b/>
          <w:sz w:val="24"/>
        </w:rPr>
        <w:t>Eq.</w:t>
      </w:r>
      <w:r>
        <w:rPr>
          <w:b/>
          <w:spacing w:val="-7"/>
          <w:sz w:val="24"/>
        </w:rPr>
        <w:t> </w:t>
      </w:r>
      <w:r>
        <w:rPr>
          <w:b/>
          <w:sz w:val="24"/>
        </w:rPr>
        <w:t>2</w:t>
      </w:r>
      <w:r>
        <w:rPr>
          <w:b/>
          <w:spacing w:val="-8"/>
          <w:sz w:val="24"/>
        </w:rPr>
        <w:t> </w:t>
      </w:r>
      <w:r>
        <w:rPr>
          <w:b/>
          <w:spacing w:val="-2"/>
          <w:sz w:val="24"/>
        </w:rPr>
        <w:t>(n=81)</w:t>
      </w:r>
    </w:p>
    <w:p>
      <w:pPr>
        <w:pStyle w:val="BodyText"/>
        <w:spacing w:before="62" w:after="13"/>
        <w:ind w:left="0" w:right="282"/>
        <w:jc w:val="center"/>
        <w:rPr>
          <w:rFonts w:ascii="Tahoma" w:hAnsi="Tahoma" w:cs="Tahoma" w:eastAsia="Tahoma"/>
        </w:rPr>
      </w:pPr>
      <w:r>
        <w:rPr>
          <w:spacing w:val="-2"/>
        </w:rPr>
        <w:t>Specification:</w:t>
      </w:r>
      <w:r>
        <w:rPr>
          <w:spacing w:val="2"/>
        </w:rPr>
        <w:t> </w:t>
      </w:r>
      <w:r>
        <w:rPr>
          <w:spacing w:val="-2"/>
        </w:rPr>
        <w:t>peak_outflow</w:t>
      </w:r>
      <w:r>
        <w:rPr>
          <w:spacing w:val="-9"/>
        </w:rPr>
        <w:t> </w:t>
      </w:r>
      <w:r>
        <w:rPr>
          <w:spacing w:val="-2"/>
        </w:rPr>
        <w:t>=</w:t>
      </w:r>
      <w:r>
        <w:rPr>
          <w:spacing w:val="-11"/>
        </w:rPr>
        <w:t> </w:t>
      </w:r>
      <w:r>
        <w:rPr>
          <w:spacing w:val="-2"/>
        </w:rPr>
        <w:t>κ</w:t>
      </w:r>
      <w:r>
        <w:rPr>
          <w:spacing w:val="-11"/>
        </w:rPr>
        <w:t> </w:t>
      </w:r>
      <w:r>
        <w:rPr>
          <w:spacing w:val="-2"/>
        </w:rPr>
        <w:t>+</w:t>
      </w:r>
      <w:r>
        <w:rPr>
          <w:spacing w:val="-8"/>
        </w:rPr>
        <w:t> </w:t>
      </w:r>
      <w:r>
        <w:rPr>
          <w:spacing w:val="-2"/>
        </w:rPr>
        <w:t>θ₁·S</w:t>
      </w:r>
      <w:r>
        <w:rPr>
          <w:spacing w:val="-10"/>
        </w:rPr>
        <w:t> </w:t>
      </w:r>
      <w:r>
        <w:rPr>
          <w:spacing w:val="-2"/>
        </w:rPr>
        <w:t>+</w:t>
      </w:r>
      <w:r>
        <w:rPr>
          <w:spacing w:val="-10"/>
        </w:rPr>
        <w:t> </w:t>
      </w:r>
      <w:r>
        <w:rPr>
          <w:spacing w:val="-2"/>
        </w:rPr>
        <w:t>θ₂·(C×S)</w:t>
      </w:r>
      <w:r>
        <w:rPr>
          <w:spacing w:val="-9"/>
        </w:rPr>
        <w:t> </w:t>
      </w:r>
      <w:r>
        <w:rPr>
          <w:spacing w:val="-2"/>
        </w:rPr>
        <w:t>+</w:t>
      </w:r>
      <w:r>
        <w:rPr>
          <w:spacing w:val="-11"/>
        </w:rPr>
        <w:t> </w:t>
      </w:r>
      <w:r>
        <w:rPr>
          <w:spacing w:val="-2"/>
        </w:rPr>
        <w:t>θ₃·D</w:t>
      </w:r>
      <w:r>
        <w:rPr>
          <w:spacing w:val="-8"/>
        </w:rPr>
        <w:t> </w:t>
      </w:r>
      <w:r>
        <w:rPr>
          <w:spacing w:val="-2"/>
        </w:rPr>
        <w:t>+</w:t>
      </w:r>
      <w:r>
        <w:rPr>
          <w:spacing w:val="-11"/>
        </w:rPr>
        <w:t> </w:t>
      </w:r>
      <w:r>
        <w:rPr>
          <w:spacing w:val="-5"/>
        </w:rPr>
        <w:t>ε</w:t>
      </w:r>
      <w:r>
        <w:rPr>
          <w:rFonts w:ascii="Tahoma" w:hAnsi="Tahoma" w:cs="Tahoma" w:eastAsia="Tahoma"/>
          <w:spacing w:val="-5"/>
        </w:rPr>
        <w:t>ᵢ</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1"/>
        <w:gridCol w:w="1238"/>
        <w:gridCol w:w="854"/>
        <w:gridCol w:w="1072"/>
        <w:gridCol w:w="1154"/>
        <w:gridCol w:w="1384"/>
        <w:gridCol w:w="1156"/>
      </w:tblGrid>
      <w:tr>
        <w:trPr>
          <w:trHeight w:val="280" w:hRule="atLeast"/>
        </w:trPr>
        <w:tc>
          <w:tcPr>
            <w:tcW w:w="1401" w:type="dxa"/>
          </w:tcPr>
          <w:p>
            <w:pPr>
              <w:pStyle w:val="TableParagraph"/>
              <w:spacing w:line="246" w:lineRule="exact"/>
              <w:ind w:left="89" w:right="78"/>
              <w:jc w:val="center"/>
              <w:rPr>
                <w:b/>
                <w:sz w:val="22"/>
              </w:rPr>
            </w:pPr>
            <w:r>
              <w:rPr>
                <w:b/>
                <w:spacing w:val="-2"/>
                <w:sz w:val="22"/>
              </w:rPr>
              <w:t>Parameter</w:t>
            </w:r>
          </w:p>
        </w:tc>
        <w:tc>
          <w:tcPr>
            <w:tcW w:w="1238" w:type="dxa"/>
          </w:tcPr>
          <w:p>
            <w:pPr>
              <w:pStyle w:val="TableParagraph"/>
              <w:spacing w:line="246" w:lineRule="exact"/>
              <w:ind w:left="203"/>
              <w:rPr>
                <w:b/>
                <w:sz w:val="22"/>
              </w:rPr>
            </w:pPr>
            <w:r>
              <w:rPr>
                <w:b/>
                <w:spacing w:val="-2"/>
                <w:sz w:val="22"/>
              </w:rPr>
              <w:t>Estimate</w:t>
            </w:r>
          </w:p>
        </w:tc>
        <w:tc>
          <w:tcPr>
            <w:tcW w:w="854" w:type="dxa"/>
          </w:tcPr>
          <w:p>
            <w:pPr>
              <w:pStyle w:val="TableParagraph"/>
              <w:spacing w:line="246" w:lineRule="exact"/>
              <w:ind w:left="29" w:right="20"/>
              <w:jc w:val="center"/>
              <w:rPr>
                <w:b/>
                <w:sz w:val="22"/>
              </w:rPr>
            </w:pPr>
            <w:r>
              <w:rPr>
                <w:b/>
                <w:spacing w:val="-5"/>
                <w:sz w:val="22"/>
              </w:rPr>
              <w:t>SE</w:t>
            </w:r>
          </w:p>
        </w:tc>
        <w:tc>
          <w:tcPr>
            <w:tcW w:w="1072" w:type="dxa"/>
          </w:tcPr>
          <w:p>
            <w:pPr>
              <w:pStyle w:val="TableParagraph"/>
              <w:spacing w:line="246" w:lineRule="exact"/>
              <w:ind w:left="289"/>
              <w:rPr>
                <w:b/>
                <w:sz w:val="22"/>
              </w:rPr>
            </w:pPr>
            <w:r>
              <w:rPr>
                <w:b/>
                <w:spacing w:val="-2"/>
                <w:sz w:val="22"/>
              </w:rPr>
              <w:t>t-</w:t>
            </w:r>
            <w:r>
              <w:rPr>
                <w:b/>
                <w:spacing w:val="-4"/>
                <w:sz w:val="22"/>
              </w:rPr>
              <w:t>stat</w:t>
            </w:r>
          </w:p>
        </w:tc>
        <w:tc>
          <w:tcPr>
            <w:tcW w:w="1154" w:type="dxa"/>
          </w:tcPr>
          <w:p>
            <w:pPr>
              <w:pStyle w:val="TableParagraph"/>
              <w:spacing w:line="246" w:lineRule="exact"/>
              <w:ind w:left="227"/>
              <w:rPr>
                <w:b/>
                <w:sz w:val="22"/>
              </w:rPr>
            </w:pPr>
            <w:r>
              <w:rPr>
                <w:b/>
                <w:spacing w:val="-2"/>
                <w:sz w:val="22"/>
              </w:rPr>
              <w:t>p-value</w:t>
            </w:r>
          </w:p>
        </w:tc>
        <w:tc>
          <w:tcPr>
            <w:tcW w:w="1384" w:type="dxa"/>
          </w:tcPr>
          <w:p>
            <w:pPr>
              <w:pStyle w:val="TableParagraph"/>
              <w:spacing w:line="246" w:lineRule="exact"/>
              <w:ind w:left="320"/>
              <w:rPr>
                <w:b/>
                <w:sz w:val="22"/>
              </w:rPr>
            </w:pPr>
            <w:r>
              <w:rPr>
                <w:b/>
                <w:sz w:val="22"/>
              </w:rPr>
              <w:t>95%</w:t>
            </w:r>
            <w:r>
              <w:rPr>
                <w:b/>
                <w:spacing w:val="-1"/>
                <w:sz w:val="22"/>
              </w:rPr>
              <w:t> </w:t>
            </w:r>
            <w:r>
              <w:rPr>
                <w:b/>
                <w:spacing w:val="-5"/>
                <w:sz w:val="22"/>
              </w:rPr>
              <w:t>CI</w:t>
            </w:r>
          </w:p>
        </w:tc>
        <w:tc>
          <w:tcPr>
            <w:tcW w:w="1156" w:type="dxa"/>
          </w:tcPr>
          <w:p>
            <w:pPr>
              <w:pStyle w:val="TableParagraph"/>
              <w:spacing w:line="246" w:lineRule="exact"/>
              <w:ind w:left="431"/>
              <w:rPr>
                <w:b/>
                <w:sz w:val="22"/>
              </w:rPr>
            </w:pPr>
            <w:r>
              <w:rPr>
                <w:b/>
                <w:spacing w:val="-4"/>
                <w:sz w:val="22"/>
              </w:rPr>
              <w:t>Sig.</w:t>
            </w:r>
          </w:p>
        </w:tc>
      </w:tr>
      <w:tr>
        <w:trPr>
          <w:trHeight w:val="570" w:hRule="atLeast"/>
        </w:trPr>
        <w:tc>
          <w:tcPr>
            <w:tcW w:w="1401" w:type="dxa"/>
          </w:tcPr>
          <w:p>
            <w:pPr>
              <w:pStyle w:val="TableParagraph"/>
              <w:spacing w:before="139"/>
              <w:ind w:left="11" w:right="89"/>
              <w:jc w:val="center"/>
              <w:rPr>
                <w:sz w:val="22"/>
              </w:rPr>
            </w:pPr>
            <w:r>
              <w:rPr>
                <w:sz w:val="22"/>
              </w:rPr>
              <w:t>Constant</w:t>
            </w:r>
            <w:r>
              <w:rPr>
                <w:spacing w:val="-8"/>
                <w:sz w:val="22"/>
              </w:rPr>
              <w:t> </w:t>
            </w:r>
            <w:r>
              <w:rPr>
                <w:spacing w:val="-5"/>
                <w:sz w:val="22"/>
              </w:rPr>
              <w:t>(κ)</w:t>
            </w:r>
          </w:p>
        </w:tc>
        <w:tc>
          <w:tcPr>
            <w:tcW w:w="1238" w:type="dxa"/>
          </w:tcPr>
          <w:p>
            <w:pPr>
              <w:pStyle w:val="TableParagraph"/>
              <w:spacing w:before="139"/>
              <w:rPr>
                <w:sz w:val="22"/>
              </w:rPr>
            </w:pPr>
            <w:r>
              <w:rPr>
                <w:spacing w:val="-2"/>
                <w:sz w:val="22"/>
              </w:rPr>
              <w:t>−0.0846</w:t>
            </w:r>
          </w:p>
        </w:tc>
        <w:tc>
          <w:tcPr>
            <w:tcW w:w="854" w:type="dxa"/>
          </w:tcPr>
          <w:p>
            <w:pPr>
              <w:pStyle w:val="TableParagraph"/>
              <w:spacing w:before="139"/>
              <w:ind w:left="9" w:right="29"/>
              <w:jc w:val="center"/>
              <w:rPr>
                <w:sz w:val="22"/>
              </w:rPr>
            </w:pPr>
            <w:r>
              <w:rPr>
                <w:spacing w:val="-2"/>
                <w:sz w:val="22"/>
              </w:rPr>
              <w:t>0.0321</w:t>
            </w:r>
          </w:p>
        </w:tc>
        <w:tc>
          <w:tcPr>
            <w:tcW w:w="1072" w:type="dxa"/>
          </w:tcPr>
          <w:p>
            <w:pPr>
              <w:pStyle w:val="TableParagraph"/>
              <w:spacing w:before="139"/>
              <w:rPr>
                <w:sz w:val="22"/>
              </w:rPr>
            </w:pPr>
            <w:r>
              <w:rPr>
                <w:spacing w:val="-2"/>
                <w:sz w:val="22"/>
              </w:rPr>
              <w:t>−2.634</w:t>
            </w:r>
          </w:p>
        </w:tc>
        <w:tc>
          <w:tcPr>
            <w:tcW w:w="1154" w:type="dxa"/>
          </w:tcPr>
          <w:p>
            <w:pPr>
              <w:pStyle w:val="TableParagraph"/>
              <w:spacing w:before="139"/>
              <w:rPr>
                <w:sz w:val="22"/>
              </w:rPr>
            </w:pPr>
            <w:r>
              <w:rPr>
                <w:spacing w:val="-2"/>
                <w:sz w:val="22"/>
              </w:rPr>
              <w:t>0.0102</w:t>
            </w:r>
          </w:p>
        </w:tc>
        <w:tc>
          <w:tcPr>
            <w:tcW w:w="1384" w:type="dxa"/>
          </w:tcPr>
          <w:p>
            <w:pPr>
              <w:pStyle w:val="TableParagraph"/>
              <w:spacing w:line="249" w:lineRule="exact"/>
              <w:rPr>
                <w:sz w:val="22"/>
              </w:rPr>
            </w:pPr>
            <w:r>
              <w:rPr>
                <w:sz w:val="22"/>
              </w:rPr>
              <w:t>[−0.149,</w:t>
            </w:r>
            <w:r>
              <w:rPr>
                <w:spacing w:val="52"/>
                <w:sz w:val="22"/>
              </w:rPr>
              <w:t> </w:t>
            </w:r>
            <w:r>
              <w:rPr>
                <w:spacing w:val="-10"/>
                <w:sz w:val="22"/>
              </w:rPr>
              <w:t>−</w:t>
            </w:r>
          </w:p>
          <w:p>
            <w:pPr>
              <w:pStyle w:val="TableParagraph"/>
              <w:spacing w:before="37"/>
              <w:rPr>
                <w:sz w:val="22"/>
              </w:rPr>
            </w:pPr>
            <w:r>
              <w:rPr>
                <w:spacing w:val="-2"/>
                <w:sz w:val="22"/>
              </w:rPr>
              <w:t>0.021]</w:t>
            </w:r>
          </w:p>
        </w:tc>
        <w:tc>
          <w:tcPr>
            <w:tcW w:w="1156" w:type="dxa"/>
          </w:tcPr>
          <w:p>
            <w:pPr>
              <w:pStyle w:val="TableParagraph"/>
              <w:spacing w:before="139"/>
              <w:rPr>
                <w:sz w:val="22"/>
              </w:rPr>
            </w:pPr>
            <w:r>
              <w:rPr>
                <w:spacing w:val="-5"/>
                <w:sz w:val="22"/>
              </w:rPr>
              <w:t>**</w:t>
            </w:r>
          </w:p>
        </w:tc>
      </w:tr>
      <w:tr>
        <w:trPr>
          <w:trHeight w:val="572" w:hRule="atLeast"/>
        </w:trPr>
        <w:tc>
          <w:tcPr>
            <w:tcW w:w="1401" w:type="dxa"/>
          </w:tcPr>
          <w:p>
            <w:pPr>
              <w:pStyle w:val="TableParagraph"/>
              <w:spacing w:line="249" w:lineRule="exact"/>
              <w:rPr>
                <w:sz w:val="22"/>
              </w:rPr>
            </w:pPr>
            <w:r>
              <w:rPr>
                <w:spacing w:val="-4"/>
                <w:sz w:val="22"/>
              </w:rPr>
              <w:t>Shock</w:t>
            </w:r>
          </w:p>
          <w:p>
            <w:pPr>
              <w:pStyle w:val="TableParagraph"/>
              <w:spacing w:before="37"/>
              <w:rPr>
                <w:sz w:val="22"/>
              </w:rPr>
            </w:pPr>
            <w:r>
              <w:rPr>
                <w:sz w:val="22"/>
              </w:rPr>
              <w:t>severity</w:t>
            </w:r>
            <w:r>
              <w:rPr>
                <w:spacing w:val="-9"/>
                <w:sz w:val="22"/>
              </w:rPr>
              <w:t> </w:t>
            </w:r>
            <w:r>
              <w:rPr>
                <w:spacing w:val="-4"/>
                <w:sz w:val="22"/>
              </w:rPr>
              <w:t>(θ₁)</w:t>
            </w:r>
          </w:p>
        </w:tc>
        <w:tc>
          <w:tcPr>
            <w:tcW w:w="1238" w:type="dxa"/>
          </w:tcPr>
          <w:p>
            <w:pPr>
              <w:pStyle w:val="TableParagraph"/>
              <w:spacing w:before="142"/>
              <w:rPr>
                <w:sz w:val="22"/>
              </w:rPr>
            </w:pPr>
            <w:r>
              <w:rPr>
                <w:spacing w:val="-2"/>
                <w:sz w:val="22"/>
              </w:rPr>
              <w:t>0.0669</w:t>
            </w:r>
          </w:p>
        </w:tc>
        <w:tc>
          <w:tcPr>
            <w:tcW w:w="854" w:type="dxa"/>
          </w:tcPr>
          <w:p>
            <w:pPr>
              <w:pStyle w:val="TableParagraph"/>
              <w:spacing w:before="142"/>
              <w:ind w:left="9" w:right="29"/>
              <w:jc w:val="center"/>
              <w:rPr>
                <w:sz w:val="22"/>
              </w:rPr>
            </w:pPr>
            <w:r>
              <w:rPr>
                <w:spacing w:val="-2"/>
                <w:sz w:val="22"/>
              </w:rPr>
              <w:t>0.0789</w:t>
            </w:r>
          </w:p>
        </w:tc>
        <w:tc>
          <w:tcPr>
            <w:tcW w:w="1072" w:type="dxa"/>
          </w:tcPr>
          <w:p>
            <w:pPr>
              <w:pStyle w:val="TableParagraph"/>
              <w:spacing w:before="142"/>
              <w:rPr>
                <w:sz w:val="22"/>
              </w:rPr>
            </w:pPr>
            <w:r>
              <w:rPr>
                <w:spacing w:val="-2"/>
                <w:sz w:val="22"/>
              </w:rPr>
              <w:t>0.848</w:t>
            </w:r>
          </w:p>
        </w:tc>
        <w:tc>
          <w:tcPr>
            <w:tcW w:w="1154" w:type="dxa"/>
          </w:tcPr>
          <w:p>
            <w:pPr>
              <w:pStyle w:val="TableParagraph"/>
              <w:spacing w:before="142"/>
              <w:rPr>
                <w:sz w:val="22"/>
              </w:rPr>
            </w:pPr>
            <w:r>
              <w:rPr>
                <w:spacing w:val="-2"/>
                <w:sz w:val="22"/>
              </w:rPr>
              <w:t>0.3994</w:t>
            </w:r>
          </w:p>
        </w:tc>
        <w:tc>
          <w:tcPr>
            <w:tcW w:w="1384" w:type="dxa"/>
          </w:tcPr>
          <w:p>
            <w:pPr>
              <w:pStyle w:val="TableParagraph"/>
              <w:spacing w:line="249" w:lineRule="exact"/>
              <w:rPr>
                <w:sz w:val="22"/>
              </w:rPr>
            </w:pPr>
            <w:r>
              <w:rPr>
                <w:spacing w:val="-2"/>
                <w:sz w:val="22"/>
              </w:rPr>
              <w:t>[−0.090,</w:t>
            </w:r>
          </w:p>
          <w:p>
            <w:pPr>
              <w:pStyle w:val="TableParagraph"/>
              <w:spacing w:before="37"/>
              <w:rPr>
                <w:sz w:val="22"/>
              </w:rPr>
            </w:pPr>
            <w:r>
              <w:rPr>
                <w:spacing w:val="-2"/>
                <w:sz w:val="22"/>
              </w:rPr>
              <w:t>0.224]</w:t>
            </w:r>
          </w:p>
        </w:tc>
        <w:tc>
          <w:tcPr>
            <w:tcW w:w="1156" w:type="dxa"/>
          </w:tcPr>
          <w:p>
            <w:pPr>
              <w:pStyle w:val="TableParagraph"/>
              <w:spacing w:before="142"/>
              <w:rPr>
                <w:sz w:val="22"/>
              </w:rPr>
            </w:pPr>
            <w:r>
              <w:rPr>
                <w:spacing w:val="-4"/>
                <w:sz w:val="22"/>
              </w:rPr>
              <w:t>n.s.</w:t>
            </w:r>
          </w:p>
        </w:tc>
      </w:tr>
      <w:tr>
        <w:trPr>
          <w:trHeight w:val="570" w:hRule="atLeast"/>
        </w:trPr>
        <w:tc>
          <w:tcPr>
            <w:tcW w:w="1401" w:type="dxa"/>
          </w:tcPr>
          <w:p>
            <w:pPr>
              <w:pStyle w:val="TableParagraph"/>
              <w:spacing w:line="246" w:lineRule="exact"/>
              <w:rPr>
                <w:sz w:val="22"/>
              </w:rPr>
            </w:pPr>
            <w:r>
              <w:rPr>
                <w:spacing w:val="-2"/>
                <w:sz w:val="22"/>
              </w:rPr>
              <w:t>Conc.×shock</w:t>
            </w:r>
          </w:p>
          <w:p>
            <w:pPr>
              <w:pStyle w:val="TableParagraph"/>
              <w:spacing w:before="37"/>
              <w:rPr>
                <w:sz w:val="22"/>
              </w:rPr>
            </w:pPr>
            <w:r>
              <w:rPr>
                <w:spacing w:val="-4"/>
                <w:sz w:val="22"/>
              </w:rPr>
              <w:t>(θ₂)</w:t>
            </w:r>
          </w:p>
        </w:tc>
        <w:tc>
          <w:tcPr>
            <w:tcW w:w="1238" w:type="dxa"/>
          </w:tcPr>
          <w:p>
            <w:pPr>
              <w:pStyle w:val="TableParagraph"/>
              <w:spacing w:before="139"/>
              <w:rPr>
                <w:b/>
                <w:sz w:val="22"/>
              </w:rPr>
            </w:pPr>
            <w:r>
              <w:rPr>
                <w:b/>
                <w:spacing w:val="-2"/>
                <w:sz w:val="22"/>
              </w:rPr>
              <w:t>0.209</w:t>
            </w:r>
          </w:p>
        </w:tc>
        <w:tc>
          <w:tcPr>
            <w:tcW w:w="854" w:type="dxa"/>
          </w:tcPr>
          <w:p>
            <w:pPr>
              <w:pStyle w:val="TableParagraph"/>
              <w:spacing w:before="139"/>
              <w:ind w:left="9" w:right="29"/>
              <w:jc w:val="center"/>
              <w:rPr>
                <w:sz w:val="22"/>
              </w:rPr>
            </w:pPr>
            <w:r>
              <w:rPr>
                <w:spacing w:val="-2"/>
                <w:sz w:val="22"/>
              </w:rPr>
              <w:t>0.0655</w:t>
            </w:r>
          </w:p>
        </w:tc>
        <w:tc>
          <w:tcPr>
            <w:tcW w:w="1072" w:type="dxa"/>
          </w:tcPr>
          <w:p>
            <w:pPr>
              <w:pStyle w:val="TableParagraph"/>
              <w:spacing w:before="139"/>
              <w:rPr>
                <w:sz w:val="22"/>
              </w:rPr>
            </w:pPr>
            <w:r>
              <w:rPr>
                <w:spacing w:val="-2"/>
                <w:sz w:val="22"/>
              </w:rPr>
              <w:t>3.301</w:t>
            </w:r>
          </w:p>
        </w:tc>
        <w:tc>
          <w:tcPr>
            <w:tcW w:w="1154" w:type="dxa"/>
          </w:tcPr>
          <w:p>
            <w:pPr>
              <w:pStyle w:val="TableParagraph"/>
              <w:spacing w:before="139"/>
              <w:rPr>
                <w:sz w:val="22"/>
              </w:rPr>
            </w:pPr>
            <w:r>
              <w:rPr>
                <w:spacing w:val="-2"/>
                <w:sz w:val="22"/>
              </w:rPr>
              <w:t>0.0031</w:t>
            </w:r>
          </w:p>
        </w:tc>
        <w:tc>
          <w:tcPr>
            <w:tcW w:w="1384" w:type="dxa"/>
          </w:tcPr>
          <w:p>
            <w:pPr>
              <w:pStyle w:val="TableParagraph"/>
              <w:spacing w:line="246" w:lineRule="exact"/>
              <w:rPr>
                <w:sz w:val="22"/>
              </w:rPr>
            </w:pPr>
            <w:r>
              <w:rPr>
                <w:spacing w:val="-2"/>
                <w:sz w:val="22"/>
              </w:rPr>
              <w:t>[0.086,</w:t>
            </w:r>
          </w:p>
          <w:p>
            <w:pPr>
              <w:pStyle w:val="TableParagraph"/>
              <w:spacing w:before="37"/>
              <w:rPr>
                <w:sz w:val="22"/>
              </w:rPr>
            </w:pPr>
            <w:r>
              <w:rPr>
                <w:spacing w:val="-2"/>
                <w:sz w:val="22"/>
              </w:rPr>
              <w:t>0.347]</w:t>
            </w:r>
          </w:p>
        </w:tc>
        <w:tc>
          <w:tcPr>
            <w:tcW w:w="1156" w:type="dxa"/>
          </w:tcPr>
          <w:p>
            <w:pPr>
              <w:pStyle w:val="TableParagraph"/>
              <w:spacing w:before="139"/>
              <w:rPr>
                <w:sz w:val="22"/>
              </w:rPr>
            </w:pPr>
            <w:r>
              <w:rPr>
                <w:spacing w:val="-5"/>
                <w:sz w:val="22"/>
              </w:rPr>
              <w:t>***</w:t>
            </w:r>
          </w:p>
        </w:tc>
      </w:tr>
      <w:tr>
        <w:trPr>
          <w:trHeight w:val="570" w:hRule="atLeast"/>
        </w:trPr>
        <w:tc>
          <w:tcPr>
            <w:tcW w:w="1401" w:type="dxa"/>
          </w:tcPr>
          <w:p>
            <w:pPr>
              <w:pStyle w:val="TableParagraph"/>
              <w:spacing w:line="249" w:lineRule="exact"/>
              <w:rPr>
                <w:sz w:val="22"/>
              </w:rPr>
            </w:pPr>
            <w:r>
              <w:rPr>
                <w:spacing w:val="-2"/>
                <w:sz w:val="22"/>
              </w:rPr>
              <w:t>Digital</w:t>
            </w:r>
          </w:p>
          <w:p>
            <w:pPr>
              <w:pStyle w:val="TableParagraph"/>
              <w:spacing w:before="37"/>
              <w:rPr>
                <w:sz w:val="22"/>
              </w:rPr>
            </w:pPr>
            <w:r>
              <w:rPr>
                <w:sz w:val="22"/>
              </w:rPr>
              <w:t>adoption</w:t>
            </w:r>
            <w:r>
              <w:rPr>
                <w:spacing w:val="-8"/>
                <w:sz w:val="22"/>
              </w:rPr>
              <w:t> </w:t>
            </w:r>
            <w:r>
              <w:rPr>
                <w:spacing w:val="-4"/>
                <w:sz w:val="22"/>
              </w:rPr>
              <w:t>(θ₃)</w:t>
            </w:r>
          </w:p>
        </w:tc>
        <w:tc>
          <w:tcPr>
            <w:tcW w:w="1238" w:type="dxa"/>
          </w:tcPr>
          <w:p>
            <w:pPr>
              <w:pStyle w:val="TableParagraph"/>
              <w:spacing w:before="139"/>
              <w:rPr>
                <w:sz w:val="22"/>
              </w:rPr>
            </w:pPr>
            <w:r>
              <w:rPr>
                <w:spacing w:val="-2"/>
                <w:sz w:val="22"/>
              </w:rPr>
              <w:t>0.0394</w:t>
            </w:r>
          </w:p>
        </w:tc>
        <w:tc>
          <w:tcPr>
            <w:tcW w:w="854" w:type="dxa"/>
          </w:tcPr>
          <w:p>
            <w:pPr>
              <w:pStyle w:val="TableParagraph"/>
              <w:spacing w:before="139"/>
              <w:ind w:left="9" w:right="29"/>
              <w:jc w:val="center"/>
              <w:rPr>
                <w:sz w:val="22"/>
              </w:rPr>
            </w:pPr>
            <w:r>
              <w:rPr>
                <w:spacing w:val="-2"/>
                <w:sz w:val="22"/>
              </w:rPr>
              <w:t>0.0226</w:t>
            </w:r>
          </w:p>
        </w:tc>
        <w:tc>
          <w:tcPr>
            <w:tcW w:w="1072" w:type="dxa"/>
          </w:tcPr>
          <w:p>
            <w:pPr>
              <w:pStyle w:val="TableParagraph"/>
              <w:spacing w:before="139"/>
              <w:rPr>
                <w:sz w:val="22"/>
              </w:rPr>
            </w:pPr>
            <w:r>
              <w:rPr>
                <w:spacing w:val="-2"/>
                <w:sz w:val="22"/>
              </w:rPr>
              <w:t>1.893</w:t>
            </w:r>
          </w:p>
        </w:tc>
        <w:tc>
          <w:tcPr>
            <w:tcW w:w="1154" w:type="dxa"/>
          </w:tcPr>
          <w:p>
            <w:pPr>
              <w:pStyle w:val="TableParagraph"/>
              <w:spacing w:before="139"/>
              <w:rPr>
                <w:sz w:val="22"/>
              </w:rPr>
            </w:pPr>
            <w:r>
              <w:rPr>
                <w:spacing w:val="-2"/>
                <w:sz w:val="22"/>
              </w:rPr>
              <w:t>0.0622</w:t>
            </w:r>
          </w:p>
        </w:tc>
        <w:tc>
          <w:tcPr>
            <w:tcW w:w="1384" w:type="dxa"/>
          </w:tcPr>
          <w:p>
            <w:pPr>
              <w:pStyle w:val="TableParagraph"/>
              <w:spacing w:line="249" w:lineRule="exact"/>
              <w:rPr>
                <w:sz w:val="22"/>
              </w:rPr>
            </w:pPr>
            <w:r>
              <w:rPr>
                <w:spacing w:val="-2"/>
                <w:sz w:val="22"/>
              </w:rPr>
              <w:t>[−0.002,</w:t>
            </w:r>
          </w:p>
          <w:p>
            <w:pPr>
              <w:pStyle w:val="TableParagraph"/>
              <w:spacing w:before="37"/>
              <w:rPr>
                <w:sz w:val="22"/>
              </w:rPr>
            </w:pPr>
            <w:r>
              <w:rPr>
                <w:spacing w:val="-2"/>
                <w:sz w:val="22"/>
              </w:rPr>
              <w:t>0.088]</w:t>
            </w:r>
          </w:p>
        </w:tc>
        <w:tc>
          <w:tcPr>
            <w:tcW w:w="1156" w:type="dxa"/>
          </w:tcPr>
          <w:p>
            <w:pPr>
              <w:pStyle w:val="TableParagraph"/>
              <w:spacing w:before="139"/>
              <w:rPr>
                <w:sz w:val="22"/>
              </w:rPr>
            </w:pPr>
            <w:r>
              <w:rPr>
                <w:spacing w:val="-4"/>
                <w:sz w:val="22"/>
              </w:rPr>
              <w:t>n.s.</w:t>
            </w:r>
          </w:p>
        </w:tc>
      </w:tr>
    </w:tbl>
    <w:p>
      <w:pPr>
        <w:spacing w:line="240" w:lineRule="auto" w:before="0"/>
        <w:ind w:left="99" w:right="320" w:firstLine="0"/>
        <w:jc w:val="both"/>
        <w:rPr>
          <w:i/>
          <w:sz w:val="24"/>
        </w:rPr>
      </w:pPr>
      <w:r>
        <w:rPr>
          <w:i/>
          <w:sz w:val="24"/>
        </w:rPr>
        <w:t>Notes: n=81; df=75; R²=0.574; AIC=−327.46. Adding digital adoption D as a</w:t>
      </w:r>
      <w:r>
        <w:rPr>
          <w:i/>
          <w:sz w:val="24"/>
        </w:rPr>
        <w:t> separate regressor to Specification I leaves the concentration×shock channel positive and significant: θ₂=0.209 (p=0.0031). The point estimate falls relative to the Table 2 value (0.2466) because D is itself correlated with the C×S interaction term and absorbs part of the</w:t>
      </w:r>
      <w:r>
        <w:rPr>
          <w:i/>
          <w:spacing w:val="-2"/>
          <w:sz w:val="24"/>
        </w:rPr>
        <w:t> </w:t>
      </w:r>
      <w:r>
        <w:rPr>
          <w:i/>
          <w:sz w:val="24"/>
        </w:rPr>
        <w:t>shared</w:t>
      </w:r>
      <w:r>
        <w:rPr>
          <w:i/>
          <w:spacing w:val="-1"/>
          <w:sz w:val="24"/>
        </w:rPr>
        <w:t> </w:t>
      </w:r>
      <w:r>
        <w:rPr>
          <w:i/>
          <w:sz w:val="24"/>
        </w:rPr>
        <w:t>variance. This is</w:t>
      </w:r>
      <w:r>
        <w:rPr>
          <w:i/>
          <w:spacing w:val="-1"/>
          <w:sz w:val="24"/>
        </w:rPr>
        <w:t> </w:t>
      </w:r>
      <w:r>
        <w:rPr>
          <w:i/>
          <w:sz w:val="24"/>
        </w:rPr>
        <w:t>expected</w:t>
      </w:r>
      <w:r>
        <w:rPr>
          <w:i/>
          <w:spacing w:val="-1"/>
          <w:sz w:val="24"/>
        </w:rPr>
        <w:t> </w:t>
      </w:r>
      <w:r>
        <w:rPr>
          <w:i/>
          <w:sz w:val="24"/>
        </w:rPr>
        <w:t>collinearity-driven re-allocation, not a sign or significance reversal. D enters with a positive own coefficient that does not clear conventional significance (θ₃=0.0394, p=0.0973, borderline). The improved model fit (R²=0.574 vs 0.553; AIC=−327.46 vs</w:t>
      </w:r>
      <w:r>
        <w:rPr>
          <w:i/>
          <w:spacing w:val="40"/>
          <w:sz w:val="24"/>
        </w:rPr>
        <w:t> </w:t>
      </w:r>
      <w:r>
        <w:rPr>
          <w:i/>
          <w:sz w:val="24"/>
        </w:rPr>
        <w:t>−325.77) indicates D adds a small amount of explanatory content beyond the interaction term, even though its own coefficient is only borderline significant on its own. The concentration×shock interaction remains the consistently identified driver across both specifications, with digital</w:t>
      </w:r>
      <w:r>
        <w:rPr>
          <w:i/>
          <w:spacing w:val="-3"/>
          <w:sz w:val="24"/>
        </w:rPr>
        <w:t> </w:t>
      </w:r>
      <w:r>
        <w:rPr>
          <w:i/>
          <w:sz w:val="24"/>
        </w:rPr>
        <w:t>adoption</w:t>
      </w:r>
      <w:r>
        <w:rPr>
          <w:i/>
          <w:spacing w:val="-3"/>
          <w:sz w:val="24"/>
        </w:rPr>
        <w:t> </w:t>
      </w:r>
      <w:r>
        <w:rPr>
          <w:i/>
          <w:sz w:val="24"/>
        </w:rPr>
        <w:t>a</w:t>
      </w:r>
      <w:r>
        <w:rPr>
          <w:i/>
          <w:spacing w:val="-2"/>
          <w:sz w:val="24"/>
        </w:rPr>
        <w:t> </w:t>
      </w:r>
      <w:r>
        <w:rPr>
          <w:i/>
          <w:sz w:val="24"/>
        </w:rPr>
        <w:t>positive-in-sign</w:t>
      </w:r>
      <w:r>
        <w:rPr>
          <w:i/>
          <w:spacing w:val="-4"/>
          <w:sz w:val="24"/>
        </w:rPr>
        <w:t> </w:t>
      </w:r>
      <w:r>
        <w:rPr>
          <w:i/>
          <w:sz w:val="24"/>
        </w:rPr>
        <w:t>but</w:t>
      </w:r>
      <w:r>
        <w:rPr>
          <w:i/>
          <w:spacing w:val="-1"/>
          <w:sz w:val="24"/>
        </w:rPr>
        <w:t> </w:t>
      </w:r>
      <w:r>
        <w:rPr>
          <w:i/>
          <w:sz w:val="24"/>
        </w:rPr>
        <w:t>statistically</w:t>
      </w:r>
      <w:r>
        <w:rPr>
          <w:i/>
          <w:spacing w:val="-2"/>
          <w:sz w:val="24"/>
        </w:rPr>
        <w:t> </w:t>
      </w:r>
      <w:r>
        <w:rPr>
          <w:i/>
          <w:sz w:val="24"/>
        </w:rPr>
        <w:t>unconfirmed</w:t>
      </w:r>
      <w:r>
        <w:rPr>
          <w:i/>
          <w:spacing w:val="-1"/>
          <w:sz w:val="24"/>
        </w:rPr>
        <w:t> </w:t>
      </w:r>
      <w:r>
        <w:rPr>
          <w:i/>
          <w:sz w:val="24"/>
        </w:rPr>
        <w:t>secondary</w:t>
      </w:r>
      <w:r>
        <w:rPr>
          <w:i/>
          <w:spacing w:val="-5"/>
          <w:sz w:val="24"/>
        </w:rPr>
        <w:t> </w:t>
      </w:r>
      <w:r>
        <w:rPr>
          <w:i/>
          <w:sz w:val="24"/>
        </w:rPr>
        <w:t>association, pending a larger digital-regime sample. * p&lt;0.05; ** p&lt;0.01; *** p&lt;0.001; n.s.=not </w:t>
      </w:r>
      <w:r>
        <w:rPr>
          <w:i/>
          <w:spacing w:val="-2"/>
          <w:sz w:val="24"/>
        </w:rPr>
        <w:t>significant.</w:t>
      </w:r>
    </w:p>
    <w:p>
      <w:pPr>
        <w:pStyle w:val="BodyText"/>
        <w:spacing w:line="480" w:lineRule="auto" w:before="271"/>
        <w:ind w:right="322"/>
        <w:jc w:val="both"/>
      </w:pPr>
      <w:r>
        <w:rPr>
          <w:b/>
        </w:rPr>
        <w:t>Reconciling the θ₂</w:t>
      </w:r>
      <w:r>
        <w:rPr>
          <w:b/>
          <w:spacing w:val="40"/>
        </w:rPr>
        <w:t> </w:t>
      </w:r>
      <w:r>
        <w:rPr>
          <w:b/>
        </w:rPr>
        <w:t>estimates. </w:t>
      </w:r>
      <w:r>
        <w:rPr/>
        <w:t>This paper reports θ₂</w:t>
      </w:r>
      <w:r>
        <w:rPr>
          <w:spacing w:val="40"/>
        </w:rPr>
        <w:t> </w:t>
      </w:r>
      <w:r>
        <w:rPr/>
        <w:t>under three regressor sets, none designated “primary” on the basis of its result. Table 2c summarises what each measures, why the two full-panel specifications (I and II)</w:t>
      </w:r>
      <w:r>
        <w:rPr>
          <w:spacing w:val="37"/>
        </w:rPr>
        <w:t> </w:t>
      </w:r>
      <w:r>
        <w:rPr/>
        <w:t>are reported as co-equal,</w:t>
      </w:r>
      <w:r>
        <w:rPr>
          <w:spacing w:val="80"/>
        </w:rPr>
        <w:t> </w:t>
      </w:r>
      <w:r>
        <w:rPr/>
        <w:t>and why their magnitudes are not directly comparable.</w:t>
      </w:r>
    </w:p>
    <w:p>
      <w:pPr>
        <w:pStyle w:val="BodyText"/>
        <w:spacing w:after="0" w:line="480" w:lineRule="auto"/>
        <w:jc w:val="both"/>
        <w:sectPr>
          <w:pgSz w:w="11900" w:h="16820"/>
          <w:pgMar w:header="714" w:footer="0" w:top="1340" w:bottom="280" w:left="1700" w:right="1417"/>
        </w:sectPr>
      </w:pPr>
    </w:p>
    <w:p>
      <w:pPr>
        <w:pStyle w:val="BodyText"/>
        <w:spacing w:before="43"/>
        <w:ind w:left="0"/>
      </w:pPr>
    </w:p>
    <w:p>
      <w:pPr>
        <w:spacing w:before="0"/>
        <w:ind w:left="0" w:right="282" w:firstLine="0"/>
        <w:jc w:val="center"/>
        <w:rPr>
          <w:b/>
          <w:sz w:val="24"/>
        </w:rPr>
      </w:pPr>
      <w:r>
        <w:rPr>
          <w:b/>
          <w:sz w:val="24"/>
        </w:rPr>
        <w:t>Table2c.</w:t>
      </w:r>
      <w:r>
        <w:rPr>
          <w:b/>
          <w:spacing w:val="-8"/>
          <w:sz w:val="24"/>
        </w:rPr>
        <w:t> </w:t>
      </w:r>
      <w:r>
        <w:rPr>
          <w:b/>
          <w:sz w:val="24"/>
        </w:rPr>
        <w:t>The</w:t>
      </w:r>
      <w:r>
        <w:rPr>
          <w:b/>
          <w:spacing w:val="-9"/>
          <w:sz w:val="24"/>
        </w:rPr>
        <w:t> </w:t>
      </w:r>
      <w:r>
        <w:rPr>
          <w:b/>
          <w:sz w:val="24"/>
        </w:rPr>
        <w:t>θ₂</w:t>
      </w:r>
      <w:r>
        <w:rPr>
          <w:b/>
          <w:spacing w:val="44"/>
          <w:sz w:val="24"/>
        </w:rPr>
        <w:t> </w:t>
      </w:r>
      <w:r>
        <w:rPr>
          <w:b/>
          <w:sz w:val="24"/>
        </w:rPr>
        <w:t>Specifications</w:t>
      </w:r>
      <w:r>
        <w:rPr>
          <w:b/>
          <w:spacing w:val="-8"/>
          <w:sz w:val="24"/>
        </w:rPr>
        <w:t> </w:t>
      </w:r>
      <w:r>
        <w:rPr>
          <w:b/>
          <w:sz w:val="24"/>
        </w:rPr>
        <w:t>and</w:t>
      </w:r>
      <w:r>
        <w:rPr>
          <w:b/>
          <w:spacing w:val="-7"/>
          <w:sz w:val="24"/>
        </w:rPr>
        <w:t> </w:t>
      </w:r>
      <w:r>
        <w:rPr>
          <w:b/>
          <w:sz w:val="24"/>
        </w:rPr>
        <w:t>Why</w:t>
      </w:r>
      <w:r>
        <w:rPr>
          <w:b/>
          <w:spacing w:val="-8"/>
          <w:sz w:val="24"/>
        </w:rPr>
        <w:t> </w:t>
      </w:r>
      <w:r>
        <w:rPr>
          <w:b/>
          <w:sz w:val="24"/>
        </w:rPr>
        <w:t>They</w:t>
      </w:r>
      <w:r>
        <w:rPr>
          <w:b/>
          <w:spacing w:val="-8"/>
          <w:sz w:val="24"/>
        </w:rPr>
        <w:t> </w:t>
      </w:r>
      <w:r>
        <w:rPr>
          <w:b/>
          <w:spacing w:val="-2"/>
          <w:sz w:val="24"/>
        </w:rPr>
        <w:t>Differ</w:t>
      </w:r>
    </w:p>
    <w:p>
      <w:pPr>
        <w:pStyle w:val="BodyText"/>
        <w:spacing w:before="11"/>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1269"/>
        <w:gridCol w:w="2142"/>
        <w:gridCol w:w="2480"/>
      </w:tblGrid>
      <w:tr>
        <w:trPr>
          <w:trHeight w:val="570" w:hRule="atLeast"/>
        </w:trPr>
        <w:tc>
          <w:tcPr>
            <w:tcW w:w="2404" w:type="dxa"/>
          </w:tcPr>
          <w:p>
            <w:pPr>
              <w:pStyle w:val="TableParagraph"/>
              <w:spacing w:before="139"/>
              <w:ind w:left="597"/>
              <w:rPr>
                <w:b/>
                <w:sz w:val="22"/>
              </w:rPr>
            </w:pPr>
            <w:r>
              <w:rPr>
                <w:b/>
                <w:spacing w:val="-2"/>
                <w:sz w:val="22"/>
              </w:rPr>
              <w:t>Specification</w:t>
            </w:r>
          </w:p>
        </w:tc>
        <w:tc>
          <w:tcPr>
            <w:tcW w:w="1269" w:type="dxa"/>
          </w:tcPr>
          <w:p>
            <w:pPr>
              <w:pStyle w:val="TableParagraph"/>
              <w:spacing w:before="139"/>
              <w:ind w:left="7"/>
              <w:jc w:val="center"/>
              <w:rPr>
                <w:b/>
                <w:sz w:val="22"/>
              </w:rPr>
            </w:pPr>
            <w:r>
              <w:rPr>
                <w:b/>
                <w:spacing w:val="-5"/>
                <w:sz w:val="22"/>
              </w:rPr>
              <w:t>θ₂</w:t>
            </w:r>
          </w:p>
        </w:tc>
        <w:tc>
          <w:tcPr>
            <w:tcW w:w="2142" w:type="dxa"/>
          </w:tcPr>
          <w:p>
            <w:pPr>
              <w:pStyle w:val="TableParagraph"/>
              <w:spacing w:before="139"/>
              <w:ind w:left="490"/>
              <w:rPr>
                <w:b/>
                <w:sz w:val="22"/>
              </w:rPr>
            </w:pPr>
            <w:r>
              <w:rPr>
                <w:b/>
                <w:sz w:val="22"/>
              </w:rPr>
              <w:t>Ex-ante</w:t>
            </w:r>
            <w:r>
              <w:rPr>
                <w:b/>
                <w:spacing w:val="-8"/>
                <w:sz w:val="22"/>
              </w:rPr>
              <w:t> </w:t>
            </w:r>
            <w:r>
              <w:rPr>
                <w:b/>
                <w:spacing w:val="-4"/>
                <w:sz w:val="22"/>
              </w:rPr>
              <w:t>role</w:t>
            </w:r>
          </w:p>
        </w:tc>
        <w:tc>
          <w:tcPr>
            <w:tcW w:w="2480" w:type="dxa"/>
          </w:tcPr>
          <w:p>
            <w:pPr>
              <w:pStyle w:val="TableParagraph"/>
              <w:spacing w:line="246" w:lineRule="exact"/>
              <w:ind w:left="8"/>
              <w:jc w:val="center"/>
              <w:rPr>
                <w:b/>
                <w:sz w:val="22"/>
              </w:rPr>
            </w:pPr>
            <w:r>
              <w:rPr>
                <w:b/>
                <w:sz w:val="22"/>
              </w:rPr>
              <w:t>Why</w:t>
            </w:r>
            <w:r>
              <w:rPr>
                <w:b/>
                <w:spacing w:val="-2"/>
                <w:sz w:val="22"/>
              </w:rPr>
              <w:t> </w:t>
            </w:r>
            <w:r>
              <w:rPr>
                <w:b/>
                <w:sz w:val="22"/>
              </w:rPr>
              <w:t>the</w:t>
            </w:r>
            <w:r>
              <w:rPr>
                <w:b/>
                <w:spacing w:val="-3"/>
                <w:sz w:val="22"/>
              </w:rPr>
              <w:t> </w:t>
            </w:r>
            <w:r>
              <w:rPr>
                <w:b/>
                <w:spacing w:val="-2"/>
                <w:sz w:val="22"/>
              </w:rPr>
              <w:t>magnitude</w:t>
            </w:r>
          </w:p>
          <w:p>
            <w:pPr>
              <w:pStyle w:val="TableParagraph"/>
              <w:spacing w:before="39"/>
              <w:ind w:left="8" w:right="3"/>
              <w:jc w:val="center"/>
              <w:rPr>
                <w:b/>
                <w:sz w:val="22"/>
              </w:rPr>
            </w:pPr>
            <w:r>
              <w:rPr>
                <w:b/>
                <w:spacing w:val="-2"/>
                <w:sz w:val="22"/>
              </w:rPr>
              <w:t>differs</w:t>
            </w:r>
          </w:p>
        </w:tc>
      </w:tr>
      <w:tr>
        <w:trPr>
          <w:trHeight w:val="1442" w:hRule="atLeast"/>
        </w:trPr>
        <w:tc>
          <w:tcPr>
            <w:tcW w:w="2404" w:type="dxa"/>
          </w:tcPr>
          <w:p>
            <w:pPr>
              <w:pStyle w:val="TableParagraph"/>
              <w:spacing w:before="179"/>
              <w:ind w:left="0"/>
              <w:rPr>
                <w:b/>
                <w:sz w:val="22"/>
              </w:rPr>
            </w:pPr>
          </w:p>
          <w:p>
            <w:pPr>
              <w:pStyle w:val="TableParagraph"/>
              <w:rPr>
                <w:sz w:val="22"/>
              </w:rPr>
            </w:pPr>
            <w:r>
              <w:rPr>
                <w:sz w:val="22"/>
              </w:rPr>
              <w:t>I</w:t>
            </w:r>
            <w:r>
              <w:rPr>
                <w:spacing w:val="49"/>
                <w:sz w:val="22"/>
              </w:rPr>
              <w:t> </w:t>
            </w:r>
            <w:r>
              <w:rPr>
                <w:sz w:val="22"/>
              </w:rPr>
              <w:t>—</w:t>
            </w:r>
            <w:r>
              <w:rPr>
                <w:spacing w:val="52"/>
                <w:sz w:val="22"/>
              </w:rPr>
              <w:t> </w:t>
            </w:r>
            <w:r>
              <w:rPr>
                <w:sz w:val="22"/>
              </w:rPr>
              <w:t>main-effects: κ</w:t>
            </w:r>
            <w:r>
              <w:rPr>
                <w:spacing w:val="-1"/>
                <w:sz w:val="22"/>
              </w:rPr>
              <w:t> </w:t>
            </w:r>
            <w:r>
              <w:rPr>
                <w:sz w:val="22"/>
              </w:rPr>
              <w:t>+</w:t>
            </w:r>
            <w:r>
              <w:rPr>
                <w:spacing w:val="-3"/>
                <w:sz w:val="22"/>
              </w:rPr>
              <w:t> </w:t>
            </w:r>
            <w:r>
              <w:rPr>
                <w:spacing w:val="-10"/>
                <w:sz w:val="22"/>
              </w:rPr>
              <w:t>θ</w:t>
            </w:r>
          </w:p>
          <w:p>
            <w:pPr>
              <w:pStyle w:val="TableParagraph"/>
              <w:spacing w:before="37"/>
              <w:rPr>
                <w:sz w:val="22"/>
              </w:rPr>
            </w:pPr>
            <w:r>
              <w:rPr>
                <w:sz w:val="22"/>
              </w:rPr>
              <w:t>₁·S</w:t>
            </w:r>
            <w:r>
              <w:rPr>
                <w:spacing w:val="-5"/>
                <w:sz w:val="22"/>
              </w:rPr>
              <w:t> </w:t>
            </w:r>
            <w:r>
              <w:rPr>
                <w:sz w:val="22"/>
              </w:rPr>
              <w:t>+</w:t>
            </w:r>
            <w:r>
              <w:rPr>
                <w:spacing w:val="-4"/>
                <w:sz w:val="22"/>
              </w:rPr>
              <w:t> </w:t>
            </w:r>
            <w:r>
              <w:rPr>
                <w:sz w:val="22"/>
              </w:rPr>
              <w:t>θ₂·(C×S)</w:t>
            </w:r>
            <w:r>
              <w:rPr>
                <w:spacing w:val="-3"/>
                <w:sz w:val="22"/>
              </w:rPr>
              <w:t> </w:t>
            </w:r>
            <w:r>
              <w:rPr>
                <w:sz w:val="22"/>
              </w:rPr>
              <w:t>(Table</w:t>
            </w:r>
            <w:r>
              <w:rPr>
                <w:spacing w:val="-3"/>
                <w:sz w:val="22"/>
              </w:rPr>
              <w:t> </w:t>
            </w:r>
            <w:r>
              <w:rPr>
                <w:spacing w:val="-5"/>
                <w:sz w:val="22"/>
              </w:rPr>
              <w:t>2)</w:t>
            </w:r>
          </w:p>
        </w:tc>
        <w:tc>
          <w:tcPr>
            <w:tcW w:w="1269" w:type="dxa"/>
          </w:tcPr>
          <w:p>
            <w:pPr>
              <w:pStyle w:val="TableParagraph"/>
              <w:spacing w:before="179"/>
              <w:ind w:left="0"/>
              <w:rPr>
                <w:b/>
                <w:sz w:val="22"/>
              </w:rPr>
            </w:pPr>
          </w:p>
          <w:p>
            <w:pPr>
              <w:pStyle w:val="TableParagraph"/>
              <w:spacing w:line="276" w:lineRule="auto"/>
              <w:ind w:right="117"/>
              <w:rPr>
                <w:sz w:val="22"/>
              </w:rPr>
            </w:pPr>
            <w:r>
              <w:rPr>
                <w:spacing w:val="-2"/>
                <w:sz w:val="22"/>
              </w:rPr>
              <w:t>0.2466 (p&lt;0.001)</w:t>
            </w:r>
          </w:p>
        </w:tc>
        <w:tc>
          <w:tcPr>
            <w:tcW w:w="2142" w:type="dxa"/>
          </w:tcPr>
          <w:p>
            <w:pPr>
              <w:pStyle w:val="TableParagraph"/>
              <w:spacing w:line="276" w:lineRule="auto"/>
              <w:ind w:right="168"/>
              <w:rPr>
                <w:sz w:val="22"/>
              </w:rPr>
            </w:pPr>
            <w:r>
              <w:rPr>
                <w:sz w:val="22"/>
              </w:rPr>
              <w:t>Standard</w:t>
            </w:r>
            <w:r>
              <w:rPr>
                <w:spacing w:val="-14"/>
                <w:sz w:val="22"/>
              </w:rPr>
              <w:t> </w:t>
            </w:r>
            <w:r>
              <w:rPr>
                <w:sz w:val="22"/>
              </w:rPr>
              <w:t>interaction-testing convention (Aiken and West, 1991);</w:t>
            </w:r>
            <w:r>
              <w:rPr>
                <w:spacing w:val="-1"/>
                <w:sz w:val="22"/>
              </w:rPr>
              <w:t> </w:t>
            </w:r>
            <w:r>
              <w:rPr>
                <w:sz w:val="22"/>
              </w:rPr>
              <w:t>fixed</w:t>
            </w:r>
            <w:r>
              <w:rPr>
                <w:spacing w:val="-2"/>
                <w:sz w:val="22"/>
              </w:rPr>
              <w:t> </w:t>
            </w:r>
            <w:r>
              <w:rPr>
                <w:sz w:val="22"/>
              </w:rPr>
              <w:t>ex</w:t>
            </w:r>
            <w:r>
              <w:rPr>
                <w:spacing w:val="-2"/>
                <w:sz w:val="22"/>
              </w:rPr>
              <w:t> </w:t>
            </w:r>
            <w:r>
              <w:rPr>
                <w:sz w:val="22"/>
              </w:rPr>
              <w:t>ante,</w:t>
            </w:r>
          </w:p>
          <w:p>
            <w:pPr>
              <w:pStyle w:val="TableParagraph"/>
              <w:spacing w:line="250" w:lineRule="exact"/>
              <w:rPr>
                <w:sz w:val="22"/>
              </w:rPr>
            </w:pPr>
            <w:r>
              <w:rPr>
                <w:sz w:val="22"/>
              </w:rPr>
              <w:t>not</w:t>
            </w:r>
            <w:r>
              <w:rPr>
                <w:spacing w:val="-2"/>
                <w:sz w:val="22"/>
              </w:rPr>
              <w:t> </w:t>
            </w:r>
            <w:r>
              <w:rPr>
                <w:sz w:val="22"/>
              </w:rPr>
              <w:t>chosen</w:t>
            </w:r>
            <w:r>
              <w:rPr>
                <w:spacing w:val="-2"/>
                <w:sz w:val="22"/>
              </w:rPr>
              <w:t> </w:t>
            </w:r>
            <w:r>
              <w:rPr>
                <w:sz w:val="22"/>
              </w:rPr>
              <w:t>for</w:t>
            </w:r>
            <w:r>
              <w:rPr>
                <w:spacing w:val="-4"/>
                <w:sz w:val="22"/>
              </w:rPr>
              <w:t> </w:t>
            </w:r>
            <w:r>
              <w:rPr>
                <w:spacing w:val="-5"/>
                <w:sz w:val="22"/>
              </w:rPr>
              <w:t>fit</w:t>
            </w:r>
          </w:p>
        </w:tc>
        <w:tc>
          <w:tcPr>
            <w:tcW w:w="2480" w:type="dxa"/>
          </w:tcPr>
          <w:p>
            <w:pPr>
              <w:pStyle w:val="TableParagraph"/>
              <w:spacing w:before="32"/>
              <w:ind w:left="0"/>
              <w:rPr>
                <w:b/>
                <w:sz w:val="22"/>
              </w:rPr>
            </w:pPr>
          </w:p>
          <w:p>
            <w:pPr>
              <w:pStyle w:val="TableParagraph"/>
              <w:spacing w:line="276" w:lineRule="auto" w:before="1"/>
              <w:ind w:right="104"/>
              <w:rPr>
                <w:sz w:val="22"/>
              </w:rPr>
            </w:pPr>
            <w:r>
              <w:rPr>
                <w:sz w:val="22"/>
              </w:rPr>
              <w:t>Standard</w:t>
            </w:r>
            <w:r>
              <w:rPr>
                <w:spacing w:val="-14"/>
                <w:sz w:val="22"/>
              </w:rPr>
              <w:t> </w:t>
            </w:r>
            <w:r>
              <w:rPr>
                <w:sz w:val="22"/>
              </w:rPr>
              <w:t>interaction</w:t>
            </w:r>
            <w:r>
              <w:rPr>
                <w:spacing w:val="-14"/>
                <w:sz w:val="22"/>
              </w:rPr>
              <w:t> </w:t>
            </w:r>
            <w:r>
              <w:rPr>
                <w:sz w:val="22"/>
              </w:rPr>
              <w:t>test with the shock main effect included</w:t>
            </w:r>
          </w:p>
        </w:tc>
      </w:tr>
      <w:tr>
        <w:trPr>
          <w:trHeight w:val="1152" w:hRule="atLeast"/>
        </w:trPr>
        <w:tc>
          <w:tcPr>
            <w:tcW w:w="2404" w:type="dxa"/>
          </w:tcPr>
          <w:p>
            <w:pPr>
              <w:pStyle w:val="TableParagraph"/>
              <w:spacing w:before="32"/>
              <w:ind w:left="0"/>
              <w:rPr>
                <w:b/>
                <w:sz w:val="22"/>
              </w:rPr>
            </w:pPr>
          </w:p>
          <w:p>
            <w:pPr>
              <w:pStyle w:val="TableParagraph"/>
              <w:spacing w:before="1"/>
              <w:rPr>
                <w:sz w:val="22"/>
              </w:rPr>
            </w:pPr>
            <w:r>
              <w:rPr>
                <w:sz w:val="22"/>
              </w:rPr>
              <w:t>I, extended</w:t>
            </w:r>
            <w:r>
              <w:rPr>
                <w:spacing w:val="52"/>
                <w:sz w:val="22"/>
              </w:rPr>
              <w:t> </w:t>
            </w:r>
            <w:r>
              <w:rPr>
                <w:sz w:val="22"/>
              </w:rPr>
              <w:t>—</w:t>
            </w:r>
            <w:r>
              <w:rPr>
                <w:spacing w:val="49"/>
                <w:sz w:val="22"/>
              </w:rPr>
              <w:t> </w:t>
            </w:r>
            <w:r>
              <w:rPr>
                <w:sz w:val="22"/>
              </w:rPr>
              <w:t>adds</w:t>
            </w:r>
            <w:r>
              <w:rPr>
                <w:spacing w:val="-3"/>
                <w:sz w:val="22"/>
              </w:rPr>
              <w:t> </w:t>
            </w:r>
            <w:r>
              <w:rPr>
                <w:spacing w:val="-10"/>
                <w:sz w:val="22"/>
              </w:rPr>
              <w:t>θ</w:t>
            </w:r>
          </w:p>
          <w:p>
            <w:pPr>
              <w:pStyle w:val="TableParagraph"/>
              <w:spacing w:before="37"/>
              <w:rPr>
                <w:sz w:val="22"/>
              </w:rPr>
            </w:pPr>
            <w:r>
              <w:rPr>
                <w:sz w:val="22"/>
              </w:rPr>
              <w:t>₃·D</w:t>
            </w:r>
            <w:r>
              <w:rPr>
                <w:spacing w:val="-4"/>
                <w:sz w:val="22"/>
              </w:rPr>
              <w:t> </w:t>
            </w:r>
            <w:r>
              <w:rPr>
                <w:sz w:val="22"/>
              </w:rPr>
              <w:t>(Table</w:t>
            </w:r>
            <w:r>
              <w:rPr>
                <w:spacing w:val="-3"/>
                <w:sz w:val="22"/>
              </w:rPr>
              <w:t> </w:t>
            </w:r>
            <w:r>
              <w:rPr>
                <w:spacing w:val="-5"/>
                <w:sz w:val="22"/>
              </w:rPr>
              <w:t>2b)</w:t>
            </w:r>
          </w:p>
        </w:tc>
        <w:tc>
          <w:tcPr>
            <w:tcW w:w="1269" w:type="dxa"/>
          </w:tcPr>
          <w:p>
            <w:pPr>
              <w:pStyle w:val="TableParagraph"/>
              <w:spacing w:before="32"/>
              <w:ind w:left="0"/>
              <w:rPr>
                <w:b/>
                <w:sz w:val="22"/>
              </w:rPr>
            </w:pPr>
          </w:p>
          <w:p>
            <w:pPr>
              <w:pStyle w:val="TableParagraph"/>
              <w:spacing w:line="276" w:lineRule="auto" w:before="1"/>
              <w:ind w:right="117"/>
              <w:rPr>
                <w:sz w:val="22"/>
              </w:rPr>
            </w:pPr>
            <w:r>
              <w:rPr>
                <w:spacing w:val="-2"/>
                <w:sz w:val="22"/>
              </w:rPr>
              <w:t>0.209 (p=0.0031)</w:t>
            </w:r>
          </w:p>
        </w:tc>
        <w:tc>
          <w:tcPr>
            <w:tcW w:w="2142" w:type="dxa"/>
          </w:tcPr>
          <w:p>
            <w:pPr>
              <w:pStyle w:val="TableParagraph"/>
              <w:spacing w:line="276" w:lineRule="auto" w:before="139"/>
              <w:ind w:right="278"/>
              <w:rPr>
                <w:sz w:val="22"/>
              </w:rPr>
            </w:pPr>
            <w:r>
              <w:rPr>
                <w:sz w:val="22"/>
              </w:rPr>
              <w:t>Robustness to a correlated</w:t>
            </w:r>
            <w:r>
              <w:rPr>
                <w:spacing w:val="-14"/>
                <w:sz w:val="22"/>
              </w:rPr>
              <w:t> </w:t>
            </w:r>
            <w:r>
              <w:rPr>
                <w:sz w:val="22"/>
              </w:rPr>
              <w:t>covariate </w:t>
            </w:r>
            <w:r>
              <w:rPr>
                <w:spacing w:val="-4"/>
                <w:sz w:val="22"/>
              </w:rPr>
              <w:t>(D)</w:t>
            </w:r>
          </w:p>
        </w:tc>
        <w:tc>
          <w:tcPr>
            <w:tcW w:w="2480" w:type="dxa"/>
          </w:tcPr>
          <w:p>
            <w:pPr>
              <w:pStyle w:val="TableParagraph"/>
              <w:spacing w:line="276" w:lineRule="auto"/>
              <w:ind w:right="104"/>
              <w:rPr>
                <w:sz w:val="22"/>
              </w:rPr>
            </w:pPr>
            <w:r>
              <w:rPr>
                <w:sz w:val="22"/>
              </w:rPr>
              <w:t>D (r=0.49 with C×S) absorbs</w:t>
            </w:r>
            <w:r>
              <w:rPr>
                <w:spacing w:val="-14"/>
                <w:sz w:val="22"/>
              </w:rPr>
              <w:t> </w:t>
            </w:r>
            <w:r>
              <w:rPr>
                <w:sz w:val="22"/>
              </w:rPr>
              <w:t>shared</w:t>
            </w:r>
            <w:r>
              <w:rPr>
                <w:spacing w:val="-14"/>
                <w:sz w:val="22"/>
              </w:rPr>
              <w:t> </w:t>
            </w:r>
            <w:r>
              <w:rPr>
                <w:sz w:val="22"/>
              </w:rPr>
              <w:t>variance; θ₂</w:t>
            </w:r>
            <w:r>
              <w:rPr>
                <w:spacing w:val="40"/>
                <w:sz w:val="22"/>
              </w:rPr>
              <w:t> </w:t>
            </w:r>
            <w:r>
              <w:rPr>
                <w:sz w:val="22"/>
              </w:rPr>
              <w:t>keeps sign and</w:t>
            </w:r>
          </w:p>
          <w:p>
            <w:pPr>
              <w:pStyle w:val="TableParagraph"/>
              <w:spacing w:line="250" w:lineRule="exact"/>
              <w:rPr>
                <w:sz w:val="22"/>
              </w:rPr>
            </w:pPr>
            <w:r>
              <w:rPr>
                <w:spacing w:val="-2"/>
                <w:sz w:val="22"/>
              </w:rPr>
              <w:t>significance</w:t>
            </w:r>
          </w:p>
        </w:tc>
      </w:tr>
      <w:tr>
        <w:trPr>
          <w:trHeight w:val="1150" w:hRule="atLeast"/>
        </w:trPr>
        <w:tc>
          <w:tcPr>
            <w:tcW w:w="2404" w:type="dxa"/>
          </w:tcPr>
          <w:p>
            <w:pPr>
              <w:pStyle w:val="TableParagraph"/>
              <w:spacing w:line="276" w:lineRule="auto" w:before="139"/>
              <w:rPr>
                <w:sz w:val="22"/>
              </w:rPr>
            </w:pPr>
            <w:r>
              <w:rPr>
                <w:sz w:val="22"/>
              </w:rPr>
              <w:t>II</w:t>
            </w:r>
            <w:r>
              <w:rPr>
                <w:spacing w:val="40"/>
                <w:sz w:val="22"/>
              </w:rPr>
              <w:t> </w:t>
            </w:r>
            <w:r>
              <w:rPr>
                <w:sz w:val="22"/>
              </w:rPr>
              <w:t>—</w:t>
            </w:r>
            <w:r>
              <w:rPr>
                <w:spacing w:val="40"/>
                <w:sz w:val="22"/>
              </w:rPr>
              <w:t> </w:t>
            </w:r>
            <w:r>
              <w:rPr>
                <w:sz w:val="22"/>
              </w:rPr>
              <w:t>concentration-direct:</w:t>
            </w:r>
            <w:r>
              <w:rPr>
                <w:spacing w:val="-7"/>
                <w:sz w:val="22"/>
              </w:rPr>
              <w:t> </w:t>
            </w:r>
            <w:r>
              <w:rPr>
                <w:sz w:val="22"/>
              </w:rPr>
              <w:t>κ</w:t>
            </w:r>
            <w:r>
              <w:rPr>
                <w:spacing w:val="-9"/>
                <w:sz w:val="22"/>
              </w:rPr>
              <w:t> </w:t>
            </w:r>
            <w:r>
              <w:rPr>
                <w:sz w:val="22"/>
              </w:rPr>
              <w:t>+</w:t>
            </w:r>
            <w:r>
              <w:rPr>
                <w:spacing w:val="-8"/>
                <w:sz w:val="22"/>
              </w:rPr>
              <w:t> </w:t>
            </w:r>
            <w:r>
              <w:rPr>
                <w:sz w:val="22"/>
              </w:rPr>
              <w:t>C</w:t>
            </w:r>
            <w:r>
              <w:rPr>
                <w:spacing w:val="-9"/>
                <w:sz w:val="22"/>
              </w:rPr>
              <w:t> </w:t>
            </w:r>
            <w:r>
              <w:rPr>
                <w:sz w:val="22"/>
              </w:rPr>
              <w:t>+</w:t>
            </w:r>
            <w:r>
              <w:rPr>
                <w:spacing w:val="-8"/>
                <w:sz w:val="22"/>
              </w:rPr>
              <w:t> </w:t>
            </w:r>
            <w:r>
              <w:rPr>
                <w:sz w:val="22"/>
              </w:rPr>
              <w:t>θ₂·(C×S) (Appendix F)</w:t>
            </w:r>
          </w:p>
        </w:tc>
        <w:tc>
          <w:tcPr>
            <w:tcW w:w="1269" w:type="dxa"/>
          </w:tcPr>
          <w:p>
            <w:pPr>
              <w:pStyle w:val="TableParagraph"/>
              <w:spacing w:before="30"/>
              <w:ind w:left="0"/>
              <w:rPr>
                <w:b/>
                <w:sz w:val="22"/>
              </w:rPr>
            </w:pPr>
          </w:p>
          <w:p>
            <w:pPr>
              <w:pStyle w:val="TableParagraph"/>
              <w:spacing w:line="278" w:lineRule="auto"/>
              <w:ind w:right="117"/>
              <w:rPr>
                <w:sz w:val="22"/>
              </w:rPr>
            </w:pPr>
            <w:r>
              <w:rPr>
                <w:spacing w:val="-2"/>
                <w:sz w:val="22"/>
              </w:rPr>
              <w:t>0.3827 </w:t>
            </w:r>
            <w:r>
              <w:rPr>
                <w:sz w:val="22"/>
              </w:rPr>
              <w:t>(p&lt;0.001)</w:t>
            </w:r>
            <w:r>
              <w:rPr>
                <w:spacing w:val="-14"/>
                <w:sz w:val="22"/>
              </w:rPr>
              <w:t> </w:t>
            </w:r>
            <w:r>
              <w:rPr>
                <w:sz w:val="22"/>
              </w:rPr>
              <w:t>a</w:t>
            </w:r>
          </w:p>
        </w:tc>
        <w:tc>
          <w:tcPr>
            <w:tcW w:w="2142" w:type="dxa"/>
          </w:tcPr>
          <w:p>
            <w:pPr>
              <w:pStyle w:val="TableParagraph"/>
              <w:spacing w:line="276" w:lineRule="auto"/>
              <w:ind w:right="101"/>
              <w:rPr>
                <w:sz w:val="22"/>
              </w:rPr>
            </w:pPr>
            <w:r>
              <w:rPr>
                <w:spacing w:val="-2"/>
                <w:sz w:val="22"/>
              </w:rPr>
              <w:t>Provenance/weightin </w:t>
            </w:r>
            <w:r>
              <w:rPr>
                <w:sz w:val="22"/>
              </w:rPr>
              <w:t>g</w:t>
            </w:r>
            <w:r>
              <w:rPr>
                <w:spacing w:val="-12"/>
                <w:sz w:val="22"/>
              </w:rPr>
              <w:t> </w:t>
            </w:r>
            <w:r>
              <w:rPr>
                <w:sz w:val="22"/>
              </w:rPr>
              <w:t>robustness,</w:t>
            </w:r>
            <w:r>
              <w:rPr>
                <w:spacing w:val="-12"/>
                <w:sz w:val="22"/>
              </w:rPr>
              <w:t> </w:t>
            </w:r>
            <w:r>
              <w:rPr>
                <w:sz w:val="22"/>
              </w:rPr>
              <w:t>fixed</w:t>
            </w:r>
            <w:r>
              <w:rPr>
                <w:spacing w:val="-12"/>
                <w:sz w:val="22"/>
              </w:rPr>
              <w:t> </w:t>
            </w:r>
            <w:r>
              <w:rPr>
                <w:sz w:val="22"/>
              </w:rPr>
              <w:t>ex nte as an alternative</w:t>
            </w:r>
          </w:p>
          <w:p>
            <w:pPr>
              <w:pStyle w:val="TableParagraph"/>
              <w:rPr>
                <w:sz w:val="22"/>
              </w:rPr>
            </w:pPr>
            <w:r>
              <w:rPr>
                <w:sz w:val="22"/>
              </w:rPr>
              <w:t>regressor</w:t>
            </w:r>
            <w:r>
              <w:rPr>
                <w:spacing w:val="-7"/>
                <w:sz w:val="22"/>
              </w:rPr>
              <w:t> </w:t>
            </w:r>
            <w:r>
              <w:rPr>
                <w:spacing w:val="-2"/>
                <w:sz w:val="22"/>
              </w:rPr>
              <w:t>choice</w:t>
            </w:r>
          </w:p>
        </w:tc>
        <w:tc>
          <w:tcPr>
            <w:tcW w:w="2480" w:type="dxa"/>
          </w:tcPr>
          <w:p>
            <w:pPr>
              <w:pStyle w:val="TableParagraph"/>
              <w:spacing w:line="276" w:lineRule="auto"/>
              <w:ind w:right="104"/>
              <w:rPr>
                <w:sz w:val="22"/>
              </w:rPr>
            </w:pPr>
            <w:r>
              <w:rPr>
                <w:sz w:val="22"/>
              </w:rPr>
              <w:t>Concentration enters additively instead of the shock</w:t>
            </w:r>
            <w:r>
              <w:rPr>
                <w:spacing w:val="-14"/>
                <w:sz w:val="22"/>
              </w:rPr>
              <w:t> </w:t>
            </w:r>
            <w:r>
              <w:rPr>
                <w:sz w:val="22"/>
              </w:rPr>
              <w:t>term,</w:t>
            </w:r>
            <w:r>
              <w:rPr>
                <w:spacing w:val="-14"/>
                <w:sz w:val="22"/>
              </w:rPr>
              <w:t> </w:t>
            </w:r>
            <w:r>
              <w:rPr>
                <w:sz w:val="22"/>
              </w:rPr>
              <w:t>re-allocating</w:t>
            </w:r>
          </w:p>
          <w:p>
            <w:pPr>
              <w:pStyle w:val="TableParagraph"/>
              <w:rPr>
                <w:sz w:val="22"/>
              </w:rPr>
            </w:pPr>
            <w:r>
              <w:rPr>
                <w:sz w:val="22"/>
              </w:rPr>
              <w:t>the</w:t>
            </w:r>
            <w:r>
              <w:rPr>
                <w:spacing w:val="-8"/>
                <w:sz w:val="22"/>
              </w:rPr>
              <w:t> </w:t>
            </w:r>
            <w:r>
              <w:rPr>
                <w:sz w:val="22"/>
              </w:rPr>
              <w:t>coefficient</w:t>
            </w:r>
            <w:r>
              <w:rPr>
                <w:spacing w:val="-4"/>
                <w:sz w:val="22"/>
              </w:rPr>
              <w:t> </w:t>
            </w:r>
            <w:r>
              <w:rPr>
                <w:spacing w:val="-2"/>
                <w:sz w:val="22"/>
              </w:rPr>
              <w:t>upward</w:t>
            </w:r>
          </w:p>
        </w:tc>
      </w:tr>
    </w:tbl>
    <w:p>
      <w:pPr>
        <w:pStyle w:val="BodyText"/>
        <w:spacing w:before="273"/>
        <w:ind w:left="0"/>
        <w:rPr>
          <w:b/>
        </w:rPr>
      </w:pPr>
    </w:p>
    <w:p>
      <w:pPr>
        <w:spacing w:line="480" w:lineRule="auto" w:before="0"/>
        <w:ind w:left="99" w:right="243" w:firstLine="0"/>
        <w:jc w:val="left"/>
        <w:rPr>
          <w:i/>
          <w:sz w:val="24"/>
        </w:rPr>
      </w:pPr>
      <w:r>
        <w:rPr>
          <w:i/>
          <w:sz w:val="24"/>
        </w:rPr>
        <w:t>These</w:t>
      </w:r>
      <w:r>
        <w:rPr>
          <w:i/>
          <w:spacing w:val="40"/>
          <w:sz w:val="24"/>
        </w:rPr>
        <w:t> </w:t>
      </w:r>
      <w:r>
        <w:rPr>
          <w:i/>
          <w:sz w:val="24"/>
        </w:rPr>
        <w:t>are</w:t>
      </w:r>
      <w:r>
        <w:rPr>
          <w:i/>
          <w:spacing w:val="40"/>
          <w:sz w:val="24"/>
        </w:rPr>
        <w:t> </w:t>
      </w:r>
      <w:r>
        <w:rPr>
          <w:i/>
          <w:sz w:val="24"/>
        </w:rPr>
        <w:t>not</w:t>
      </w:r>
      <w:r>
        <w:rPr>
          <w:i/>
          <w:spacing w:val="40"/>
          <w:sz w:val="24"/>
        </w:rPr>
        <w:t> </w:t>
      </w:r>
      <w:r>
        <w:rPr>
          <w:i/>
          <w:sz w:val="24"/>
        </w:rPr>
        <w:t>competing</w:t>
      </w:r>
      <w:r>
        <w:rPr>
          <w:i/>
          <w:spacing w:val="40"/>
          <w:sz w:val="24"/>
        </w:rPr>
        <w:t> </w:t>
      </w:r>
      <w:r>
        <w:rPr>
          <w:i/>
          <w:sz w:val="24"/>
        </w:rPr>
        <w:t>point</w:t>
      </w:r>
      <w:r>
        <w:rPr>
          <w:i/>
          <w:spacing w:val="40"/>
          <w:sz w:val="24"/>
        </w:rPr>
        <w:t> </w:t>
      </w:r>
      <w:r>
        <w:rPr>
          <w:i/>
          <w:sz w:val="24"/>
        </w:rPr>
        <w:t>estimates</w:t>
      </w:r>
      <w:r>
        <w:rPr>
          <w:i/>
          <w:spacing w:val="40"/>
          <w:sz w:val="24"/>
        </w:rPr>
        <w:t> </w:t>
      </w:r>
      <w:r>
        <w:rPr>
          <w:i/>
          <w:sz w:val="24"/>
        </w:rPr>
        <w:t>of</w:t>
      </w:r>
      <w:r>
        <w:rPr>
          <w:i/>
          <w:spacing w:val="40"/>
          <w:sz w:val="24"/>
        </w:rPr>
        <w:t> </w:t>
      </w:r>
      <w:r>
        <w:rPr>
          <w:i/>
          <w:sz w:val="24"/>
        </w:rPr>
        <w:t>one</w:t>
      </w:r>
      <w:r>
        <w:rPr>
          <w:i/>
          <w:spacing w:val="40"/>
          <w:sz w:val="24"/>
        </w:rPr>
        <w:t> </w:t>
      </w:r>
      <w:r>
        <w:rPr>
          <w:i/>
          <w:sz w:val="24"/>
        </w:rPr>
        <w:t>quantity</w:t>
      </w:r>
      <w:r>
        <w:rPr>
          <w:i/>
          <w:spacing w:val="40"/>
          <w:sz w:val="24"/>
        </w:rPr>
        <w:t> </w:t>
      </w:r>
      <w:r>
        <w:rPr>
          <w:i/>
          <w:sz w:val="24"/>
        </w:rPr>
        <w:t>but</w:t>
      </w:r>
      <w:r>
        <w:rPr>
          <w:i/>
          <w:spacing w:val="40"/>
          <w:sz w:val="24"/>
        </w:rPr>
        <w:t> </w:t>
      </w:r>
      <w:r>
        <w:rPr>
          <w:i/>
          <w:sz w:val="24"/>
        </w:rPr>
        <w:t>the</w:t>
      </w:r>
      <w:r>
        <w:rPr>
          <w:i/>
          <w:spacing w:val="40"/>
          <w:sz w:val="24"/>
        </w:rPr>
        <w:t> </w:t>
      </w:r>
      <w:r>
        <w:rPr>
          <w:i/>
          <w:sz w:val="24"/>
        </w:rPr>
        <w:t>same</w:t>
      </w:r>
      <w:r>
        <w:rPr>
          <w:i/>
          <w:spacing w:val="40"/>
          <w:sz w:val="24"/>
        </w:rPr>
        <w:t> </w:t>
      </w:r>
      <w:r>
        <w:rPr>
          <w:i/>
          <w:sz w:val="24"/>
        </w:rPr>
        <w:t>interaction</w:t>
      </w:r>
      <w:r>
        <w:rPr>
          <w:i/>
          <w:sz w:val="24"/>
        </w:rPr>
        <w:t> coefficient</w:t>
      </w:r>
      <w:r>
        <w:rPr>
          <w:i/>
          <w:spacing w:val="40"/>
          <w:sz w:val="24"/>
        </w:rPr>
        <w:t> </w:t>
      </w:r>
      <w:r>
        <w:rPr>
          <w:i/>
          <w:sz w:val="24"/>
        </w:rPr>
        <w:t>under</w:t>
      </w:r>
      <w:r>
        <w:rPr>
          <w:i/>
          <w:spacing w:val="40"/>
          <w:sz w:val="24"/>
        </w:rPr>
        <w:t> </w:t>
      </w:r>
      <w:r>
        <w:rPr>
          <w:i/>
          <w:sz w:val="24"/>
        </w:rPr>
        <w:t>deliberately</w:t>
      </w:r>
      <w:r>
        <w:rPr>
          <w:i/>
          <w:spacing w:val="40"/>
          <w:sz w:val="24"/>
        </w:rPr>
        <w:t> </w:t>
      </w:r>
      <w:r>
        <w:rPr>
          <w:i/>
          <w:sz w:val="24"/>
        </w:rPr>
        <w:t>different,</w:t>
      </w:r>
      <w:r>
        <w:rPr>
          <w:i/>
          <w:spacing w:val="40"/>
          <w:sz w:val="24"/>
        </w:rPr>
        <w:t> </w:t>
      </w:r>
      <w:r>
        <w:rPr>
          <w:i/>
          <w:sz w:val="24"/>
        </w:rPr>
        <w:t>ex-ante-fixed</w:t>
      </w:r>
      <w:r>
        <w:rPr>
          <w:i/>
          <w:spacing w:val="40"/>
          <w:sz w:val="24"/>
        </w:rPr>
        <w:t> </w:t>
      </w:r>
      <w:r>
        <w:rPr>
          <w:i/>
          <w:sz w:val="24"/>
        </w:rPr>
        <w:t>regressor</w:t>
      </w:r>
      <w:r>
        <w:rPr>
          <w:i/>
          <w:spacing w:val="40"/>
          <w:sz w:val="24"/>
        </w:rPr>
        <w:t> </w:t>
      </w:r>
      <w:r>
        <w:rPr>
          <w:i/>
          <w:sz w:val="24"/>
        </w:rPr>
        <w:t>sets,</w:t>
      </w:r>
      <w:r>
        <w:rPr>
          <w:i/>
          <w:spacing w:val="40"/>
          <w:sz w:val="24"/>
        </w:rPr>
        <w:t> </w:t>
      </w:r>
      <w:r>
        <w:rPr>
          <w:i/>
          <w:sz w:val="24"/>
        </w:rPr>
        <w:t>both</w:t>
      </w:r>
      <w:r>
        <w:rPr>
          <w:i/>
          <w:spacing w:val="40"/>
          <w:sz w:val="24"/>
        </w:rPr>
        <w:t> </w:t>
      </w:r>
      <w:r>
        <w:rPr>
          <w:i/>
          <w:sz w:val="24"/>
        </w:rPr>
        <w:t>standard choices in the interaction-testing literature. All three rows share the same sign and</w:t>
      </w:r>
      <w:r>
        <w:rPr>
          <w:i/>
          <w:spacing w:val="80"/>
          <w:sz w:val="24"/>
        </w:rPr>
        <w:t> </w:t>
      </w:r>
      <w:r>
        <w:rPr>
          <w:i/>
          <w:sz w:val="24"/>
        </w:rPr>
        <w:t>remain</w:t>
      </w:r>
      <w:r>
        <w:rPr>
          <w:i/>
          <w:spacing w:val="28"/>
          <w:sz w:val="24"/>
        </w:rPr>
        <w:t> </w:t>
      </w:r>
      <w:r>
        <w:rPr>
          <w:i/>
          <w:sz w:val="24"/>
        </w:rPr>
        <w:t>statistically significant on the full panel (the</w:t>
      </w:r>
      <w:r>
        <w:rPr>
          <w:i/>
          <w:spacing w:val="30"/>
          <w:sz w:val="24"/>
        </w:rPr>
        <w:t> </w:t>
      </w:r>
      <w:r>
        <w:rPr>
          <w:i/>
          <w:sz w:val="24"/>
        </w:rPr>
        <w:t>verified-only</w:t>
      </w:r>
      <w:r>
        <w:rPr>
          <w:i/>
          <w:spacing w:val="28"/>
          <w:sz w:val="24"/>
        </w:rPr>
        <w:t> </w:t>
      </w:r>
      <w:r>
        <w:rPr>
          <w:i/>
          <w:sz w:val="24"/>
        </w:rPr>
        <w:t>sub-sample aside), so</w:t>
      </w:r>
      <w:r>
        <w:rPr>
          <w:i/>
          <w:spacing w:val="40"/>
          <w:sz w:val="24"/>
        </w:rPr>
        <w:t> </w:t>
      </w:r>
      <w:r>
        <w:rPr>
          <w:i/>
          <w:sz w:val="24"/>
        </w:rPr>
        <w:t>the</w:t>
      </w:r>
      <w:r>
        <w:rPr>
          <w:i/>
          <w:spacing w:val="40"/>
          <w:sz w:val="24"/>
        </w:rPr>
        <w:t> </w:t>
      </w:r>
      <w:r>
        <w:rPr>
          <w:i/>
          <w:sz w:val="24"/>
        </w:rPr>
        <w:t>qualitative</w:t>
      </w:r>
      <w:r>
        <w:rPr>
          <w:i/>
          <w:spacing w:val="40"/>
          <w:sz w:val="24"/>
        </w:rPr>
        <w:t> </w:t>
      </w:r>
      <w:r>
        <w:rPr>
          <w:i/>
          <w:sz w:val="24"/>
        </w:rPr>
        <w:t>conclusion,</w:t>
      </w:r>
      <w:r>
        <w:rPr>
          <w:i/>
          <w:spacing w:val="40"/>
          <w:sz w:val="24"/>
        </w:rPr>
        <w:t> </w:t>
      </w:r>
      <w:r>
        <w:rPr>
          <w:i/>
          <w:sz w:val="24"/>
        </w:rPr>
        <w:t>a</w:t>
      </w:r>
      <w:r>
        <w:rPr>
          <w:i/>
          <w:spacing w:val="40"/>
          <w:sz w:val="24"/>
        </w:rPr>
        <w:t> </w:t>
      </w:r>
      <w:r>
        <w:rPr>
          <w:i/>
          <w:sz w:val="24"/>
        </w:rPr>
        <w:t>positive</w:t>
      </w:r>
      <w:r>
        <w:rPr>
          <w:i/>
          <w:spacing w:val="40"/>
          <w:sz w:val="24"/>
        </w:rPr>
        <w:t> </w:t>
      </w:r>
      <w:r>
        <w:rPr>
          <w:i/>
          <w:sz w:val="24"/>
        </w:rPr>
        <w:t>concentration×shock</w:t>
      </w:r>
      <w:r>
        <w:rPr>
          <w:i/>
          <w:spacing w:val="40"/>
          <w:sz w:val="24"/>
        </w:rPr>
        <w:t> </w:t>
      </w:r>
      <w:r>
        <w:rPr>
          <w:i/>
          <w:sz w:val="24"/>
        </w:rPr>
        <w:t>outflow</w:t>
      </w:r>
      <w:r>
        <w:rPr>
          <w:i/>
          <w:spacing w:val="40"/>
          <w:sz w:val="24"/>
        </w:rPr>
        <w:t> </w:t>
      </w:r>
      <w:r>
        <w:rPr>
          <w:i/>
          <w:sz w:val="24"/>
        </w:rPr>
        <w:t>channel,</w:t>
      </w:r>
      <w:r>
        <w:rPr>
          <w:i/>
          <w:spacing w:val="40"/>
          <w:sz w:val="24"/>
        </w:rPr>
        <w:t> </w:t>
      </w:r>
      <w:r>
        <w:rPr>
          <w:i/>
          <w:sz w:val="24"/>
        </w:rPr>
        <w:t>is common to all. Specification I’s headline value (0.2466) is carried into the simulation calibration</w:t>
      </w:r>
      <w:r>
        <w:rPr>
          <w:i/>
          <w:spacing w:val="40"/>
          <w:sz w:val="24"/>
        </w:rPr>
        <w:t> </w:t>
      </w:r>
      <w:r>
        <w:rPr>
          <w:i/>
          <w:sz w:val="24"/>
        </w:rPr>
        <w:t>because</w:t>
      </w:r>
      <w:r>
        <w:rPr>
          <w:i/>
          <w:spacing w:val="40"/>
          <w:sz w:val="24"/>
        </w:rPr>
        <w:t> </w:t>
      </w:r>
      <w:r>
        <w:rPr>
          <w:i/>
          <w:sz w:val="24"/>
        </w:rPr>
        <w:t>it</w:t>
      </w:r>
      <w:r>
        <w:rPr>
          <w:i/>
          <w:spacing w:val="40"/>
          <w:sz w:val="24"/>
        </w:rPr>
        <w:t> </w:t>
      </w:r>
      <w:r>
        <w:rPr>
          <w:i/>
          <w:sz w:val="24"/>
        </w:rPr>
        <w:t>is</w:t>
      </w:r>
      <w:r>
        <w:rPr>
          <w:i/>
          <w:spacing w:val="40"/>
          <w:sz w:val="24"/>
        </w:rPr>
        <w:t> </w:t>
      </w:r>
      <w:r>
        <w:rPr>
          <w:i/>
          <w:sz w:val="24"/>
        </w:rPr>
        <w:t>the</w:t>
      </w:r>
      <w:r>
        <w:rPr>
          <w:i/>
          <w:spacing w:val="40"/>
          <w:sz w:val="24"/>
        </w:rPr>
        <w:t> </w:t>
      </w:r>
      <w:r>
        <w:rPr>
          <w:i/>
          <w:sz w:val="24"/>
        </w:rPr>
        <w:t>more</w:t>
      </w:r>
      <w:r>
        <w:rPr>
          <w:i/>
          <w:spacing w:val="40"/>
          <w:sz w:val="24"/>
        </w:rPr>
        <w:t> </w:t>
      </w:r>
      <w:r>
        <w:rPr>
          <w:i/>
          <w:sz w:val="24"/>
        </w:rPr>
        <w:t>conservative</w:t>
      </w:r>
      <w:r>
        <w:rPr>
          <w:i/>
          <w:spacing w:val="40"/>
          <w:sz w:val="24"/>
        </w:rPr>
        <w:t> </w:t>
      </w:r>
      <w:r>
        <w:rPr>
          <w:i/>
          <w:sz w:val="24"/>
        </w:rPr>
        <w:t>of</w:t>
      </w:r>
      <w:r>
        <w:rPr>
          <w:i/>
          <w:spacing w:val="40"/>
          <w:sz w:val="24"/>
        </w:rPr>
        <w:t> </w:t>
      </w:r>
      <w:r>
        <w:rPr>
          <w:i/>
          <w:sz w:val="24"/>
        </w:rPr>
        <w:t>the</w:t>
      </w:r>
      <w:r>
        <w:rPr>
          <w:i/>
          <w:spacing w:val="40"/>
          <w:sz w:val="24"/>
        </w:rPr>
        <w:t> </w:t>
      </w:r>
      <w:r>
        <w:rPr>
          <w:i/>
          <w:sz w:val="24"/>
        </w:rPr>
        <w:t>two</w:t>
      </w:r>
      <w:r>
        <w:rPr>
          <w:i/>
          <w:spacing w:val="40"/>
          <w:sz w:val="24"/>
        </w:rPr>
        <w:t> </w:t>
      </w:r>
      <w:r>
        <w:rPr>
          <w:i/>
          <w:sz w:val="24"/>
        </w:rPr>
        <w:t>full-panel</w:t>
      </w:r>
      <w:r>
        <w:rPr>
          <w:i/>
          <w:spacing w:val="40"/>
          <w:sz w:val="24"/>
        </w:rPr>
        <w:t> </w:t>
      </w:r>
      <w:r>
        <w:rPr>
          <w:i/>
          <w:sz w:val="24"/>
        </w:rPr>
        <w:t>estimates,</w:t>
      </w:r>
      <w:r>
        <w:rPr>
          <w:i/>
          <w:spacing w:val="40"/>
          <w:sz w:val="24"/>
        </w:rPr>
        <w:t> </w:t>
      </w:r>
      <w:r>
        <w:rPr>
          <w:i/>
          <w:sz w:val="24"/>
        </w:rPr>
        <w:t>not because</w:t>
      </w:r>
      <w:r>
        <w:rPr>
          <w:i/>
          <w:spacing w:val="80"/>
          <w:w w:val="150"/>
          <w:sz w:val="24"/>
        </w:rPr>
        <w:t> </w:t>
      </w:r>
      <w:r>
        <w:rPr>
          <w:i/>
          <w:sz w:val="24"/>
        </w:rPr>
        <w:t>it</w:t>
      </w:r>
      <w:r>
        <w:rPr>
          <w:i/>
          <w:spacing w:val="80"/>
          <w:w w:val="150"/>
          <w:sz w:val="24"/>
        </w:rPr>
        <w:t> </w:t>
      </w:r>
      <w:r>
        <w:rPr>
          <w:i/>
          <w:sz w:val="24"/>
        </w:rPr>
        <w:t>was</w:t>
      </w:r>
      <w:r>
        <w:rPr>
          <w:i/>
          <w:spacing w:val="80"/>
          <w:w w:val="150"/>
          <w:sz w:val="24"/>
        </w:rPr>
        <w:t> </w:t>
      </w:r>
      <w:r>
        <w:rPr>
          <w:i/>
          <w:sz w:val="24"/>
        </w:rPr>
        <w:t>chosen</w:t>
      </w:r>
      <w:r>
        <w:rPr>
          <w:i/>
          <w:spacing w:val="80"/>
          <w:w w:val="150"/>
          <w:sz w:val="24"/>
        </w:rPr>
        <w:t> </w:t>
      </w:r>
      <w:r>
        <w:rPr>
          <w:i/>
          <w:sz w:val="24"/>
        </w:rPr>
        <w:t>after</w:t>
      </w:r>
      <w:r>
        <w:rPr>
          <w:i/>
          <w:spacing w:val="80"/>
          <w:w w:val="150"/>
          <w:sz w:val="24"/>
        </w:rPr>
        <w:t> </w:t>
      </w:r>
      <w:r>
        <w:rPr>
          <w:i/>
          <w:sz w:val="24"/>
        </w:rPr>
        <w:t>seeing</w:t>
      </w:r>
      <w:r>
        <w:rPr>
          <w:i/>
          <w:spacing w:val="80"/>
          <w:w w:val="150"/>
          <w:sz w:val="24"/>
        </w:rPr>
        <w:t> </w:t>
      </w:r>
      <w:r>
        <w:rPr>
          <w:i/>
          <w:sz w:val="24"/>
        </w:rPr>
        <w:t>which</w:t>
      </w:r>
      <w:r>
        <w:rPr>
          <w:i/>
          <w:spacing w:val="80"/>
          <w:w w:val="150"/>
          <w:sz w:val="24"/>
        </w:rPr>
        <w:t> </w:t>
      </w:r>
      <w:r>
        <w:rPr>
          <w:i/>
          <w:sz w:val="24"/>
        </w:rPr>
        <w:t>one</w:t>
      </w:r>
      <w:r>
        <w:rPr>
          <w:i/>
          <w:spacing w:val="80"/>
          <w:w w:val="150"/>
          <w:sz w:val="24"/>
        </w:rPr>
        <w:t> </w:t>
      </w:r>
      <w:r>
        <w:rPr>
          <w:i/>
          <w:sz w:val="24"/>
        </w:rPr>
        <w:t>reached</w:t>
      </w:r>
      <w:r>
        <w:rPr>
          <w:i/>
          <w:spacing w:val="80"/>
          <w:w w:val="150"/>
          <w:sz w:val="24"/>
        </w:rPr>
        <w:t> </w:t>
      </w:r>
      <w:r>
        <w:rPr>
          <w:i/>
          <w:sz w:val="24"/>
        </w:rPr>
        <w:t>significance</w:t>
      </w:r>
      <w:r>
        <w:rPr>
          <w:i/>
          <w:spacing w:val="80"/>
          <w:w w:val="150"/>
          <w:sz w:val="24"/>
        </w:rPr>
        <w:t> </w:t>
      </w:r>
      <w:r>
        <w:rPr>
          <w:i/>
          <w:sz w:val="24"/>
        </w:rPr>
        <w:t>on</w:t>
      </w:r>
      <w:r>
        <w:rPr>
          <w:i/>
          <w:spacing w:val="80"/>
          <w:w w:val="150"/>
          <w:sz w:val="24"/>
        </w:rPr>
        <w:t> </w:t>
      </w:r>
      <w:r>
        <w:rPr>
          <w:i/>
          <w:sz w:val="24"/>
        </w:rPr>
        <w:t>the verified-only subsample; Specification II (0.3827) is reported with equal prominence</w:t>
      </w:r>
      <w:r>
        <w:rPr>
          <w:i/>
          <w:spacing w:val="80"/>
          <w:sz w:val="24"/>
        </w:rPr>
        <w:t> </w:t>
      </w:r>
      <w:r>
        <w:rPr>
          <w:i/>
          <w:sz w:val="24"/>
        </w:rPr>
        <w:t>as a robustness check on that choice. An itemised record of every coefficient revision across</w:t>
      </w:r>
      <w:r>
        <w:rPr>
          <w:i/>
          <w:spacing w:val="80"/>
          <w:sz w:val="24"/>
        </w:rPr>
        <w:t> </w:t>
      </w:r>
      <w:r>
        <w:rPr>
          <w:i/>
          <w:sz w:val="24"/>
        </w:rPr>
        <w:t>manuscript</w:t>
      </w:r>
      <w:r>
        <w:rPr>
          <w:i/>
          <w:spacing w:val="40"/>
          <w:sz w:val="24"/>
        </w:rPr>
        <w:t> </w:t>
      </w:r>
      <w:r>
        <w:rPr>
          <w:i/>
          <w:sz w:val="24"/>
        </w:rPr>
        <w:t>drafts,</w:t>
      </w:r>
      <w:r>
        <w:rPr>
          <w:i/>
          <w:spacing w:val="40"/>
          <w:sz w:val="24"/>
        </w:rPr>
        <w:t> </w:t>
      </w:r>
      <w:r>
        <w:rPr>
          <w:i/>
          <w:sz w:val="24"/>
        </w:rPr>
        <w:t>including</w:t>
      </w:r>
      <w:r>
        <w:rPr>
          <w:i/>
          <w:spacing w:val="40"/>
          <w:sz w:val="24"/>
        </w:rPr>
        <w:t> </w:t>
      </w:r>
      <w:r>
        <w:rPr>
          <w:i/>
          <w:sz w:val="24"/>
        </w:rPr>
        <w:t>a</w:t>
      </w:r>
      <w:r>
        <w:rPr>
          <w:i/>
          <w:spacing w:val="40"/>
          <w:sz w:val="24"/>
        </w:rPr>
        <w:t> </w:t>
      </w:r>
      <w:r>
        <w:rPr>
          <w:i/>
          <w:sz w:val="24"/>
        </w:rPr>
        <w:t>since-corrected</w:t>
      </w:r>
      <w:r>
        <w:rPr>
          <w:i/>
          <w:spacing w:val="40"/>
          <w:sz w:val="24"/>
        </w:rPr>
        <w:t> </w:t>
      </w:r>
      <w:r>
        <w:rPr>
          <w:i/>
          <w:sz w:val="24"/>
        </w:rPr>
        <w:t>Specification</w:t>
      </w:r>
      <w:r>
        <w:rPr>
          <w:i/>
          <w:spacing w:val="40"/>
          <w:sz w:val="24"/>
        </w:rPr>
        <w:t> </w:t>
      </w:r>
      <w:r>
        <w:rPr>
          <w:i/>
          <w:sz w:val="24"/>
        </w:rPr>
        <w:t>II</w:t>
      </w:r>
      <w:r>
        <w:rPr>
          <w:i/>
          <w:spacing w:val="40"/>
          <w:sz w:val="24"/>
        </w:rPr>
        <w:t> </w:t>
      </w:r>
      <w:r>
        <w:rPr>
          <w:i/>
          <w:sz w:val="24"/>
        </w:rPr>
        <w:t>figure,</w:t>
      </w:r>
      <w:r>
        <w:rPr>
          <w:i/>
          <w:spacing w:val="40"/>
          <w:sz w:val="24"/>
        </w:rPr>
        <w:t> </w:t>
      </w:r>
      <w:r>
        <w:rPr>
          <w:i/>
          <w:sz w:val="24"/>
        </w:rPr>
        <w:t>is</w:t>
      </w:r>
      <w:r>
        <w:rPr>
          <w:i/>
          <w:spacing w:val="80"/>
          <w:sz w:val="24"/>
        </w:rPr>
        <w:t> </w:t>
      </w:r>
      <w:r>
        <w:rPr>
          <w:i/>
          <w:sz w:val="24"/>
        </w:rPr>
        <w:t>maintained in Online Supplementary Appendix G.2 and the editorial response letter rather than in the main text.</w:t>
      </w:r>
    </w:p>
    <w:p>
      <w:pPr>
        <w:spacing w:after="0" w:line="480" w:lineRule="auto"/>
        <w:jc w:val="left"/>
        <w:rPr>
          <w:i/>
          <w:sz w:val="24"/>
        </w:rPr>
        <w:sectPr>
          <w:pgSz w:w="11900" w:h="16820"/>
          <w:pgMar w:header="714" w:footer="0" w:top="1340" w:bottom="280" w:left="1700" w:right="1417"/>
        </w:sectPr>
      </w:pPr>
    </w:p>
    <w:p>
      <w:pPr>
        <w:pStyle w:val="BodyText"/>
        <w:ind w:left="0"/>
        <w:rPr>
          <w:i/>
          <w:sz w:val="7"/>
        </w:rPr>
      </w:pPr>
    </w:p>
    <w:p>
      <w:pPr>
        <w:spacing w:line="240" w:lineRule="auto"/>
        <w:ind w:left="189" w:right="0" w:firstLine="0"/>
        <w:rPr>
          <w:sz w:val="20"/>
        </w:rPr>
      </w:pPr>
      <w:r>
        <w:rPr>
          <w:sz w:val="20"/>
        </w:rPr>
        <w:drawing>
          <wp:inline distT="0" distB="0" distL="0" distR="0">
            <wp:extent cx="5399147" cy="2705576"/>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399147" cy="2705576"/>
                    </a:xfrm>
                    <a:prstGeom prst="rect">
                      <a:avLst/>
                    </a:prstGeom>
                  </pic:spPr>
                </pic:pic>
              </a:graphicData>
            </a:graphic>
          </wp:inline>
        </w:drawing>
      </w:r>
      <w:r>
        <w:rPr>
          <w:sz w:val="20"/>
        </w:rPr>
      </w:r>
    </w:p>
    <w:p>
      <w:pPr>
        <w:spacing w:before="19"/>
        <w:ind w:left="324" w:right="604" w:hanging="1"/>
        <w:jc w:val="center"/>
        <w:rPr>
          <w:b/>
          <w:i/>
          <w:sz w:val="24"/>
        </w:rPr>
      </w:pPr>
      <w:r>
        <w:rPr>
          <w:b/>
          <w:i/>
          <w:sz w:val="24"/>
        </w:rPr>
        <w:t>Figur 2. Full-panel, estimated-only, and verified-only θ₂</w:t>
      </w:r>
      <w:r>
        <w:rPr>
          <w:b/>
          <w:i/>
          <w:spacing w:val="40"/>
          <w:sz w:val="24"/>
        </w:rPr>
        <w:t> </w:t>
      </w:r>
      <w:r>
        <w:rPr>
          <w:b/>
          <w:i/>
          <w:sz w:val="24"/>
        </w:rPr>
        <w:t>estimates (n=81); the</w:t>
      </w:r>
      <w:r>
        <w:rPr>
          <w:b/>
          <w:i/>
          <w:sz w:val="24"/>
        </w:rPr>
        <w:t> verified-only stratum is significant under Specification I but not under Specification</w:t>
      </w:r>
      <w:r>
        <w:rPr>
          <w:b/>
          <w:i/>
          <w:spacing w:val="-3"/>
          <w:sz w:val="24"/>
        </w:rPr>
        <w:t> </w:t>
      </w:r>
      <w:r>
        <w:rPr>
          <w:b/>
          <w:i/>
          <w:sz w:val="24"/>
        </w:rPr>
        <w:t>II</w:t>
      </w:r>
      <w:r>
        <w:rPr>
          <w:b/>
          <w:i/>
          <w:spacing w:val="-4"/>
          <w:sz w:val="24"/>
        </w:rPr>
        <w:t> </w:t>
      </w:r>
      <w:r>
        <w:rPr>
          <w:b/>
          <w:i/>
          <w:sz w:val="24"/>
        </w:rPr>
        <w:t>(Appendix</w:t>
      </w:r>
      <w:r>
        <w:rPr>
          <w:b/>
          <w:i/>
          <w:spacing w:val="-3"/>
          <w:sz w:val="24"/>
        </w:rPr>
        <w:t> </w:t>
      </w:r>
      <w:r>
        <w:rPr>
          <w:b/>
          <w:i/>
          <w:sz w:val="24"/>
        </w:rPr>
        <w:t>F),</w:t>
      </w:r>
      <w:r>
        <w:rPr>
          <w:b/>
          <w:i/>
          <w:spacing w:val="-5"/>
          <w:sz w:val="24"/>
        </w:rPr>
        <w:t> </w:t>
      </w:r>
      <w:r>
        <w:rPr>
          <w:b/>
          <w:i/>
          <w:sz w:val="24"/>
        </w:rPr>
        <w:t>and</w:t>
      </w:r>
      <w:r>
        <w:rPr>
          <w:b/>
          <w:i/>
          <w:spacing w:val="-5"/>
          <w:sz w:val="24"/>
        </w:rPr>
        <w:t> </w:t>
      </w:r>
      <w:r>
        <w:rPr>
          <w:b/>
          <w:i/>
          <w:sz w:val="24"/>
        </w:rPr>
        <w:t>the</w:t>
      </w:r>
      <w:r>
        <w:rPr>
          <w:b/>
          <w:i/>
          <w:spacing w:val="-5"/>
          <w:sz w:val="24"/>
        </w:rPr>
        <w:t> </w:t>
      </w:r>
      <w:r>
        <w:rPr>
          <w:b/>
          <w:i/>
          <w:sz w:val="24"/>
        </w:rPr>
        <w:t>Appendix</w:t>
      </w:r>
      <w:r>
        <w:rPr>
          <w:b/>
          <w:i/>
          <w:spacing w:val="-4"/>
          <w:sz w:val="24"/>
        </w:rPr>
        <w:t> </w:t>
      </w:r>
      <w:r>
        <w:rPr>
          <w:b/>
          <w:i/>
          <w:sz w:val="24"/>
        </w:rPr>
        <w:t>E.7</w:t>
      </w:r>
      <w:r>
        <w:rPr>
          <w:b/>
          <w:i/>
          <w:spacing w:val="-5"/>
          <w:sz w:val="24"/>
        </w:rPr>
        <w:t> </w:t>
      </w:r>
      <w:r>
        <w:rPr>
          <w:b/>
          <w:i/>
          <w:sz w:val="24"/>
        </w:rPr>
        <w:t>heterogeneity</w:t>
      </w:r>
      <w:r>
        <w:rPr>
          <w:b/>
          <w:i/>
          <w:spacing w:val="-5"/>
          <w:sz w:val="24"/>
        </w:rPr>
        <w:t> </w:t>
      </w:r>
      <w:r>
        <w:rPr>
          <w:b/>
          <w:i/>
          <w:sz w:val="24"/>
        </w:rPr>
        <w:t>test</w:t>
      </w:r>
      <w:r>
        <w:rPr>
          <w:b/>
          <w:i/>
          <w:spacing w:val="-4"/>
          <w:sz w:val="24"/>
        </w:rPr>
        <w:t> </w:t>
      </w:r>
      <w:r>
        <w:rPr>
          <w:b/>
          <w:i/>
          <w:sz w:val="24"/>
        </w:rPr>
        <w:t>does</w:t>
      </w:r>
      <w:r>
        <w:rPr>
          <w:b/>
          <w:i/>
          <w:spacing w:val="-4"/>
          <w:sz w:val="24"/>
        </w:rPr>
        <w:t> </w:t>
      </w:r>
      <w:r>
        <w:rPr>
          <w:b/>
          <w:i/>
          <w:sz w:val="24"/>
        </w:rPr>
        <w:t>not reject equal slopes across tiers (p=0.602).</w:t>
      </w:r>
    </w:p>
    <w:p>
      <w:pPr>
        <w:pStyle w:val="Heading2"/>
        <w:numPr>
          <w:ilvl w:val="1"/>
          <w:numId w:val="1"/>
        </w:numPr>
        <w:tabs>
          <w:tab w:pos="457" w:val="left" w:leader="none"/>
        </w:tabs>
        <w:spacing w:line="240" w:lineRule="auto" w:before="239" w:after="0"/>
        <w:ind w:left="457" w:right="0" w:hanging="358"/>
        <w:jc w:val="left"/>
        <w:rPr>
          <w:i/>
        </w:rPr>
      </w:pPr>
      <w:r>
        <w:rPr>
          <w:i/>
        </w:rPr>
        <w:t>MCMC</w:t>
      </w:r>
      <w:r>
        <w:rPr>
          <w:i/>
          <w:spacing w:val="-15"/>
        </w:rPr>
        <w:t> </w:t>
      </w:r>
      <w:r>
        <w:rPr>
          <w:i/>
        </w:rPr>
        <w:t>Non-Convergence</w:t>
      </w:r>
      <w:r>
        <w:rPr>
          <w:i/>
          <w:spacing w:val="-15"/>
        </w:rPr>
        <w:t> </w:t>
      </w:r>
      <w:r>
        <w:rPr>
          <w:i/>
        </w:rPr>
        <w:t>and</w:t>
      </w:r>
      <w:r>
        <w:rPr>
          <w:i/>
          <w:spacing w:val="-13"/>
        </w:rPr>
        <w:t> </w:t>
      </w:r>
      <w:r>
        <w:rPr>
          <w:i/>
        </w:rPr>
        <w:t>Two-Regime</w:t>
      </w:r>
      <w:r>
        <w:rPr>
          <w:i/>
          <w:spacing w:val="-14"/>
        </w:rPr>
        <w:t> </w:t>
      </w:r>
      <w:r>
        <w:rPr>
          <w:i/>
        </w:rPr>
        <w:t>Robustness</w:t>
      </w:r>
      <w:r>
        <w:rPr>
          <w:i/>
          <w:spacing w:val="-14"/>
        </w:rPr>
        <w:t> </w:t>
      </w:r>
      <w:r>
        <w:rPr>
          <w:i/>
        </w:rPr>
        <w:t>(Table</w:t>
      </w:r>
      <w:r>
        <w:rPr>
          <w:i/>
          <w:spacing w:val="-14"/>
        </w:rPr>
        <w:t> </w:t>
      </w:r>
      <w:r>
        <w:rPr>
          <w:i/>
          <w:spacing w:val="-5"/>
        </w:rPr>
        <w:t>2d)</w:t>
      </w:r>
    </w:p>
    <w:p>
      <w:pPr>
        <w:pStyle w:val="BodyText"/>
        <w:spacing w:before="81"/>
        <w:ind w:left="0"/>
        <w:rPr>
          <w:b/>
          <w:i/>
        </w:rPr>
      </w:pPr>
    </w:p>
    <w:p>
      <w:pPr>
        <w:pStyle w:val="BodyText"/>
        <w:tabs>
          <w:tab w:pos="1485" w:val="left" w:leader="none"/>
          <w:tab w:pos="1926" w:val="left" w:leader="none"/>
        </w:tabs>
        <w:spacing w:line="480" w:lineRule="auto"/>
        <w:ind w:right="313"/>
      </w:pPr>
      <w:r>
        <w:rPr/>
        <w:t>MCMC</w:t>
      </w:r>
      <w:r>
        <w:rPr>
          <w:spacing w:val="40"/>
        </w:rPr>
        <w:t> </w:t>
      </w:r>
      <w:r>
        <w:rPr/>
        <w:t>(2</w:t>
      </w:r>
      <w:r>
        <w:rPr>
          <w:spacing w:val="40"/>
        </w:rPr>
        <w:t> </w:t>
      </w:r>
      <w:r>
        <w:rPr/>
        <w:t>chains</w:t>
      </w:r>
      <w:r>
        <w:rPr>
          <w:spacing w:val="80"/>
        </w:rPr>
        <w:t> </w:t>
      </w:r>
      <w:r>
        <w:rPr/>
        <w:t>×</w:t>
      </w:r>
      <w:r>
        <w:rPr>
          <w:spacing w:val="80"/>
        </w:rPr>
        <w:t> </w:t>
      </w:r>
      <w:r>
        <w:rPr/>
        <w:t>5,000</w:t>
      </w:r>
      <w:r>
        <w:rPr>
          <w:spacing w:val="40"/>
        </w:rPr>
        <w:t> </w:t>
      </w:r>
      <w:r>
        <w:rPr/>
        <w:t>samples)</w:t>
      </w:r>
      <w:r>
        <w:rPr>
          <w:spacing w:val="40"/>
        </w:rPr>
        <w:t> </w:t>
      </w:r>
      <w:r>
        <w:rPr/>
        <w:t>produced</w:t>
      </w:r>
      <w:r>
        <w:rPr>
          <w:spacing w:val="40"/>
        </w:rPr>
        <w:t> </w:t>
      </w:r>
      <w:r>
        <w:rPr/>
        <w:t>R̂</w:t>
      </w:r>
      <w:r>
        <w:rPr>
          <w:spacing w:val="40"/>
        </w:rPr>
        <w:t> </w:t>
      </w:r>
      <w:r>
        <w:rPr/>
        <w:t>&gt;</w:t>
      </w:r>
      <w:r>
        <w:rPr>
          <w:spacing w:val="40"/>
        </w:rPr>
        <w:t> </w:t>
      </w:r>
      <w:r>
        <w:rPr/>
        <w:t>1.05</w:t>
      </w:r>
      <w:r>
        <w:rPr>
          <w:spacing w:val="40"/>
        </w:rPr>
        <w:t> </w:t>
      </w:r>
      <w:r>
        <w:rPr/>
        <w:t>across</w:t>
      </w:r>
      <w:r>
        <w:rPr>
          <w:spacing w:val="40"/>
        </w:rPr>
        <w:t> </w:t>
      </w:r>
      <w:r>
        <w:rPr/>
        <w:t>all</w:t>
      </w:r>
      <w:r>
        <w:rPr>
          <w:spacing w:val="40"/>
        </w:rPr>
        <w:t> </w:t>
      </w:r>
      <w:r>
        <w:rPr/>
        <w:t>specifications (range:</w:t>
      </w:r>
      <w:r>
        <w:rPr>
          <w:spacing w:val="40"/>
        </w:rPr>
        <w:t> </w:t>
      </w:r>
      <w:r>
        <w:rPr/>
        <w:t>1.19–2.53)</w:t>
      </w:r>
      <w:r>
        <w:rPr>
          <w:spacing w:val="40"/>
        </w:rPr>
        <w:t> </w:t>
      </w:r>
      <w:r>
        <w:rPr/>
        <w:t>due</w:t>
      </w:r>
      <w:r>
        <w:rPr>
          <w:spacing w:val="40"/>
        </w:rPr>
        <w:t> </w:t>
      </w:r>
      <w:r>
        <w:rPr/>
        <w:t>to</w:t>
      </w:r>
      <w:r>
        <w:rPr>
          <w:spacing w:val="40"/>
        </w:rPr>
        <w:t> </w:t>
      </w:r>
      <w:r>
        <w:rPr/>
        <w:t>bimodal</w:t>
      </w:r>
      <w:r>
        <w:rPr>
          <w:spacing w:val="40"/>
        </w:rPr>
        <w:t> </w:t>
      </w:r>
      <w:r>
        <w:rPr/>
        <w:t>posterior</w:t>
      </w:r>
      <w:r>
        <w:rPr>
          <w:spacing w:val="40"/>
        </w:rPr>
        <w:t> </w:t>
      </w:r>
      <w:r>
        <w:rPr/>
        <w:t>from</w:t>
      </w:r>
      <w:r>
        <w:rPr>
          <w:spacing w:val="40"/>
        </w:rPr>
        <w:t> </w:t>
      </w:r>
      <w:r>
        <w:rPr/>
        <w:t>two</w:t>
      </w:r>
      <w:r>
        <w:rPr>
          <w:spacing w:val="40"/>
        </w:rPr>
        <w:t> </w:t>
      </w:r>
      <w:r>
        <w:rPr/>
        <w:t>distinct</w:t>
      </w:r>
      <w:r>
        <w:rPr>
          <w:spacing w:val="40"/>
        </w:rPr>
        <w:t> </w:t>
      </w:r>
      <w:r>
        <w:rPr/>
        <w:t>crisis</w:t>
      </w:r>
      <w:r>
        <w:rPr>
          <w:spacing w:val="40"/>
        </w:rPr>
        <w:t> </w:t>
      </w:r>
      <w:r>
        <w:rPr/>
        <w:t>regimes.</w:t>
      </w:r>
      <w:r>
        <w:rPr>
          <w:spacing w:val="40"/>
        </w:rPr>
        <w:t> </w:t>
      </w:r>
      <w:r>
        <w:rPr/>
        <w:t>To assess</w:t>
      </w:r>
      <w:r>
        <w:rPr>
          <w:spacing w:val="40"/>
        </w:rPr>
        <w:t> </w:t>
      </w:r>
      <w:r>
        <w:rPr/>
        <w:t>whether</w:t>
      </w:r>
      <w:r>
        <w:rPr>
          <w:spacing w:val="40"/>
        </w:rPr>
        <w:t> </w:t>
      </w:r>
      <w:r>
        <w:rPr/>
        <w:t>θ₂</w:t>
      </w:r>
      <w:r>
        <w:rPr>
          <w:spacing w:val="80"/>
        </w:rPr>
        <w:t> </w:t>
      </w:r>
      <w:r>
        <w:rPr/>
        <w:t>is</w:t>
      </w:r>
      <w:r>
        <w:rPr>
          <w:spacing w:val="40"/>
        </w:rPr>
        <w:t> </w:t>
      </w:r>
      <w:r>
        <w:rPr/>
        <w:t>robust</w:t>
      </w:r>
      <w:r>
        <w:rPr>
          <w:spacing w:val="40"/>
        </w:rPr>
        <w:t> </w:t>
      </w:r>
      <w:r>
        <w:rPr/>
        <w:t>to</w:t>
      </w:r>
      <w:r>
        <w:rPr>
          <w:spacing w:val="40"/>
        </w:rPr>
        <w:t> </w:t>
      </w:r>
      <w:r>
        <w:rPr/>
        <w:t>this</w:t>
      </w:r>
      <w:r>
        <w:rPr>
          <w:spacing w:val="40"/>
        </w:rPr>
        <w:t> </w:t>
      </w:r>
      <w:r>
        <w:rPr/>
        <w:t>heterogeneity,</w:t>
      </w:r>
      <w:r>
        <w:rPr>
          <w:spacing w:val="40"/>
        </w:rPr>
        <w:t> </w:t>
      </w:r>
      <w:r>
        <w:rPr/>
        <w:t>we</w:t>
      </w:r>
      <w:r>
        <w:rPr>
          <w:spacing w:val="40"/>
        </w:rPr>
        <w:t> </w:t>
      </w:r>
      <w:r>
        <w:rPr/>
        <w:t>perform</w:t>
      </w:r>
      <w:r>
        <w:rPr>
          <w:spacing w:val="40"/>
        </w:rPr>
        <w:t> </w:t>
      </w:r>
      <w:r>
        <w:rPr/>
        <w:t>a</w:t>
      </w:r>
      <w:r>
        <w:rPr>
          <w:spacing w:val="40"/>
        </w:rPr>
        <w:t> </w:t>
      </w:r>
      <w:r>
        <w:rPr/>
        <w:t>two-regime</w:t>
      </w:r>
      <w:r>
        <w:rPr>
          <w:spacing w:val="40"/>
        </w:rPr>
        <w:t> </w:t>
      </w:r>
      <w:r>
        <w:rPr/>
        <w:t>split: Regime</w:t>
      </w:r>
      <w:r>
        <w:rPr>
          <w:spacing w:val="-3"/>
        </w:rPr>
        <w:t> </w:t>
      </w:r>
      <w:r>
        <w:rPr/>
        <w:t>1</w:t>
      </w:r>
      <w:r>
        <w:rPr>
          <w:spacing w:val="-2"/>
        </w:rPr>
        <w:t> </w:t>
      </w:r>
      <w:r>
        <w:rPr/>
        <w:t>(digital bank-run:</w:t>
      </w:r>
      <w:r>
        <w:rPr>
          <w:spacing w:val="-1"/>
        </w:rPr>
        <w:t> </w:t>
      </w:r>
      <w:r>
        <w:rPr/>
        <w:t>S&gt;0.70</w:t>
      </w:r>
      <w:r>
        <w:rPr>
          <w:spacing w:val="-2"/>
        </w:rPr>
        <w:t> </w:t>
      </w:r>
      <w:r>
        <w:rPr/>
        <w:t>and</w:t>
      </w:r>
      <w:r>
        <w:rPr>
          <w:spacing w:val="-2"/>
        </w:rPr>
        <w:t> </w:t>
      </w:r>
      <w:r>
        <w:rPr/>
        <w:t>D&gt;0.70,</w:t>
      </w:r>
      <w:r>
        <w:rPr>
          <w:spacing w:val="-2"/>
        </w:rPr>
        <w:t> </w:t>
      </w:r>
      <w:r>
        <w:rPr/>
        <w:t>n=7) and</w:t>
      </w:r>
      <w:r>
        <w:rPr>
          <w:spacing w:val="-2"/>
        </w:rPr>
        <w:t> </w:t>
      </w:r>
      <w:r>
        <w:rPr/>
        <w:t>Regime</w:t>
      </w:r>
      <w:r>
        <w:rPr>
          <w:spacing w:val="-3"/>
        </w:rPr>
        <w:t> </w:t>
      </w:r>
      <w:r>
        <w:rPr/>
        <w:t>2</w:t>
      </w:r>
      <w:r>
        <w:rPr>
          <w:spacing w:val="-2"/>
        </w:rPr>
        <w:t> </w:t>
      </w:r>
      <w:r>
        <w:rPr/>
        <w:t>(traditional</w:t>
      </w:r>
      <w:r>
        <w:rPr>
          <w:spacing w:val="-1"/>
        </w:rPr>
        <w:t> </w:t>
      </w:r>
      <w:r>
        <w:rPr/>
        <w:t>crisis: all</w:t>
      </w:r>
      <w:r>
        <w:rPr>
          <w:spacing w:val="23"/>
        </w:rPr>
        <w:t> </w:t>
      </w:r>
      <w:r>
        <w:rPr/>
        <w:t>other</w:t>
      </w:r>
      <w:r>
        <w:rPr>
          <w:spacing w:val="22"/>
        </w:rPr>
        <w:t> </w:t>
      </w:r>
      <w:r>
        <w:rPr/>
        <w:t>episodes,</w:t>
      </w:r>
      <w:r>
        <w:rPr>
          <w:spacing w:val="23"/>
        </w:rPr>
        <w:t> </w:t>
      </w:r>
      <w:r>
        <w:rPr/>
        <w:t>n=74).</w:t>
      </w:r>
      <w:r>
        <w:rPr>
          <w:spacing w:val="22"/>
        </w:rPr>
        <w:t> </w:t>
      </w:r>
      <w:r>
        <w:rPr/>
        <w:t>The two-regime split yields</w:t>
      </w:r>
      <w:r>
        <w:rPr>
          <w:spacing w:val="25"/>
        </w:rPr>
        <w:t> </w:t>
      </w:r>
      <w:r>
        <w:rPr/>
        <w:t>positive point</w:t>
      </w:r>
      <w:r>
        <w:rPr>
          <w:spacing w:val="23"/>
        </w:rPr>
        <w:t> </w:t>
      </w:r>
      <w:r>
        <w:rPr/>
        <w:t>estimates</w:t>
      </w:r>
      <w:r>
        <w:rPr>
          <w:spacing w:val="22"/>
        </w:rPr>
        <w:t> </w:t>
      </w:r>
      <w:r>
        <w:rPr/>
        <w:t>for</w:t>
      </w:r>
      <w:r>
        <w:rPr>
          <w:spacing w:val="24"/>
        </w:rPr>
        <w:t> </w:t>
      </w:r>
      <w:r>
        <w:rPr/>
        <w:t>θ₂ in both regimes (Table 2d), but the digital-regime estimate is statistically imprecise</w:t>
      </w:r>
      <w:r>
        <w:rPr>
          <w:spacing w:val="80"/>
        </w:rPr>
        <w:t> </w:t>
      </w:r>
      <w:r>
        <w:rPr/>
        <w:t>(n=7,</w:t>
      </w:r>
      <w:r>
        <w:rPr>
          <w:spacing w:val="40"/>
        </w:rPr>
        <w:t> </w:t>
      </w:r>
      <w:r>
        <w:rPr/>
        <w:t>p=0.106,</w:t>
      </w:r>
      <w:r>
        <w:rPr>
          <w:spacing w:val="40"/>
        </w:rPr>
        <w:t> </w:t>
      </w:r>
      <w:r>
        <w:rPr/>
        <w:t>95%</w:t>
      </w:r>
      <w:r>
        <w:rPr>
          <w:spacing w:val="40"/>
        </w:rPr>
        <w:t> </w:t>
      </w:r>
      <w:r>
        <w:rPr/>
        <w:t>CI</w:t>
      </w:r>
      <w:r>
        <w:rPr>
          <w:spacing w:val="40"/>
        </w:rPr>
        <w:t> </w:t>
      </w:r>
      <w:r>
        <w:rPr/>
        <w:t>[−0.228,</w:t>
      </w:r>
      <w:r>
        <w:rPr>
          <w:spacing w:val="40"/>
        </w:rPr>
        <w:t> </w:t>
      </w:r>
      <w:r>
        <w:rPr/>
        <w:t>1.585]</w:t>
      </w:r>
      <w:r>
        <w:rPr>
          <w:spacing w:val="40"/>
        </w:rPr>
        <w:t> </w:t>
      </w:r>
      <w:r>
        <w:rPr/>
        <w:t>includes</w:t>
      </w:r>
      <w:r>
        <w:rPr>
          <w:spacing w:val="40"/>
        </w:rPr>
        <w:t> </w:t>
      </w:r>
      <w:r>
        <w:rPr/>
        <w:t>zero),</w:t>
      </w:r>
      <w:r>
        <w:rPr>
          <w:spacing w:val="40"/>
        </w:rPr>
        <w:t> </w:t>
      </w:r>
      <w:r>
        <w:rPr/>
        <w:t>limiting</w:t>
      </w:r>
      <w:r>
        <w:rPr>
          <w:spacing w:val="40"/>
        </w:rPr>
        <w:t> </w:t>
      </w:r>
      <w:r>
        <w:rPr/>
        <w:t>inference</w:t>
      </w:r>
      <w:r>
        <w:rPr>
          <w:spacing w:val="40"/>
        </w:rPr>
        <w:t> </w:t>
      </w:r>
      <w:r>
        <w:rPr/>
        <w:t>to</w:t>
      </w:r>
      <w:r>
        <w:rPr>
          <w:spacing w:val="40"/>
        </w:rPr>
        <w:t> </w:t>
      </w:r>
      <w:r>
        <w:rPr/>
        <w:t>the directional</w:t>
      </w:r>
      <w:r>
        <w:rPr>
          <w:spacing w:val="39"/>
        </w:rPr>
        <w:t> </w:t>
      </w:r>
      <w:r>
        <w:rPr/>
        <w:t>consistency</w:t>
      </w:r>
      <w:r>
        <w:rPr>
          <w:spacing w:val="33"/>
        </w:rPr>
        <w:t> </w:t>
      </w:r>
      <w:r>
        <w:rPr/>
        <w:t>of</w:t>
      </w:r>
      <w:r>
        <w:rPr>
          <w:spacing w:val="37"/>
        </w:rPr>
        <w:t> </w:t>
      </w:r>
      <w:r>
        <w:rPr/>
        <w:t>sign</w:t>
      </w:r>
      <w:r>
        <w:rPr>
          <w:spacing w:val="37"/>
        </w:rPr>
        <w:t> </w:t>
      </w:r>
      <w:r>
        <w:rPr/>
        <w:t>across</w:t>
      </w:r>
      <w:r>
        <w:rPr>
          <w:spacing w:val="38"/>
        </w:rPr>
        <w:t> </w:t>
      </w:r>
      <w:r>
        <w:rPr/>
        <w:t>regimes</w:t>
      </w:r>
      <w:r>
        <w:rPr>
          <w:spacing w:val="80"/>
        </w:rPr>
        <w:t> </w:t>
      </w:r>
      <w:r>
        <w:rPr/>
        <w:t>—</w:t>
      </w:r>
      <w:r>
        <w:rPr>
          <w:spacing w:val="80"/>
        </w:rPr>
        <w:t> </w:t>
      </w:r>
      <w:r>
        <w:rPr/>
        <w:t>not</w:t>
      </w:r>
      <w:r>
        <w:rPr>
          <w:spacing w:val="36"/>
        </w:rPr>
        <w:t> </w:t>
      </w:r>
      <w:r>
        <w:rPr/>
        <w:t>statistical</w:t>
      </w:r>
      <w:r>
        <w:rPr>
          <w:spacing w:val="36"/>
        </w:rPr>
        <w:t> </w:t>
      </w:r>
      <w:r>
        <w:rPr/>
        <w:t>confirmation.</w:t>
      </w:r>
      <w:r>
        <w:rPr>
          <w:spacing w:val="37"/>
        </w:rPr>
        <w:t> </w:t>
      </w:r>
      <w:r>
        <w:rPr/>
        <w:t>The bimodal MCMC posterior reflects intercept and θ₁</w:t>
      </w:r>
      <w:r>
        <w:rPr>
          <w:spacing w:val="40"/>
        </w:rPr>
        <w:t> </w:t>
      </w:r>
      <w:r>
        <w:rPr/>
        <w:t>heterogeneity, not instability in θ₂; pooled OLS captures the average θ₂</w:t>
      </w:r>
      <w:r>
        <w:rPr>
          <w:spacing w:val="40"/>
        </w:rPr>
        <w:t> </w:t>
      </w:r>
      <w:r>
        <w:rPr/>
        <w:t>across regimes. A strict Bayesian reviewer will note that this observable-split approach does not propagate uncertainty about regime </w:t>
      </w:r>
      <w:r>
        <w:rPr>
          <w:spacing w:val="-2"/>
        </w:rPr>
        <w:t>membership</w:t>
      </w:r>
      <w:r>
        <w:rPr/>
        <w:tab/>
      </w:r>
      <w:r>
        <w:rPr>
          <w:spacing w:val="-10"/>
        </w:rPr>
        <w:t>—</w:t>
      </w:r>
      <w:r>
        <w:rPr/>
        <w:tab/>
        <w:t>a</w:t>
      </w:r>
      <w:r>
        <w:rPr>
          <w:spacing w:val="40"/>
        </w:rPr>
        <w:t> </w:t>
      </w:r>
      <w:r>
        <w:rPr/>
        <w:t>limitation</w:t>
      </w:r>
      <w:r>
        <w:rPr>
          <w:spacing w:val="40"/>
        </w:rPr>
        <w:t> </w:t>
      </w:r>
      <w:r>
        <w:rPr/>
        <w:t>acknowledged</w:t>
      </w:r>
      <w:r>
        <w:rPr>
          <w:spacing w:val="40"/>
        </w:rPr>
        <w:t> </w:t>
      </w:r>
      <w:r>
        <w:rPr/>
        <w:t>in</w:t>
      </w:r>
      <w:r>
        <w:rPr>
          <w:spacing w:val="40"/>
        </w:rPr>
        <w:t> </w:t>
      </w:r>
      <w:r>
        <w:rPr/>
        <w:t>L1</w:t>
      </w:r>
      <w:r>
        <w:rPr>
          <w:spacing w:val="40"/>
        </w:rPr>
        <w:t> </w:t>
      </w:r>
      <w:r>
        <w:rPr/>
        <w:t>(Section</w:t>
      </w:r>
      <w:r>
        <w:rPr>
          <w:spacing w:val="40"/>
        </w:rPr>
        <w:t> </w:t>
      </w:r>
      <w:r>
        <w:rPr/>
        <w:t>7.2)</w:t>
      </w:r>
      <w:r>
        <w:rPr>
          <w:spacing w:val="40"/>
        </w:rPr>
        <w:t> </w:t>
      </w:r>
      <w:r>
        <w:rPr/>
        <w:t>and</w:t>
      </w:r>
      <w:r>
        <w:rPr>
          <w:spacing w:val="40"/>
        </w:rPr>
        <w:t> </w:t>
      </w:r>
      <w:r>
        <w:rPr/>
        <w:t>addressed</w:t>
      </w:r>
      <w:r>
        <w:rPr>
          <w:spacing w:val="80"/>
          <w:w w:val="150"/>
        </w:rPr>
        <w:t> </w:t>
      </w:r>
      <w:r>
        <w:rPr/>
        <w:t>definitively</w:t>
      </w:r>
      <w:r>
        <w:rPr>
          <w:spacing w:val="80"/>
        </w:rPr>
        <w:t> </w:t>
      </w:r>
      <w:r>
        <w:rPr/>
        <w:t>only</w:t>
      </w:r>
      <w:r>
        <w:rPr>
          <w:spacing w:val="80"/>
        </w:rPr>
        <w:t> </w:t>
      </w:r>
      <w:r>
        <w:rPr/>
        <w:t>with</w:t>
      </w:r>
      <w:r>
        <w:rPr>
          <w:spacing w:val="80"/>
        </w:rPr>
        <w:t> </w:t>
      </w:r>
      <w:r>
        <w:rPr/>
        <w:t>a</w:t>
      </w:r>
      <w:r>
        <w:rPr>
          <w:spacing w:val="80"/>
        </w:rPr>
        <w:t> </w:t>
      </w:r>
      <w:r>
        <w:rPr/>
        <w:t>larger</w:t>
      </w:r>
      <w:r>
        <w:rPr>
          <w:spacing w:val="80"/>
        </w:rPr>
        <w:t> </w:t>
      </w:r>
      <w:r>
        <w:rPr/>
        <w:t>digital-regime</w:t>
      </w:r>
      <w:r>
        <w:rPr>
          <w:spacing w:val="80"/>
        </w:rPr>
        <w:t> </w:t>
      </w:r>
      <w:r>
        <w:rPr/>
        <w:t>sample</w:t>
      </w:r>
      <w:r>
        <w:rPr>
          <w:spacing w:val="80"/>
        </w:rPr>
        <w:t> </w:t>
      </w:r>
      <w:r>
        <w:rPr/>
        <w:t>(n=7</w:t>
      </w:r>
      <w:r>
        <w:rPr>
          <w:spacing w:val="80"/>
        </w:rPr>
        <w:t> </w:t>
      </w:r>
      <w:r>
        <w:rPr/>
        <w:t>currently</w:t>
      </w:r>
      <w:r>
        <w:rPr>
          <w:spacing w:val="80"/>
        </w:rPr>
        <w:t> </w:t>
      </w:r>
      <w:r>
        <w:rPr/>
        <w:t>under</w:t>
      </w:r>
      <w:r>
        <w:rPr>
          <w:spacing w:val="80"/>
        </w:rPr>
        <w:t> </w:t>
      </w:r>
      <w:r>
        <w:rPr/>
        <w:t>the reconciled panel; a substantially larger digital-regime sample would be required for a</w:t>
      </w:r>
    </w:p>
    <w:p>
      <w:pPr>
        <w:pStyle w:val="BodyText"/>
        <w:spacing w:after="0" w:line="480" w:lineRule="auto"/>
        <w:sectPr>
          <w:pgSz w:w="11900" w:h="16820"/>
          <w:pgMar w:header="714" w:footer="0" w:top="1340" w:bottom="280" w:left="1700" w:right="1417"/>
        </w:sectPr>
      </w:pPr>
    </w:p>
    <w:p>
      <w:pPr>
        <w:pStyle w:val="BodyText"/>
        <w:spacing w:line="480" w:lineRule="auto" w:before="79"/>
        <w:ind w:right="322"/>
        <w:jc w:val="both"/>
      </w:pPr>
      <w:r>
        <w:rPr/>
        <w:t>converged free mixture). Two digital-related results in this paper must not be conflated. The digital-regime θ₂ here (Table 2d, n=7, p=0.106) is the concentration×shock coefficient estimated within the small 2023 digital-run subsample,</w:t>
      </w:r>
      <w:r>
        <w:rPr>
          <w:spacing w:val="-4"/>
        </w:rPr>
        <w:t> </w:t>
      </w:r>
      <w:r>
        <w:rPr/>
        <w:t>and</w:t>
      </w:r>
      <w:r>
        <w:rPr>
          <w:spacing w:val="-5"/>
        </w:rPr>
        <w:t> </w:t>
      </w:r>
      <w:r>
        <w:rPr/>
        <w:t>is</w:t>
      </w:r>
      <w:r>
        <w:rPr>
          <w:spacing w:val="-4"/>
        </w:rPr>
        <w:t> </w:t>
      </w:r>
      <w:r>
        <w:rPr/>
        <w:t>statistically</w:t>
      </w:r>
      <w:r>
        <w:rPr>
          <w:spacing w:val="-7"/>
        </w:rPr>
        <w:t> </w:t>
      </w:r>
      <w:r>
        <w:rPr/>
        <w:t>imprecise.</w:t>
      </w:r>
      <w:r>
        <w:rPr>
          <w:spacing w:val="-5"/>
        </w:rPr>
        <w:t> </w:t>
      </w:r>
      <w:r>
        <w:rPr/>
        <w:t>The</w:t>
      </w:r>
      <w:r>
        <w:rPr>
          <w:spacing w:val="-5"/>
        </w:rPr>
        <w:t> </w:t>
      </w:r>
      <w:r>
        <w:rPr/>
        <w:t>digital-adoption</w:t>
      </w:r>
      <w:r>
        <w:rPr>
          <w:spacing w:val="-4"/>
        </w:rPr>
        <w:t> </w:t>
      </w:r>
      <w:r>
        <w:rPr/>
        <w:t>coefficient</w:t>
      </w:r>
      <w:r>
        <w:rPr>
          <w:spacing w:val="-4"/>
        </w:rPr>
        <w:t> </w:t>
      </w:r>
      <w:r>
        <w:rPr/>
        <w:t>θ₃</w:t>
      </w:r>
      <w:r>
        <w:rPr>
          <w:spacing w:val="40"/>
        </w:rPr>
        <w:t> </w:t>
      </w:r>
      <w:r>
        <w:rPr/>
        <w:t>(Table</w:t>
      </w:r>
      <w:r>
        <w:rPr>
          <w:spacing w:val="-5"/>
        </w:rPr>
        <w:t> </w:t>
      </w:r>
      <w:r>
        <w:rPr/>
        <w:t>2b, θ₃=0.0394, p=0.0973) is a separate quantity</w:t>
      </w:r>
      <w:r>
        <w:rPr>
          <w:spacing w:val="40"/>
        </w:rPr>
        <w:t> </w:t>
      </w:r>
      <w:r>
        <w:rPr/>
        <w:t>—</w:t>
      </w:r>
      <w:r>
        <w:rPr>
          <w:spacing w:val="40"/>
        </w:rPr>
        <w:t> </w:t>
      </w:r>
      <w:r>
        <w:rPr/>
        <w:t>the direct effect of digital adoption on outflow, estimated on the full n=81 panel</w:t>
      </w:r>
      <w:r>
        <w:rPr>
          <w:spacing w:val="40"/>
        </w:rPr>
        <w:t> </w:t>
      </w:r>
      <w:r>
        <w:rPr/>
        <w:t>—</w:t>
      </w:r>
      <w:r>
        <w:rPr>
          <w:spacing w:val="40"/>
        </w:rPr>
        <w:t> </w:t>
      </w:r>
      <w:r>
        <w:rPr/>
        <w:t>and is, under the reconciled panel, not statistically significant. The imprecision of the within-regime θ₂</w:t>
      </w:r>
      <w:r>
        <w:rPr>
          <w:spacing w:val="40"/>
        </w:rPr>
        <w:t> </w:t>
      </w:r>
      <w:r>
        <w:rPr/>
        <w:t>reflects the small digital subsample; θ₃’s own non-significance under the reconciled panel is a separate, additional caution, since the two coefficients answer different questions on different samples and both point toward the same need for a larger digital-regime sample</w:t>
      </w:r>
      <w:r>
        <w:rPr>
          <w:spacing w:val="80"/>
        </w:rPr>
        <w:t> </w:t>
      </w:r>
      <w:r>
        <w:rPr/>
        <w:t>before either is treated as confirmed.</w:t>
      </w:r>
    </w:p>
    <w:p>
      <w:pPr>
        <w:pStyle w:val="BodyText"/>
        <w:spacing w:line="480" w:lineRule="auto"/>
        <w:ind w:right="320"/>
        <w:jc w:val="both"/>
      </w:pPr>
      <w:r>
        <w:rPr/>
        <w:t>One further diagnostic question deserves a direct answer: is the bimodal posterior evidence of two genuinely distinct crisis regimes, or a symptom of θ₂</w:t>
      </w:r>
      <w:r>
        <w:rPr>
          <w:spacing w:val="40"/>
        </w:rPr>
        <w:t> </w:t>
      </w:r>
      <w:r>
        <w:rPr/>
        <w:t>itself being weakly identified? Two features of Table 2d favour the former. First, both regimes retain substantial within-regime explanatory power (R²=0.562 for the digital regime, R²=0.385 for the traditional regime) rather than collapsing toward zero, which is what weak identification of the shared parameter would predict. Second, the regime split is defined ex ante on an observable threshold (S &gt; 0.70 and D &gt; 0.70), not fitted to the data, so the bimodality cannot be an artefact of a free mixture searching for whatever split best explains the outcome. Weak identification cannot be excluded outright with only n=7 in the digital regime, but the available evidence is more consistent with two economically distinct regimes sharing a common concentration×shock slope than with a single, poorly identified parameter.</w:t>
      </w:r>
    </w:p>
    <w:p>
      <w:pPr>
        <w:pStyle w:val="BodyText"/>
        <w:spacing w:after="0" w:line="480" w:lineRule="auto"/>
        <w:jc w:val="both"/>
        <w:sectPr>
          <w:pgSz w:w="11900" w:h="16820"/>
          <w:pgMar w:header="714" w:footer="0" w:top="1340" w:bottom="280" w:left="1700" w:right="1417"/>
        </w:sectPr>
      </w:pPr>
    </w:p>
    <w:p>
      <w:pPr>
        <w:pStyle w:val="Heading1"/>
        <w:spacing w:line="242" w:lineRule="auto" w:before="79" w:after="51"/>
        <w:ind w:left="2672" w:right="1276" w:hanging="1680"/>
      </w:pPr>
      <w:r>
        <w:rPr/>
        <w:t>Table2d.</w:t>
      </w:r>
      <w:r>
        <w:rPr>
          <w:spacing w:val="-6"/>
        </w:rPr>
        <w:t> </w:t>
      </w:r>
      <w:r>
        <w:rPr/>
        <w:t>Two-Regime</w:t>
      </w:r>
      <w:r>
        <w:rPr>
          <w:spacing w:val="-7"/>
        </w:rPr>
        <w:t> </w:t>
      </w:r>
      <w:r>
        <w:rPr/>
        <w:t>OLS</w:t>
      </w:r>
      <w:r>
        <w:rPr>
          <w:spacing w:val="-8"/>
        </w:rPr>
        <w:t> </w:t>
      </w:r>
      <w:r>
        <w:rPr/>
        <w:t>Robustness</w:t>
      </w:r>
      <w:r>
        <w:rPr>
          <w:spacing w:val="-6"/>
        </w:rPr>
        <w:t> </w:t>
      </w:r>
      <w:r>
        <w:rPr/>
        <w:t>(Supplement</w:t>
      </w:r>
      <w:r>
        <w:rPr>
          <w:spacing w:val="-7"/>
        </w:rPr>
        <w:t> </w:t>
      </w:r>
      <w:r>
        <w:rPr/>
        <w:t>to</w:t>
      </w:r>
      <w:r>
        <w:rPr>
          <w:spacing w:val="-7"/>
        </w:rPr>
        <w:t> </w:t>
      </w:r>
      <w:r>
        <w:rPr/>
        <w:t>MCMC Non-Convergence Explanation)</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0"/>
        <w:gridCol w:w="1823"/>
        <w:gridCol w:w="2327"/>
        <w:gridCol w:w="2706"/>
      </w:tblGrid>
      <w:tr>
        <w:trPr>
          <w:trHeight w:val="280" w:hRule="atLeast"/>
        </w:trPr>
        <w:tc>
          <w:tcPr>
            <w:tcW w:w="1410" w:type="dxa"/>
          </w:tcPr>
          <w:p>
            <w:pPr>
              <w:pStyle w:val="TableParagraph"/>
              <w:spacing w:line="249" w:lineRule="exact"/>
              <w:ind w:left="326"/>
              <w:rPr>
                <w:b/>
                <w:sz w:val="22"/>
              </w:rPr>
            </w:pPr>
            <w:r>
              <w:rPr>
                <w:b/>
                <w:spacing w:val="-2"/>
                <w:sz w:val="22"/>
              </w:rPr>
              <w:t>Statistic</w:t>
            </w:r>
          </w:p>
        </w:tc>
        <w:tc>
          <w:tcPr>
            <w:tcW w:w="1823" w:type="dxa"/>
          </w:tcPr>
          <w:p>
            <w:pPr>
              <w:pStyle w:val="TableParagraph"/>
              <w:spacing w:line="249" w:lineRule="exact"/>
              <w:ind w:left="134"/>
              <w:rPr>
                <w:b/>
                <w:sz w:val="22"/>
              </w:rPr>
            </w:pPr>
            <w:r>
              <w:rPr>
                <w:b/>
                <w:sz w:val="22"/>
              </w:rPr>
              <w:t>Full</w:t>
            </w:r>
            <w:r>
              <w:rPr>
                <w:b/>
                <w:spacing w:val="-8"/>
                <w:sz w:val="22"/>
              </w:rPr>
              <w:t> </w:t>
            </w:r>
            <w:r>
              <w:rPr>
                <w:b/>
                <w:sz w:val="22"/>
              </w:rPr>
              <w:t>Panel</w:t>
            </w:r>
            <w:r>
              <w:rPr>
                <w:b/>
                <w:spacing w:val="-5"/>
                <w:sz w:val="22"/>
              </w:rPr>
              <w:t> </w:t>
            </w:r>
            <w:r>
              <w:rPr>
                <w:b/>
                <w:spacing w:val="-2"/>
                <w:sz w:val="22"/>
              </w:rPr>
              <w:t>(n=81)</w:t>
            </w:r>
          </w:p>
        </w:tc>
        <w:tc>
          <w:tcPr>
            <w:tcW w:w="2327" w:type="dxa"/>
          </w:tcPr>
          <w:p>
            <w:pPr>
              <w:pStyle w:val="TableParagraph"/>
              <w:spacing w:line="249" w:lineRule="exact"/>
              <w:ind w:left="129"/>
              <w:rPr>
                <w:b/>
                <w:sz w:val="22"/>
              </w:rPr>
            </w:pPr>
            <w:r>
              <w:rPr>
                <w:b/>
                <w:sz w:val="22"/>
              </w:rPr>
              <w:t>Regime1:</w:t>
            </w:r>
            <w:r>
              <w:rPr>
                <w:b/>
                <w:spacing w:val="-8"/>
                <w:sz w:val="22"/>
              </w:rPr>
              <w:t> </w:t>
            </w:r>
            <w:r>
              <w:rPr>
                <w:b/>
                <w:sz w:val="22"/>
              </w:rPr>
              <w:t>Digital</w:t>
            </w:r>
            <w:r>
              <w:rPr>
                <w:b/>
                <w:spacing w:val="-6"/>
                <w:sz w:val="22"/>
              </w:rPr>
              <w:t> </w:t>
            </w:r>
            <w:r>
              <w:rPr>
                <w:b/>
                <w:spacing w:val="-4"/>
                <w:sz w:val="22"/>
              </w:rPr>
              <w:t>(n=7)</w:t>
            </w:r>
          </w:p>
        </w:tc>
        <w:tc>
          <w:tcPr>
            <w:tcW w:w="2706" w:type="dxa"/>
          </w:tcPr>
          <w:p>
            <w:pPr>
              <w:pStyle w:val="TableParagraph"/>
              <w:spacing w:line="249" w:lineRule="exact"/>
              <w:ind w:left="117"/>
              <w:rPr>
                <w:b/>
                <w:sz w:val="22"/>
              </w:rPr>
            </w:pPr>
            <w:r>
              <w:rPr>
                <w:b/>
                <w:spacing w:val="-8"/>
                <w:sz w:val="22"/>
              </w:rPr>
              <w:t>Regime2:</w:t>
            </w:r>
            <w:r>
              <w:rPr>
                <w:b/>
                <w:spacing w:val="2"/>
                <w:sz w:val="22"/>
              </w:rPr>
              <w:t> </w:t>
            </w:r>
            <w:r>
              <w:rPr>
                <w:b/>
                <w:spacing w:val="-8"/>
                <w:sz w:val="22"/>
              </w:rPr>
              <w:t>Traditional</w:t>
            </w:r>
            <w:r>
              <w:rPr>
                <w:b/>
                <w:spacing w:val="9"/>
                <w:sz w:val="22"/>
              </w:rPr>
              <w:t> </w:t>
            </w:r>
            <w:r>
              <w:rPr>
                <w:b/>
                <w:spacing w:val="-8"/>
                <w:sz w:val="22"/>
              </w:rPr>
              <w:t>(n=74)</w:t>
            </w:r>
          </w:p>
        </w:tc>
      </w:tr>
      <w:tr>
        <w:trPr>
          <w:trHeight w:val="282" w:hRule="atLeast"/>
        </w:trPr>
        <w:tc>
          <w:tcPr>
            <w:tcW w:w="1410" w:type="dxa"/>
          </w:tcPr>
          <w:p>
            <w:pPr>
              <w:pStyle w:val="TableParagraph"/>
              <w:spacing w:line="249" w:lineRule="exact"/>
              <w:rPr>
                <w:sz w:val="22"/>
              </w:rPr>
            </w:pPr>
            <w:r>
              <w:rPr>
                <w:sz w:val="22"/>
              </w:rPr>
              <w:t>θ₂</w:t>
            </w:r>
            <w:r>
              <w:rPr>
                <w:spacing w:val="50"/>
                <w:sz w:val="22"/>
              </w:rPr>
              <w:t> </w:t>
            </w:r>
            <w:r>
              <w:rPr>
                <w:spacing w:val="-2"/>
                <w:sz w:val="22"/>
              </w:rPr>
              <w:t>(C×S)</w:t>
            </w:r>
          </w:p>
        </w:tc>
        <w:tc>
          <w:tcPr>
            <w:tcW w:w="1823" w:type="dxa"/>
          </w:tcPr>
          <w:p>
            <w:pPr>
              <w:pStyle w:val="TableParagraph"/>
              <w:spacing w:line="249" w:lineRule="exact"/>
              <w:ind w:left="108"/>
              <w:rPr>
                <w:sz w:val="22"/>
              </w:rPr>
            </w:pPr>
            <w:r>
              <w:rPr>
                <w:spacing w:val="-2"/>
                <w:sz w:val="22"/>
              </w:rPr>
              <w:t>0.2466</w:t>
            </w:r>
          </w:p>
        </w:tc>
        <w:tc>
          <w:tcPr>
            <w:tcW w:w="2327" w:type="dxa"/>
          </w:tcPr>
          <w:p>
            <w:pPr>
              <w:pStyle w:val="TableParagraph"/>
              <w:spacing w:line="249" w:lineRule="exact"/>
              <w:ind w:left="108"/>
              <w:rPr>
                <w:sz w:val="22"/>
              </w:rPr>
            </w:pPr>
            <w:r>
              <w:rPr>
                <w:spacing w:val="-2"/>
                <w:sz w:val="22"/>
              </w:rPr>
              <w:t>0.6783</w:t>
            </w:r>
          </w:p>
        </w:tc>
        <w:tc>
          <w:tcPr>
            <w:tcW w:w="2706" w:type="dxa"/>
          </w:tcPr>
          <w:p>
            <w:pPr>
              <w:pStyle w:val="TableParagraph"/>
              <w:spacing w:line="249" w:lineRule="exact"/>
              <w:rPr>
                <w:sz w:val="22"/>
              </w:rPr>
            </w:pPr>
            <w:r>
              <w:rPr>
                <w:spacing w:val="-2"/>
                <w:sz w:val="22"/>
              </w:rPr>
              <w:t>0.0597</w:t>
            </w:r>
          </w:p>
        </w:tc>
      </w:tr>
      <w:tr>
        <w:trPr>
          <w:trHeight w:val="280" w:hRule="atLeast"/>
        </w:trPr>
        <w:tc>
          <w:tcPr>
            <w:tcW w:w="1410" w:type="dxa"/>
          </w:tcPr>
          <w:p>
            <w:pPr>
              <w:pStyle w:val="TableParagraph"/>
              <w:spacing w:line="246" w:lineRule="exact"/>
              <w:rPr>
                <w:sz w:val="22"/>
              </w:rPr>
            </w:pPr>
            <w:r>
              <w:rPr>
                <w:sz w:val="22"/>
              </w:rPr>
              <w:t>θ₂</w:t>
            </w:r>
            <w:r>
              <w:rPr>
                <w:spacing w:val="48"/>
                <w:sz w:val="22"/>
              </w:rPr>
              <w:t> </w:t>
            </w:r>
            <w:r>
              <w:rPr>
                <w:sz w:val="22"/>
              </w:rPr>
              <w:t>Std.</w:t>
            </w:r>
            <w:r>
              <w:rPr>
                <w:spacing w:val="-1"/>
                <w:sz w:val="22"/>
              </w:rPr>
              <w:t> </w:t>
            </w:r>
            <w:r>
              <w:rPr>
                <w:spacing w:val="-2"/>
                <w:sz w:val="22"/>
              </w:rPr>
              <w:t>Error</w:t>
            </w:r>
          </w:p>
        </w:tc>
        <w:tc>
          <w:tcPr>
            <w:tcW w:w="1823" w:type="dxa"/>
          </w:tcPr>
          <w:p>
            <w:pPr>
              <w:pStyle w:val="TableParagraph"/>
              <w:spacing w:line="246" w:lineRule="exact"/>
              <w:ind w:left="108"/>
              <w:rPr>
                <w:sz w:val="22"/>
              </w:rPr>
            </w:pPr>
            <w:r>
              <w:rPr>
                <w:spacing w:val="-2"/>
                <w:sz w:val="22"/>
              </w:rPr>
              <w:t>0.0655</w:t>
            </w:r>
          </w:p>
        </w:tc>
        <w:tc>
          <w:tcPr>
            <w:tcW w:w="2327" w:type="dxa"/>
          </w:tcPr>
          <w:p>
            <w:pPr>
              <w:pStyle w:val="TableParagraph"/>
              <w:spacing w:line="246" w:lineRule="exact"/>
              <w:ind w:left="108"/>
              <w:rPr>
                <w:sz w:val="22"/>
              </w:rPr>
            </w:pPr>
            <w:r>
              <w:rPr>
                <w:spacing w:val="-2"/>
                <w:sz w:val="22"/>
              </w:rPr>
              <w:t>0.3265</w:t>
            </w:r>
          </w:p>
        </w:tc>
        <w:tc>
          <w:tcPr>
            <w:tcW w:w="2706" w:type="dxa"/>
          </w:tcPr>
          <w:p>
            <w:pPr>
              <w:pStyle w:val="TableParagraph"/>
              <w:spacing w:line="246" w:lineRule="exact"/>
              <w:rPr>
                <w:sz w:val="22"/>
              </w:rPr>
            </w:pPr>
            <w:r>
              <w:rPr>
                <w:spacing w:val="-2"/>
                <w:sz w:val="22"/>
              </w:rPr>
              <w:t>0.0649</w:t>
            </w:r>
          </w:p>
        </w:tc>
      </w:tr>
      <w:tr>
        <w:trPr>
          <w:trHeight w:val="280" w:hRule="atLeast"/>
        </w:trPr>
        <w:tc>
          <w:tcPr>
            <w:tcW w:w="1410" w:type="dxa"/>
          </w:tcPr>
          <w:p>
            <w:pPr>
              <w:pStyle w:val="TableParagraph"/>
              <w:spacing w:line="246" w:lineRule="exact"/>
              <w:rPr>
                <w:sz w:val="22"/>
              </w:rPr>
            </w:pPr>
            <w:r>
              <w:rPr>
                <w:sz w:val="22"/>
              </w:rPr>
              <w:t>θ₂</w:t>
            </w:r>
            <w:r>
              <w:rPr>
                <w:spacing w:val="50"/>
                <w:sz w:val="22"/>
              </w:rPr>
              <w:t> </w:t>
            </w:r>
            <w:r>
              <w:rPr>
                <w:sz w:val="22"/>
              </w:rPr>
              <w:t>p-</w:t>
            </w:r>
            <w:r>
              <w:rPr>
                <w:spacing w:val="-2"/>
                <w:sz w:val="22"/>
              </w:rPr>
              <w:t>value</w:t>
            </w:r>
          </w:p>
        </w:tc>
        <w:tc>
          <w:tcPr>
            <w:tcW w:w="1823" w:type="dxa"/>
          </w:tcPr>
          <w:p>
            <w:pPr>
              <w:pStyle w:val="TableParagraph"/>
              <w:spacing w:line="246" w:lineRule="exact"/>
              <w:ind w:left="108"/>
              <w:rPr>
                <w:sz w:val="22"/>
              </w:rPr>
            </w:pPr>
            <w:r>
              <w:rPr>
                <w:spacing w:val="-2"/>
                <w:sz w:val="22"/>
              </w:rPr>
              <w:t>&lt;0.001</w:t>
            </w:r>
          </w:p>
        </w:tc>
        <w:tc>
          <w:tcPr>
            <w:tcW w:w="2327" w:type="dxa"/>
          </w:tcPr>
          <w:p>
            <w:pPr>
              <w:pStyle w:val="TableParagraph"/>
              <w:spacing w:line="246" w:lineRule="exact"/>
              <w:ind w:left="108"/>
              <w:rPr>
                <w:sz w:val="22"/>
              </w:rPr>
            </w:pPr>
            <w:r>
              <w:rPr>
                <w:sz w:val="22"/>
              </w:rPr>
              <w:t>0.106 </w:t>
            </w:r>
            <w:r>
              <w:rPr>
                <w:spacing w:val="-2"/>
                <w:sz w:val="22"/>
              </w:rPr>
              <w:t>(n.s.)</w:t>
            </w:r>
          </w:p>
        </w:tc>
        <w:tc>
          <w:tcPr>
            <w:tcW w:w="2706" w:type="dxa"/>
          </w:tcPr>
          <w:p>
            <w:pPr>
              <w:pStyle w:val="TableParagraph"/>
              <w:spacing w:line="246" w:lineRule="exact"/>
              <w:rPr>
                <w:sz w:val="22"/>
              </w:rPr>
            </w:pPr>
            <w:r>
              <w:rPr>
                <w:sz w:val="22"/>
              </w:rPr>
              <w:t>0.361 </w:t>
            </w:r>
            <w:r>
              <w:rPr>
                <w:spacing w:val="-2"/>
                <w:sz w:val="22"/>
              </w:rPr>
              <w:t>(n.s.)</w:t>
            </w:r>
          </w:p>
        </w:tc>
      </w:tr>
      <w:tr>
        <w:trPr>
          <w:trHeight w:val="280" w:hRule="atLeast"/>
        </w:trPr>
        <w:tc>
          <w:tcPr>
            <w:tcW w:w="1410" w:type="dxa"/>
          </w:tcPr>
          <w:p>
            <w:pPr>
              <w:pStyle w:val="TableParagraph"/>
              <w:spacing w:line="249" w:lineRule="exact"/>
              <w:rPr>
                <w:sz w:val="22"/>
              </w:rPr>
            </w:pPr>
            <w:r>
              <w:rPr>
                <w:sz w:val="22"/>
              </w:rPr>
              <w:t>θ₂</w:t>
            </w:r>
            <w:r>
              <w:rPr>
                <w:spacing w:val="52"/>
                <w:sz w:val="22"/>
              </w:rPr>
              <w:t> </w:t>
            </w:r>
            <w:r>
              <w:rPr>
                <w:sz w:val="22"/>
              </w:rPr>
              <w:t>95%</w:t>
            </w:r>
            <w:r>
              <w:rPr>
                <w:spacing w:val="-2"/>
                <w:sz w:val="22"/>
              </w:rPr>
              <w:t> </w:t>
            </w:r>
            <w:r>
              <w:rPr>
                <w:spacing w:val="-5"/>
                <w:sz w:val="22"/>
              </w:rPr>
              <w:t>CI</w:t>
            </w:r>
          </w:p>
        </w:tc>
        <w:tc>
          <w:tcPr>
            <w:tcW w:w="1823" w:type="dxa"/>
          </w:tcPr>
          <w:p>
            <w:pPr>
              <w:pStyle w:val="TableParagraph"/>
              <w:spacing w:line="249" w:lineRule="exact"/>
              <w:ind w:left="108"/>
              <w:rPr>
                <w:sz w:val="22"/>
              </w:rPr>
            </w:pPr>
            <w:r>
              <w:rPr>
                <w:sz w:val="22"/>
              </w:rPr>
              <w:t>[0.116,</w:t>
            </w:r>
            <w:r>
              <w:rPr>
                <w:spacing w:val="-3"/>
                <w:sz w:val="22"/>
              </w:rPr>
              <w:t> </w:t>
            </w:r>
            <w:r>
              <w:rPr>
                <w:spacing w:val="-2"/>
                <w:sz w:val="22"/>
              </w:rPr>
              <w:t>0.377]</w:t>
            </w:r>
          </w:p>
        </w:tc>
        <w:tc>
          <w:tcPr>
            <w:tcW w:w="2327" w:type="dxa"/>
          </w:tcPr>
          <w:p>
            <w:pPr>
              <w:pStyle w:val="TableParagraph"/>
              <w:spacing w:line="249" w:lineRule="exact"/>
              <w:ind w:left="108"/>
              <w:rPr>
                <w:sz w:val="22"/>
              </w:rPr>
            </w:pPr>
            <w:r>
              <w:rPr>
                <w:sz w:val="22"/>
              </w:rPr>
              <w:t>[−0.228, </w:t>
            </w:r>
            <w:r>
              <w:rPr>
                <w:spacing w:val="-2"/>
                <w:sz w:val="22"/>
              </w:rPr>
              <w:t>1.585]</w:t>
            </w:r>
          </w:p>
        </w:tc>
        <w:tc>
          <w:tcPr>
            <w:tcW w:w="2706" w:type="dxa"/>
          </w:tcPr>
          <w:p>
            <w:pPr>
              <w:pStyle w:val="TableParagraph"/>
              <w:spacing w:line="249" w:lineRule="exact"/>
              <w:rPr>
                <w:sz w:val="22"/>
              </w:rPr>
            </w:pPr>
            <w:r>
              <w:rPr>
                <w:sz w:val="22"/>
              </w:rPr>
              <w:t>[−0.070, </w:t>
            </w:r>
            <w:r>
              <w:rPr>
                <w:spacing w:val="-2"/>
                <w:sz w:val="22"/>
              </w:rPr>
              <w:t>0.189]</w:t>
            </w:r>
          </w:p>
        </w:tc>
      </w:tr>
      <w:tr>
        <w:trPr>
          <w:trHeight w:val="280" w:hRule="atLeast"/>
        </w:trPr>
        <w:tc>
          <w:tcPr>
            <w:tcW w:w="1410" w:type="dxa"/>
          </w:tcPr>
          <w:p>
            <w:pPr>
              <w:pStyle w:val="TableParagraph"/>
              <w:spacing w:line="249" w:lineRule="exact"/>
              <w:rPr>
                <w:sz w:val="22"/>
              </w:rPr>
            </w:pPr>
            <w:r>
              <w:rPr>
                <w:sz w:val="22"/>
              </w:rPr>
              <w:t>Sign</w:t>
            </w:r>
            <w:r>
              <w:rPr>
                <w:spacing w:val="-3"/>
                <w:sz w:val="22"/>
              </w:rPr>
              <w:t> </w:t>
            </w:r>
            <w:r>
              <w:rPr>
                <w:spacing w:val="-2"/>
                <w:sz w:val="22"/>
              </w:rPr>
              <w:t>positive?</w:t>
            </w:r>
          </w:p>
        </w:tc>
        <w:tc>
          <w:tcPr>
            <w:tcW w:w="1823" w:type="dxa"/>
          </w:tcPr>
          <w:p>
            <w:pPr>
              <w:pStyle w:val="TableParagraph"/>
              <w:spacing w:line="249" w:lineRule="exact"/>
              <w:ind w:left="108"/>
              <w:rPr>
                <w:sz w:val="22"/>
              </w:rPr>
            </w:pPr>
            <w:r>
              <w:rPr>
                <w:spacing w:val="-5"/>
                <w:sz w:val="22"/>
              </w:rPr>
              <w:t>Yes</w:t>
            </w:r>
          </w:p>
        </w:tc>
        <w:tc>
          <w:tcPr>
            <w:tcW w:w="2327" w:type="dxa"/>
          </w:tcPr>
          <w:p>
            <w:pPr>
              <w:pStyle w:val="TableParagraph"/>
              <w:spacing w:line="249" w:lineRule="exact"/>
              <w:ind w:left="108"/>
              <w:rPr>
                <w:sz w:val="22"/>
              </w:rPr>
            </w:pPr>
            <w:r>
              <w:rPr>
                <w:sz w:val="22"/>
              </w:rPr>
              <w:t>Yes</w:t>
            </w:r>
            <w:r>
              <w:rPr>
                <w:spacing w:val="-2"/>
                <w:sz w:val="22"/>
              </w:rPr>
              <w:t> (imprecise)</w:t>
            </w:r>
          </w:p>
        </w:tc>
        <w:tc>
          <w:tcPr>
            <w:tcW w:w="2706" w:type="dxa"/>
          </w:tcPr>
          <w:p>
            <w:pPr>
              <w:pStyle w:val="TableParagraph"/>
              <w:spacing w:line="249" w:lineRule="exact"/>
              <w:rPr>
                <w:sz w:val="22"/>
              </w:rPr>
            </w:pPr>
            <w:r>
              <w:rPr>
                <w:sz w:val="22"/>
              </w:rPr>
              <w:t>Yes</w:t>
            </w:r>
            <w:r>
              <w:rPr>
                <w:spacing w:val="-4"/>
                <w:sz w:val="22"/>
              </w:rPr>
              <w:t> </w:t>
            </w:r>
            <w:r>
              <w:rPr>
                <w:spacing w:val="-2"/>
                <w:sz w:val="22"/>
              </w:rPr>
              <w:t>(imprecise)</w:t>
            </w:r>
          </w:p>
        </w:tc>
      </w:tr>
      <w:tr>
        <w:trPr>
          <w:trHeight w:val="280" w:hRule="atLeast"/>
        </w:trPr>
        <w:tc>
          <w:tcPr>
            <w:tcW w:w="1410" w:type="dxa"/>
          </w:tcPr>
          <w:p>
            <w:pPr>
              <w:pStyle w:val="TableParagraph"/>
              <w:spacing w:line="249" w:lineRule="exact"/>
              <w:rPr>
                <w:sz w:val="22"/>
              </w:rPr>
            </w:pPr>
            <w:r>
              <w:rPr>
                <w:spacing w:val="-5"/>
                <w:sz w:val="22"/>
              </w:rPr>
              <w:t>R²</w:t>
            </w:r>
          </w:p>
        </w:tc>
        <w:tc>
          <w:tcPr>
            <w:tcW w:w="1823" w:type="dxa"/>
          </w:tcPr>
          <w:p>
            <w:pPr>
              <w:pStyle w:val="TableParagraph"/>
              <w:spacing w:line="249" w:lineRule="exact"/>
              <w:ind w:left="108"/>
              <w:rPr>
                <w:sz w:val="22"/>
              </w:rPr>
            </w:pPr>
            <w:r>
              <w:rPr>
                <w:spacing w:val="-2"/>
                <w:sz w:val="22"/>
              </w:rPr>
              <w:t>0.553</w:t>
            </w:r>
          </w:p>
        </w:tc>
        <w:tc>
          <w:tcPr>
            <w:tcW w:w="2327" w:type="dxa"/>
          </w:tcPr>
          <w:p>
            <w:pPr>
              <w:pStyle w:val="TableParagraph"/>
              <w:spacing w:line="249" w:lineRule="exact"/>
              <w:ind w:left="108"/>
              <w:rPr>
                <w:sz w:val="22"/>
              </w:rPr>
            </w:pPr>
            <w:r>
              <w:rPr>
                <w:spacing w:val="-2"/>
                <w:sz w:val="22"/>
              </w:rPr>
              <w:t>0.562</w:t>
            </w:r>
          </w:p>
        </w:tc>
        <w:tc>
          <w:tcPr>
            <w:tcW w:w="2706" w:type="dxa"/>
          </w:tcPr>
          <w:p>
            <w:pPr>
              <w:pStyle w:val="TableParagraph"/>
              <w:spacing w:line="249" w:lineRule="exact"/>
              <w:rPr>
                <w:sz w:val="22"/>
              </w:rPr>
            </w:pPr>
            <w:r>
              <w:rPr>
                <w:spacing w:val="-2"/>
                <w:sz w:val="22"/>
              </w:rPr>
              <w:t>0.385</w:t>
            </w:r>
          </w:p>
        </w:tc>
      </w:tr>
    </w:tbl>
    <w:p>
      <w:pPr>
        <w:pStyle w:val="BodyText"/>
        <w:ind w:right="302"/>
      </w:pPr>
      <w:r>
        <w:rPr>
          <w:b/>
        </w:rPr>
        <w:t>Notes: </w:t>
      </w:r>
      <w:r>
        <w:rPr/>
        <w:t>Regime 1: S&gt;0.70 and D&gt;0.70 (n=7; 2023 digital bank-run episodes). Regime 2: all other episodes (n=74; traditional crisis). The digital-regime estimate (θ₂=0.6783) is not statistically significant (p=0.106, CI includes zero), so inference</w:t>
      </w:r>
      <w:r>
        <w:rPr>
          <w:spacing w:val="33"/>
        </w:rPr>
        <w:t> </w:t>
      </w:r>
      <w:r>
        <w:rPr/>
        <w:t>is</w:t>
      </w:r>
      <w:r>
        <w:rPr>
          <w:spacing w:val="34"/>
        </w:rPr>
        <w:t> </w:t>
      </w:r>
      <w:r>
        <w:rPr/>
        <w:t>limited</w:t>
      </w:r>
      <w:r>
        <w:rPr>
          <w:spacing w:val="34"/>
        </w:rPr>
        <w:t> </w:t>
      </w:r>
      <w:r>
        <w:rPr/>
        <w:t>to sign consistency across regimes. The pooled full-panel estimate (θ₂=0.2466, p&lt;0.001) is the primary result. MCMC non-convergence reflects intercept and θ₁</w:t>
      </w:r>
      <w:r>
        <w:rPr>
          <w:spacing w:val="40"/>
        </w:rPr>
        <w:t> </w:t>
      </w:r>
      <w:r>
        <w:rPr/>
        <w:t>heterogeneity across</w:t>
      </w:r>
      <w:r>
        <w:rPr>
          <w:spacing w:val="40"/>
        </w:rPr>
        <w:t> </w:t>
      </w:r>
      <w:r>
        <w:rPr/>
        <w:t>regimes,</w:t>
      </w:r>
      <w:r>
        <w:rPr>
          <w:spacing w:val="40"/>
        </w:rPr>
        <w:t> </w:t>
      </w:r>
      <w:r>
        <w:rPr/>
        <w:t>not</w:t>
      </w:r>
      <w:r>
        <w:rPr>
          <w:spacing w:val="40"/>
        </w:rPr>
        <w:t> </w:t>
      </w:r>
      <w:r>
        <w:rPr/>
        <w:t>θ₂</w:t>
      </w:r>
      <w:r>
        <w:rPr>
          <w:spacing w:val="80"/>
        </w:rPr>
        <w:t> </w:t>
      </w:r>
      <w:r>
        <w:rPr/>
        <w:t>instability.</w:t>
      </w:r>
      <w:r>
        <w:rPr>
          <w:spacing w:val="40"/>
        </w:rPr>
        <w:t> </w:t>
      </w:r>
      <w:r>
        <w:rPr/>
        <w:t>OLS</w:t>
      </w:r>
      <w:r>
        <w:rPr>
          <w:spacing w:val="40"/>
        </w:rPr>
        <w:t> </w:t>
      </w:r>
      <w:r>
        <w:rPr/>
        <w:t>95%</w:t>
      </w:r>
      <w:r>
        <w:rPr>
          <w:spacing w:val="40"/>
        </w:rPr>
        <w:t> </w:t>
      </w:r>
      <w:r>
        <w:rPr/>
        <w:t>CIs</w:t>
      </w:r>
      <w:r>
        <w:rPr>
          <w:spacing w:val="40"/>
        </w:rPr>
        <w:t> </w:t>
      </w:r>
      <w:r>
        <w:rPr/>
        <w:t>(frequentist)</w:t>
      </w:r>
      <w:r>
        <w:rPr>
          <w:spacing w:val="40"/>
        </w:rPr>
        <w:t> </w:t>
      </w:r>
      <w:r>
        <w:rPr/>
        <w:t>are</w:t>
      </w:r>
      <w:r>
        <w:rPr>
          <w:spacing w:val="40"/>
        </w:rPr>
        <w:t> </w:t>
      </w:r>
      <w:r>
        <w:rPr/>
        <w:t>the</w:t>
      </w:r>
      <w:r>
        <w:rPr>
          <w:spacing w:val="40"/>
        </w:rPr>
        <w:t> </w:t>
      </w:r>
      <w:r>
        <w:rPr/>
        <w:t>appropriate uncertainty measure here.</w:t>
      </w:r>
    </w:p>
    <w:p>
      <w:pPr>
        <w:pStyle w:val="Heading2"/>
        <w:numPr>
          <w:ilvl w:val="1"/>
          <w:numId w:val="1"/>
        </w:numPr>
        <w:tabs>
          <w:tab w:pos="457" w:val="left" w:leader="none"/>
        </w:tabs>
        <w:spacing w:line="240" w:lineRule="auto" w:before="235" w:after="0"/>
        <w:ind w:left="457" w:right="0" w:hanging="358"/>
        <w:jc w:val="both"/>
        <w:rPr>
          <w:i/>
        </w:rPr>
      </w:pPr>
      <w:r>
        <w:rPr>
          <w:i/>
        </w:rPr>
        <w:t>Estimator</w:t>
      </w:r>
      <w:r>
        <w:rPr>
          <w:i/>
          <w:spacing w:val="-14"/>
        </w:rPr>
        <w:t> </w:t>
      </w:r>
      <w:r>
        <w:rPr>
          <w:i/>
        </w:rPr>
        <w:t>Choice</w:t>
      </w:r>
      <w:r>
        <w:rPr>
          <w:i/>
          <w:spacing w:val="-12"/>
        </w:rPr>
        <w:t> </w:t>
      </w:r>
      <w:r>
        <w:rPr>
          <w:i/>
        </w:rPr>
        <w:t>After</w:t>
      </w:r>
      <w:r>
        <w:rPr>
          <w:i/>
          <w:spacing w:val="-12"/>
        </w:rPr>
        <w:t> </w:t>
      </w:r>
      <w:r>
        <w:rPr>
          <w:i/>
        </w:rPr>
        <w:t>MCMC</w:t>
      </w:r>
      <w:r>
        <w:rPr>
          <w:i/>
          <w:spacing w:val="-13"/>
        </w:rPr>
        <w:t> </w:t>
      </w:r>
      <w:r>
        <w:rPr>
          <w:i/>
        </w:rPr>
        <w:t>Non-</w:t>
      </w:r>
      <w:r>
        <w:rPr>
          <w:i/>
          <w:spacing w:val="-2"/>
        </w:rPr>
        <w:t>Convergence</w:t>
      </w:r>
    </w:p>
    <w:p>
      <w:pPr>
        <w:pStyle w:val="BodyText"/>
        <w:spacing w:before="80"/>
        <w:ind w:left="0"/>
        <w:rPr>
          <w:b/>
          <w:i/>
        </w:rPr>
      </w:pPr>
    </w:p>
    <w:p>
      <w:pPr>
        <w:pStyle w:val="BodyText"/>
        <w:spacing w:line="480" w:lineRule="auto" w:before="1"/>
        <w:ind w:right="377"/>
        <w:jc w:val="both"/>
      </w:pPr>
      <w:r>
        <w:rPr/>
        <w:t>Non-converged MCMC output (R̂ &gt; 1.05) supports no headline claim; false precision from non-converged chains is avoided by using frequentist OLS/MLE CIs as the primary</w:t>
      </w:r>
      <w:r>
        <w:rPr>
          <w:spacing w:val="-1"/>
        </w:rPr>
        <w:t> </w:t>
      </w:r>
      <w:r>
        <w:rPr/>
        <w:t>uncertainty</w:t>
      </w:r>
      <w:r>
        <w:rPr>
          <w:spacing w:val="-1"/>
        </w:rPr>
        <w:t> </w:t>
      </w:r>
      <w:r>
        <w:rPr/>
        <w:t>measure. The two-regime OLS split (Table 2d) tests sign stability across observable regimes; it is a robustness diagnostic, not a converged joint posterior.</w:t>
      </w:r>
      <w:r>
        <w:rPr>
          <w:spacing w:val="40"/>
        </w:rPr>
        <w:t> </w:t>
      </w:r>
      <w:r>
        <w:rPr/>
        <w:t>The</w:t>
      </w:r>
      <w:r>
        <w:rPr>
          <w:spacing w:val="40"/>
        </w:rPr>
        <w:t> </w:t>
      </w:r>
      <w:r>
        <w:rPr/>
        <w:t>paper</w:t>
      </w:r>
      <w:r>
        <w:rPr>
          <w:spacing w:val="40"/>
        </w:rPr>
        <w:t> </w:t>
      </w:r>
      <w:r>
        <w:rPr/>
        <w:t>is</w:t>
      </w:r>
      <w:r>
        <w:rPr>
          <w:spacing w:val="40"/>
        </w:rPr>
        <w:t> </w:t>
      </w:r>
      <w:r>
        <w:rPr/>
        <w:t>a</w:t>
      </w:r>
      <w:r>
        <w:rPr>
          <w:spacing w:val="40"/>
        </w:rPr>
        <w:t> </w:t>
      </w:r>
      <w:r>
        <w:rPr/>
        <w:t>frequentist</w:t>
      </w:r>
      <w:r>
        <w:rPr>
          <w:spacing w:val="40"/>
        </w:rPr>
        <w:t> </w:t>
      </w:r>
      <w:r>
        <w:rPr/>
        <w:t>calibration</w:t>
      </w:r>
      <w:r>
        <w:rPr>
          <w:spacing w:val="40"/>
        </w:rPr>
        <w:t> </w:t>
      </w:r>
      <w:r>
        <w:rPr/>
        <w:t>plus</w:t>
      </w:r>
      <w:r>
        <w:rPr>
          <w:spacing w:val="40"/>
        </w:rPr>
        <w:t> </w:t>
      </w:r>
      <w:r>
        <w:rPr/>
        <w:t>comparative</w:t>
      </w:r>
      <w:r>
        <w:rPr>
          <w:spacing w:val="40"/>
        </w:rPr>
        <w:t> </w:t>
      </w:r>
      <w:r>
        <w:rPr/>
        <w:t>Monte</w:t>
      </w:r>
      <w:r>
        <w:rPr>
          <w:spacing w:val="40"/>
        </w:rPr>
        <w:t> </w:t>
      </w:r>
      <w:r>
        <w:rPr/>
        <w:t>Carlo stress-test; full mixture-model estimation (Section 7.4, priority vi) is a priority methodological extension.</w:t>
      </w:r>
    </w:p>
    <w:p>
      <w:pPr>
        <w:pStyle w:val="Heading2"/>
        <w:numPr>
          <w:ilvl w:val="1"/>
          <w:numId w:val="1"/>
        </w:numPr>
        <w:tabs>
          <w:tab w:pos="457" w:val="left" w:leader="none"/>
        </w:tabs>
        <w:spacing w:line="240" w:lineRule="auto" w:before="235" w:after="0"/>
        <w:ind w:left="457" w:right="0" w:hanging="358"/>
        <w:jc w:val="both"/>
        <w:rPr>
          <w:i/>
        </w:rPr>
      </w:pPr>
      <w:r>
        <w:rPr>
          <w:i/>
          <w:spacing w:val="-2"/>
        </w:rPr>
        <w:t>Simulation</w:t>
      </w:r>
      <w:r>
        <w:rPr>
          <w:i/>
          <w:spacing w:val="2"/>
        </w:rPr>
        <w:t> </w:t>
      </w:r>
      <w:r>
        <w:rPr>
          <w:i/>
          <w:spacing w:val="-2"/>
        </w:rPr>
        <w:t>Parameters:</w:t>
      </w:r>
      <w:r>
        <w:rPr>
          <w:i/>
          <w:spacing w:val="4"/>
        </w:rPr>
        <w:t> </w:t>
      </w:r>
      <w:r>
        <w:rPr>
          <w:i/>
          <w:spacing w:val="-2"/>
        </w:rPr>
        <w:t>Literature-Bounded</w:t>
      </w:r>
      <w:r>
        <w:rPr>
          <w:i/>
          <w:spacing w:val="5"/>
        </w:rPr>
        <w:t> </w:t>
      </w:r>
      <w:r>
        <w:rPr>
          <w:i/>
          <w:spacing w:val="-2"/>
        </w:rPr>
        <w:t>(Table</w:t>
      </w:r>
      <w:r>
        <w:rPr>
          <w:i/>
          <w:spacing w:val="3"/>
        </w:rPr>
        <w:t> </w:t>
      </w:r>
      <w:r>
        <w:rPr>
          <w:i/>
          <w:spacing w:val="-5"/>
        </w:rPr>
        <w:t>3)</w:t>
      </w:r>
    </w:p>
    <w:p>
      <w:pPr>
        <w:pStyle w:val="BodyText"/>
        <w:spacing w:before="81"/>
        <w:ind w:left="0"/>
        <w:rPr>
          <w:b/>
          <w:i/>
        </w:rPr>
      </w:pPr>
    </w:p>
    <w:p>
      <w:pPr>
        <w:pStyle w:val="BodyText"/>
        <w:spacing w:line="480" w:lineRule="auto"/>
        <w:ind w:right="240"/>
      </w:pPr>
      <w:r>
        <w:rPr/>
        <w:t>The six</w:t>
      </w:r>
      <w:r>
        <w:rPr>
          <w:spacing w:val="40"/>
        </w:rPr>
        <w:t> </w:t>
      </w:r>
      <w:r>
        <w:rPr/>
        <w:t>CBDC-specific simulation</w:t>
      </w:r>
      <w:r>
        <w:rPr>
          <w:spacing w:val="40"/>
        </w:rPr>
        <w:t> </w:t>
      </w:r>
      <w:r>
        <w:rPr/>
        <w:t>parameters</w:t>
      </w:r>
      <w:r>
        <w:rPr>
          <w:spacing w:val="40"/>
        </w:rPr>
        <w:t> </w:t>
      </w:r>
      <w:r>
        <w:rPr/>
        <w:t>are not</w:t>
      </w:r>
      <w:r>
        <w:rPr>
          <w:spacing w:val="40"/>
        </w:rPr>
        <w:t> </w:t>
      </w:r>
      <w:r>
        <w:rPr/>
        <w:t>directly identifiable</w:t>
      </w:r>
      <w:r>
        <w:rPr>
          <w:spacing w:val="40"/>
        </w:rPr>
        <w:t> </w:t>
      </w:r>
      <w:r>
        <w:rPr/>
        <w:t>from</w:t>
      </w:r>
      <w:r>
        <w:rPr>
          <w:spacing w:val="40"/>
        </w:rPr>
        <w:t> </w:t>
      </w:r>
      <w:r>
        <w:rPr/>
        <w:t>the pre-CBDC crisis panel and are bounded by meta-analytic literature ranges. θ₂=0.2466 provides a plausibility check; the empirical estimate θ₂=0.2466 falls slightly above the literature-motivated</w:t>
      </w:r>
      <w:r>
        <w:rPr>
          <w:spacing w:val="26"/>
        </w:rPr>
        <w:t> </w:t>
      </w:r>
      <w:r>
        <w:rPr/>
        <w:t>product</w:t>
      </w:r>
      <w:r>
        <w:rPr>
          <w:spacing w:val="27"/>
        </w:rPr>
        <w:t> </w:t>
      </w:r>
      <w:r>
        <w:rPr/>
        <w:t>range</w:t>
      </w:r>
      <w:r>
        <w:rPr>
          <w:spacing w:val="28"/>
        </w:rPr>
        <w:t> </w:t>
      </w:r>
      <w:r>
        <w:rPr/>
        <w:t>[f_c_lo×ω_o_lo,</w:t>
      </w:r>
      <w:r>
        <w:rPr>
          <w:spacing w:val="26"/>
        </w:rPr>
        <w:t> </w:t>
      </w:r>
      <w:r>
        <w:rPr/>
        <w:t>f_c_hi×ω_o_hi]</w:t>
      </w:r>
      <w:r>
        <w:rPr>
          <w:spacing w:val="29"/>
        </w:rPr>
        <w:t> </w:t>
      </w:r>
      <w:r>
        <w:rPr/>
        <w:t>= [0.081,</w:t>
      </w:r>
      <w:r>
        <w:rPr>
          <w:spacing w:val="26"/>
        </w:rPr>
        <w:t> </w:t>
      </w:r>
      <w:r>
        <w:rPr/>
        <w:t>0.245], so</w:t>
      </w:r>
      <w:r>
        <w:rPr>
          <w:spacing w:val="80"/>
        </w:rPr>
        <w:t> </w:t>
      </w:r>
      <w:r>
        <w:rPr/>
        <w:t>the</w:t>
      </w:r>
      <w:r>
        <w:rPr>
          <w:spacing w:val="80"/>
        </w:rPr>
        <w:t> </w:t>
      </w:r>
      <w:r>
        <w:rPr/>
        <w:t>simulation’s</w:t>
      </w:r>
      <w:r>
        <w:rPr>
          <w:spacing w:val="80"/>
        </w:rPr>
        <w:t> </w:t>
      </w:r>
      <w:r>
        <w:rPr/>
        <w:t>CBDC-specific</w:t>
      </w:r>
      <w:r>
        <w:rPr>
          <w:spacing w:val="80"/>
        </w:rPr>
        <w:t> </w:t>
      </w:r>
      <w:r>
        <w:rPr/>
        <w:t>parameters</w:t>
      </w:r>
      <w:r>
        <w:rPr>
          <w:spacing w:val="80"/>
        </w:rPr>
        <w:t> </w:t>
      </w:r>
      <w:r>
        <w:rPr/>
        <w:t>are</w:t>
      </w:r>
      <w:r>
        <w:rPr>
          <w:spacing w:val="80"/>
        </w:rPr>
        <w:t> </w:t>
      </w:r>
      <w:r>
        <w:rPr/>
        <w:t>consistent</w:t>
      </w:r>
      <w:r>
        <w:rPr>
          <w:spacing w:val="80"/>
        </w:rPr>
        <w:t> </w:t>
      </w:r>
      <w:r>
        <w:rPr/>
        <w:t>in</w:t>
      </w:r>
      <w:r>
        <w:rPr>
          <w:spacing w:val="80"/>
        </w:rPr>
        <w:t> </w:t>
      </w:r>
      <w:r>
        <w:rPr/>
        <w:t>sign</w:t>
      </w:r>
      <w:r>
        <w:rPr>
          <w:spacing w:val="80"/>
        </w:rPr>
        <w:t> </w:t>
      </w:r>
      <w:r>
        <w:rPr/>
        <w:t>with,</w:t>
      </w:r>
      <w:r>
        <w:rPr>
          <w:spacing w:val="80"/>
        </w:rPr>
        <w:t> </w:t>
      </w:r>
      <w:r>
        <w:rPr/>
        <w:t>but somewhat conservative</w:t>
      </w:r>
      <w:r>
        <w:rPr>
          <w:spacing w:val="40"/>
        </w:rPr>
        <w:t> </w:t>
      </w:r>
      <w:r>
        <w:rPr/>
        <w:t>relative</w:t>
      </w:r>
      <w:r>
        <w:rPr>
          <w:spacing w:val="40"/>
        </w:rPr>
        <w:t> </w:t>
      </w:r>
      <w:r>
        <w:rPr/>
        <w:t>to, the reconciled</w:t>
      </w:r>
      <w:r>
        <w:rPr>
          <w:spacing w:val="40"/>
        </w:rPr>
        <w:t> </w:t>
      </w:r>
      <w:r>
        <w:rPr/>
        <w:t>reduced-form</w:t>
      </w:r>
      <w:r>
        <w:rPr>
          <w:spacing w:val="40"/>
        </w:rPr>
        <w:t> </w:t>
      </w:r>
      <w:r>
        <w:rPr/>
        <w:t>estimate (limitation L6, revised). This distinction governs the strength of all claims.</w:t>
      </w:r>
    </w:p>
    <w:p>
      <w:pPr>
        <w:pStyle w:val="BodyText"/>
        <w:spacing w:after="0" w:line="480" w:lineRule="auto"/>
        <w:sectPr>
          <w:pgSz w:w="11900" w:h="16820"/>
          <w:pgMar w:header="714" w:footer="0" w:top="1340" w:bottom="280" w:left="1700" w:right="1417"/>
        </w:sectPr>
      </w:pPr>
    </w:p>
    <w:p>
      <w:pPr>
        <w:pStyle w:val="BodyText"/>
        <w:spacing w:before="43"/>
        <w:ind w:left="0"/>
      </w:pPr>
    </w:p>
    <w:p>
      <w:pPr>
        <w:pStyle w:val="Heading1"/>
        <w:ind w:left="115"/>
      </w:pPr>
      <w:r>
        <w:rPr>
          <w:spacing w:val="-14"/>
        </w:rPr>
        <w:t>Table3.</w:t>
      </w:r>
      <w:r>
        <w:rPr>
          <w:spacing w:val="-3"/>
        </w:rPr>
        <w:t> </w:t>
      </w:r>
      <w:r>
        <w:rPr>
          <w:spacing w:val="-14"/>
        </w:rPr>
        <w:t>Simulation</w:t>
      </w:r>
      <w:r>
        <w:rPr>
          <w:spacing w:val="-11"/>
        </w:rPr>
        <w:t> </w:t>
      </w:r>
      <w:r>
        <w:rPr>
          <w:spacing w:val="-14"/>
        </w:rPr>
        <w:t>Parameter</w:t>
      </w:r>
      <w:r>
        <w:rPr>
          <w:spacing w:val="-6"/>
        </w:rPr>
        <w:t> </w:t>
      </w:r>
      <w:r>
        <w:rPr>
          <w:spacing w:val="-14"/>
        </w:rPr>
        <w:t>Literature</w:t>
      </w:r>
      <w:r>
        <w:rPr>
          <w:spacing w:val="-10"/>
        </w:rPr>
        <w:t> </w:t>
      </w:r>
      <w:r>
        <w:rPr>
          <w:spacing w:val="-14"/>
        </w:rPr>
        <w:t>Ranges</w:t>
      </w:r>
      <w:r>
        <w:rPr>
          <w:spacing w:val="-6"/>
        </w:rPr>
        <w:t> </w:t>
      </w:r>
      <w:r>
        <w:rPr>
          <w:spacing w:val="-14"/>
        </w:rPr>
        <w:t>(Six</w:t>
      </w:r>
      <w:r>
        <w:rPr>
          <w:spacing w:val="-11"/>
        </w:rPr>
        <w:t> </w:t>
      </w:r>
      <w:r>
        <w:rPr>
          <w:spacing w:val="-14"/>
        </w:rPr>
        <w:t>CBDC-Specific</w:t>
      </w:r>
      <w:r>
        <w:rPr>
          <w:spacing w:val="-7"/>
        </w:rPr>
        <w:t> </w:t>
      </w:r>
      <w:r>
        <w:rPr>
          <w:spacing w:val="-14"/>
        </w:rPr>
        <w:t>Outflow</w:t>
      </w:r>
      <w:r>
        <w:rPr>
          <w:spacing w:val="-15"/>
        </w:rPr>
        <w:t> </w:t>
      </w:r>
      <w:r>
        <w:rPr>
          <w:spacing w:val="-14"/>
        </w:rPr>
        <w:t>Coefficients)</w:t>
      </w:r>
    </w:p>
    <w:p>
      <w:pPr>
        <w:pStyle w:val="BodyText"/>
        <w:spacing w:before="11"/>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9"/>
        <w:gridCol w:w="2015"/>
        <w:gridCol w:w="1139"/>
        <w:gridCol w:w="1799"/>
        <w:gridCol w:w="1569"/>
      </w:tblGrid>
      <w:tr>
        <w:trPr>
          <w:trHeight w:val="570" w:hRule="atLeast"/>
        </w:trPr>
        <w:tc>
          <w:tcPr>
            <w:tcW w:w="1809" w:type="dxa"/>
          </w:tcPr>
          <w:p>
            <w:pPr>
              <w:pStyle w:val="TableParagraph"/>
              <w:spacing w:before="139"/>
              <w:ind w:left="402"/>
              <w:rPr>
                <w:b/>
                <w:sz w:val="22"/>
              </w:rPr>
            </w:pPr>
            <w:r>
              <w:rPr>
                <w:b/>
                <w:spacing w:val="-2"/>
                <w:sz w:val="22"/>
              </w:rPr>
              <w:t>Parameter</w:t>
            </w:r>
          </w:p>
        </w:tc>
        <w:tc>
          <w:tcPr>
            <w:tcW w:w="2015" w:type="dxa"/>
          </w:tcPr>
          <w:p>
            <w:pPr>
              <w:pStyle w:val="TableParagraph"/>
              <w:spacing w:before="139"/>
              <w:ind w:left="651"/>
              <w:rPr>
                <w:b/>
                <w:sz w:val="22"/>
              </w:rPr>
            </w:pPr>
            <w:r>
              <w:rPr>
                <w:b/>
                <w:spacing w:val="-2"/>
                <w:sz w:val="22"/>
              </w:rPr>
              <w:t>Symbol</w:t>
            </w:r>
          </w:p>
        </w:tc>
        <w:tc>
          <w:tcPr>
            <w:tcW w:w="1139" w:type="dxa"/>
          </w:tcPr>
          <w:p>
            <w:pPr>
              <w:pStyle w:val="TableParagraph"/>
              <w:spacing w:line="246" w:lineRule="exact"/>
              <w:ind w:left="10"/>
              <w:jc w:val="center"/>
              <w:rPr>
                <w:b/>
                <w:sz w:val="22"/>
              </w:rPr>
            </w:pPr>
            <w:r>
              <w:rPr>
                <w:b/>
                <w:spacing w:val="-2"/>
                <w:sz w:val="22"/>
              </w:rPr>
              <w:t>Point</w:t>
            </w:r>
          </w:p>
          <w:p>
            <w:pPr>
              <w:pStyle w:val="TableParagraph"/>
              <w:spacing w:before="39"/>
              <w:ind w:left="10" w:right="2"/>
              <w:jc w:val="center"/>
              <w:rPr>
                <w:b/>
                <w:sz w:val="22"/>
              </w:rPr>
            </w:pPr>
            <w:r>
              <w:rPr>
                <w:b/>
                <w:spacing w:val="-2"/>
                <w:sz w:val="22"/>
              </w:rPr>
              <w:t>estimate</w:t>
            </w:r>
          </w:p>
        </w:tc>
        <w:tc>
          <w:tcPr>
            <w:tcW w:w="1799" w:type="dxa"/>
          </w:tcPr>
          <w:p>
            <w:pPr>
              <w:pStyle w:val="TableParagraph"/>
              <w:spacing w:before="139"/>
              <w:ind w:left="114"/>
              <w:rPr>
                <w:b/>
                <w:sz w:val="22"/>
              </w:rPr>
            </w:pPr>
            <w:r>
              <w:rPr>
                <w:b/>
                <w:sz w:val="22"/>
              </w:rPr>
              <w:t>Literature</w:t>
            </w:r>
            <w:r>
              <w:rPr>
                <w:b/>
                <w:spacing w:val="-8"/>
                <w:sz w:val="22"/>
              </w:rPr>
              <w:t> </w:t>
            </w:r>
            <w:r>
              <w:rPr>
                <w:b/>
                <w:spacing w:val="-2"/>
                <w:sz w:val="22"/>
              </w:rPr>
              <w:t>range</w:t>
            </w:r>
          </w:p>
        </w:tc>
        <w:tc>
          <w:tcPr>
            <w:tcW w:w="1569" w:type="dxa"/>
          </w:tcPr>
          <w:p>
            <w:pPr>
              <w:pStyle w:val="TableParagraph"/>
              <w:spacing w:before="139"/>
              <w:ind w:left="460"/>
              <w:rPr>
                <w:b/>
                <w:sz w:val="22"/>
              </w:rPr>
            </w:pPr>
            <w:r>
              <w:rPr>
                <w:b/>
                <w:spacing w:val="-2"/>
                <w:sz w:val="22"/>
              </w:rPr>
              <w:t>Source</w:t>
            </w:r>
          </w:p>
        </w:tc>
      </w:tr>
      <w:tr>
        <w:trPr>
          <w:trHeight w:val="1732" w:hRule="atLeast"/>
        </w:trPr>
        <w:tc>
          <w:tcPr>
            <w:tcW w:w="1809" w:type="dxa"/>
          </w:tcPr>
          <w:p>
            <w:pPr>
              <w:pStyle w:val="TableParagraph"/>
              <w:spacing w:before="179"/>
              <w:ind w:left="0"/>
              <w:rPr>
                <w:b/>
                <w:sz w:val="22"/>
              </w:rPr>
            </w:pPr>
          </w:p>
          <w:p>
            <w:pPr>
              <w:pStyle w:val="TableParagraph"/>
              <w:spacing w:line="276" w:lineRule="auto"/>
              <w:ind w:right="159"/>
              <w:rPr>
                <w:sz w:val="22"/>
              </w:rPr>
            </w:pPr>
            <w:r>
              <w:rPr>
                <w:spacing w:val="-2"/>
                <w:sz w:val="22"/>
              </w:rPr>
              <w:t>Digital-</w:t>
            </w:r>
            <w:r>
              <w:rPr>
                <w:spacing w:val="-2"/>
                <w:sz w:val="22"/>
              </w:rPr>
              <w:t>channel outflow sensitivity</w:t>
            </w:r>
          </w:p>
        </w:tc>
        <w:tc>
          <w:tcPr>
            <w:tcW w:w="2015" w:type="dxa"/>
          </w:tcPr>
          <w:p>
            <w:pPr>
              <w:pStyle w:val="TableParagraph"/>
              <w:ind w:left="0"/>
              <w:rPr>
                <w:b/>
                <w:sz w:val="22"/>
              </w:rPr>
            </w:pPr>
          </w:p>
          <w:p>
            <w:pPr>
              <w:pStyle w:val="TableParagraph"/>
              <w:spacing w:before="69"/>
              <w:ind w:left="0"/>
              <w:rPr>
                <w:b/>
                <w:sz w:val="22"/>
              </w:rPr>
            </w:pPr>
          </w:p>
          <w:p>
            <w:pPr>
              <w:pStyle w:val="TableParagraph"/>
              <w:spacing w:line="276" w:lineRule="auto" w:before="1"/>
              <w:rPr>
                <w:sz w:val="22"/>
              </w:rPr>
            </w:pPr>
            <w:r>
              <w:rPr>
                <w:spacing w:val="-2"/>
                <w:sz w:val="22"/>
              </w:rPr>
              <w:t>OUTFLOW_DIGIT AL_SENSITIVITY</w:t>
            </w:r>
          </w:p>
        </w:tc>
        <w:tc>
          <w:tcPr>
            <w:tcW w:w="1139" w:type="dxa"/>
          </w:tcPr>
          <w:p>
            <w:pPr>
              <w:pStyle w:val="TableParagraph"/>
              <w:ind w:left="0"/>
              <w:rPr>
                <w:b/>
                <w:sz w:val="22"/>
              </w:rPr>
            </w:pPr>
          </w:p>
          <w:p>
            <w:pPr>
              <w:pStyle w:val="TableParagraph"/>
              <w:spacing w:before="216"/>
              <w:ind w:left="0"/>
              <w:rPr>
                <w:b/>
                <w:sz w:val="22"/>
              </w:rPr>
            </w:pPr>
          </w:p>
          <w:p>
            <w:pPr>
              <w:pStyle w:val="TableParagraph"/>
              <w:rPr>
                <w:sz w:val="22"/>
              </w:rPr>
            </w:pPr>
            <w:r>
              <w:rPr>
                <w:spacing w:val="-4"/>
                <w:sz w:val="22"/>
              </w:rPr>
              <w:t>0.35</w:t>
            </w:r>
          </w:p>
        </w:tc>
        <w:tc>
          <w:tcPr>
            <w:tcW w:w="1799" w:type="dxa"/>
          </w:tcPr>
          <w:p>
            <w:pPr>
              <w:pStyle w:val="TableParagraph"/>
              <w:ind w:left="0"/>
              <w:rPr>
                <w:b/>
                <w:sz w:val="22"/>
              </w:rPr>
            </w:pPr>
          </w:p>
          <w:p>
            <w:pPr>
              <w:pStyle w:val="TableParagraph"/>
              <w:spacing w:before="216"/>
              <w:ind w:left="0"/>
              <w:rPr>
                <w:b/>
                <w:sz w:val="22"/>
              </w:rPr>
            </w:pPr>
          </w:p>
          <w:p>
            <w:pPr>
              <w:pStyle w:val="TableParagraph"/>
              <w:rPr>
                <w:sz w:val="22"/>
              </w:rPr>
            </w:pPr>
            <w:r>
              <w:rPr>
                <w:sz w:val="22"/>
              </w:rPr>
              <w:t>[0.28, </w:t>
            </w:r>
            <w:r>
              <w:rPr>
                <w:spacing w:val="-2"/>
                <w:sz w:val="22"/>
              </w:rPr>
              <w:t>0.42]</w:t>
            </w:r>
          </w:p>
        </w:tc>
        <w:tc>
          <w:tcPr>
            <w:tcW w:w="1569" w:type="dxa"/>
          </w:tcPr>
          <w:p>
            <w:pPr>
              <w:pStyle w:val="TableParagraph"/>
              <w:spacing w:line="276" w:lineRule="auto"/>
              <w:ind w:right="162"/>
              <w:rPr>
                <w:sz w:val="22"/>
              </w:rPr>
            </w:pPr>
            <w:r>
              <w:rPr>
                <w:sz w:val="22"/>
              </w:rPr>
              <w:t>Kumhof &amp; Noone</w:t>
            </w:r>
            <w:r>
              <w:rPr>
                <w:spacing w:val="-14"/>
                <w:sz w:val="22"/>
              </w:rPr>
              <w:t> </w:t>
            </w:r>
            <w:r>
              <w:rPr>
                <w:sz w:val="22"/>
              </w:rPr>
              <w:t>(2021),</w:t>
            </w:r>
          </w:p>
          <w:p>
            <w:pPr>
              <w:pStyle w:val="TableParagraph"/>
              <w:spacing w:line="251" w:lineRule="exact"/>
              <w:rPr>
                <w:sz w:val="22"/>
              </w:rPr>
            </w:pPr>
            <w:r>
              <w:rPr>
                <w:spacing w:val="-4"/>
                <w:sz w:val="22"/>
              </w:rPr>
              <w:t>§4.1</w:t>
            </w:r>
          </w:p>
          <w:p>
            <w:pPr>
              <w:pStyle w:val="TableParagraph"/>
              <w:spacing w:line="276" w:lineRule="auto" w:before="33"/>
              <w:rPr>
                <w:sz w:val="22"/>
              </w:rPr>
            </w:pPr>
            <w:r>
              <w:rPr>
                <w:spacing w:val="-2"/>
                <w:sz w:val="22"/>
              </w:rPr>
              <w:t>(holding-</w:t>
            </w:r>
            <w:r>
              <w:rPr>
                <w:spacing w:val="-2"/>
                <w:sz w:val="22"/>
              </w:rPr>
              <w:t>limit design</w:t>
            </w:r>
          </w:p>
          <w:p>
            <w:pPr>
              <w:pStyle w:val="TableParagraph"/>
              <w:rPr>
                <w:sz w:val="22"/>
              </w:rPr>
            </w:pPr>
            <w:r>
              <w:rPr>
                <w:spacing w:val="-2"/>
                <w:sz w:val="22"/>
              </w:rPr>
              <w:t>parameters)</w:t>
            </w:r>
          </w:p>
        </w:tc>
      </w:tr>
      <w:tr>
        <w:trPr>
          <w:trHeight w:val="1152" w:hRule="atLeast"/>
        </w:trPr>
        <w:tc>
          <w:tcPr>
            <w:tcW w:w="1809" w:type="dxa"/>
          </w:tcPr>
          <w:p>
            <w:pPr>
              <w:pStyle w:val="TableParagraph"/>
              <w:spacing w:line="276" w:lineRule="auto" w:before="139"/>
              <w:ind w:right="159"/>
              <w:rPr>
                <w:sz w:val="22"/>
              </w:rPr>
            </w:pPr>
            <w:r>
              <w:rPr>
                <w:spacing w:val="-2"/>
                <w:sz w:val="22"/>
              </w:rPr>
              <w:t>Risk-</w:t>
            </w:r>
            <w:r>
              <w:rPr>
                <w:spacing w:val="-2"/>
                <w:sz w:val="22"/>
              </w:rPr>
              <w:t>channel outflow sensitivity</w:t>
            </w:r>
          </w:p>
        </w:tc>
        <w:tc>
          <w:tcPr>
            <w:tcW w:w="2015" w:type="dxa"/>
          </w:tcPr>
          <w:p>
            <w:pPr>
              <w:pStyle w:val="TableParagraph"/>
              <w:spacing w:before="32"/>
              <w:ind w:left="0"/>
              <w:rPr>
                <w:b/>
                <w:sz w:val="22"/>
              </w:rPr>
            </w:pPr>
          </w:p>
          <w:p>
            <w:pPr>
              <w:pStyle w:val="TableParagraph"/>
              <w:spacing w:before="1"/>
              <w:rPr>
                <w:sz w:val="22"/>
              </w:rPr>
            </w:pPr>
            <w:r>
              <w:rPr>
                <w:spacing w:val="-2"/>
                <w:sz w:val="22"/>
              </w:rPr>
              <w:t>OUTFLOW_RISK</w:t>
            </w:r>
          </w:p>
          <w:p>
            <w:pPr>
              <w:pStyle w:val="TableParagraph"/>
              <w:spacing w:before="37"/>
              <w:rPr>
                <w:sz w:val="22"/>
              </w:rPr>
            </w:pPr>
            <w:r>
              <w:rPr>
                <w:spacing w:val="-2"/>
                <w:sz w:val="22"/>
              </w:rPr>
              <w:t>_SENSITIVITY</w:t>
            </w:r>
          </w:p>
        </w:tc>
        <w:tc>
          <w:tcPr>
            <w:tcW w:w="1139" w:type="dxa"/>
          </w:tcPr>
          <w:p>
            <w:pPr>
              <w:pStyle w:val="TableParagraph"/>
              <w:spacing w:before="179"/>
              <w:ind w:left="0"/>
              <w:rPr>
                <w:b/>
                <w:sz w:val="22"/>
              </w:rPr>
            </w:pPr>
          </w:p>
          <w:p>
            <w:pPr>
              <w:pStyle w:val="TableParagraph"/>
              <w:rPr>
                <w:sz w:val="22"/>
              </w:rPr>
            </w:pPr>
            <w:r>
              <w:rPr>
                <w:spacing w:val="-4"/>
                <w:sz w:val="22"/>
              </w:rPr>
              <w:t>0.16</w:t>
            </w:r>
          </w:p>
        </w:tc>
        <w:tc>
          <w:tcPr>
            <w:tcW w:w="1799" w:type="dxa"/>
          </w:tcPr>
          <w:p>
            <w:pPr>
              <w:pStyle w:val="TableParagraph"/>
              <w:spacing w:before="179"/>
              <w:ind w:left="0"/>
              <w:rPr>
                <w:b/>
                <w:sz w:val="22"/>
              </w:rPr>
            </w:pPr>
          </w:p>
          <w:p>
            <w:pPr>
              <w:pStyle w:val="TableParagraph"/>
              <w:rPr>
                <w:sz w:val="22"/>
              </w:rPr>
            </w:pPr>
            <w:r>
              <w:rPr>
                <w:sz w:val="22"/>
              </w:rPr>
              <w:t>[0.12, </w:t>
            </w:r>
            <w:r>
              <w:rPr>
                <w:spacing w:val="-2"/>
                <w:sz w:val="22"/>
              </w:rPr>
              <w:t>0.20]</w:t>
            </w:r>
          </w:p>
        </w:tc>
        <w:tc>
          <w:tcPr>
            <w:tcW w:w="1569" w:type="dxa"/>
          </w:tcPr>
          <w:p>
            <w:pPr>
              <w:pStyle w:val="TableParagraph"/>
              <w:spacing w:line="276" w:lineRule="auto"/>
              <w:ind w:right="248"/>
              <w:rPr>
                <w:sz w:val="22"/>
              </w:rPr>
            </w:pPr>
            <w:r>
              <w:rPr>
                <w:sz w:val="22"/>
              </w:rPr>
              <w:t>Keister &amp; </w:t>
            </w:r>
            <w:r>
              <w:rPr>
                <w:spacing w:val="-2"/>
                <w:sz w:val="22"/>
              </w:rPr>
              <w:t>Sanches </w:t>
            </w:r>
            <w:r>
              <w:rPr>
                <w:sz w:val="22"/>
              </w:rPr>
              <w:t>(2023),</w:t>
            </w:r>
            <w:r>
              <w:rPr>
                <w:spacing w:val="-14"/>
                <w:sz w:val="22"/>
              </w:rPr>
              <w:t> </w:t>
            </w:r>
            <w:r>
              <w:rPr>
                <w:sz w:val="22"/>
              </w:rPr>
              <w:t>Table</w:t>
            </w:r>
          </w:p>
          <w:p>
            <w:pPr>
              <w:pStyle w:val="TableParagraph"/>
              <w:spacing w:line="250" w:lineRule="exact"/>
              <w:rPr>
                <w:sz w:val="22"/>
              </w:rPr>
            </w:pPr>
            <w:r>
              <w:rPr>
                <w:spacing w:val="-10"/>
                <w:sz w:val="22"/>
              </w:rPr>
              <w:t>2</w:t>
            </w:r>
          </w:p>
        </w:tc>
      </w:tr>
      <w:tr>
        <w:trPr>
          <w:trHeight w:val="570" w:hRule="atLeast"/>
        </w:trPr>
        <w:tc>
          <w:tcPr>
            <w:tcW w:w="1809" w:type="dxa"/>
          </w:tcPr>
          <w:p>
            <w:pPr>
              <w:pStyle w:val="TableParagraph"/>
              <w:spacing w:line="246" w:lineRule="exact"/>
              <w:rPr>
                <w:sz w:val="22"/>
              </w:rPr>
            </w:pPr>
            <w:r>
              <w:rPr>
                <w:sz w:val="22"/>
              </w:rPr>
              <w:t>Holding-cap</w:t>
            </w:r>
            <w:r>
              <w:rPr>
                <w:spacing w:val="-8"/>
                <w:sz w:val="22"/>
              </w:rPr>
              <w:t> </w:t>
            </w:r>
            <w:r>
              <w:rPr>
                <w:spacing w:val="-4"/>
                <w:sz w:val="22"/>
              </w:rPr>
              <w:t>base</w:t>
            </w:r>
          </w:p>
          <w:p>
            <w:pPr>
              <w:pStyle w:val="TableParagraph"/>
              <w:spacing w:before="39"/>
              <w:rPr>
                <w:sz w:val="22"/>
              </w:rPr>
            </w:pPr>
            <w:r>
              <w:rPr>
                <w:sz w:val="22"/>
              </w:rPr>
              <w:t>outflow</w:t>
            </w:r>
            <w:r>
              <w:rPr>
                <w:spacing w:val="-7"/>
                <w:sz w:val="22"/>
              </w:rPr>
              <w:t> </w:t>
            </w:r>
            <w:r>
              <w:rPr>
                <w:spacing w:val="-2"/>
                <w:sz w:val="22"/>
              </w:rPr>
              <w:t>constant</w:t>
            </w:r>
          </w:p>
        </w:tc>
        <w:tc>
          <w:tcPr>
            <w:tcW w:w="2015" w:type="dxa"/>
          </w:tcPr>
          <w:p>
            <w:pPr>
              <w:pStyle w:val="TableParagraph"/>
              <w:spacing w:line="246" w:lineRule="exact"/>
              <w:rPr>
                <w:sz w:val="22"/>
              </w:rPr>
            </w:pPr>
            <w:r>
              <w:rPr>
                <w:spacing w:val="-2"/>
                <w:sz w:val="22"/>
              </w:rPr>
              <w:t>OUTFLOW_CAP_</w:t>
            </w:r>
          </w:p>
          <w:p>
            <w:pPr>
              <w:pStyle w:val="TableParagraph"/>
              <w:spacing w:before="39"/>
              <w:rPr>
                <w:sz w:val="22"/>
              </w:rPr>
            </w:pPr>
            <w:r>
              <w:rPr>
                <w:spacing w:val="-4"/>
                <w:sz w:val="22"/>
              </w:rPr>
              <w:t>BASE</w:t>
            </w:r>
          </w:p>
        </w:tc>
        <w:tc>
          <w:tcPr>
            <w:tcW w:w="1139" w:type="dxa"/>
          </w:tcPr>
          <w:p>
            <w:pPr>
              <w:pStyle w:val="TableParagraph"/>
              <w:spacing w:before="139"/>
              <w:rPr>
                <w:sz w:val="22"/>
              </w:rPr>
            </w:pPr>
            <w:r>
              <w:rPr>
                <w:spacing w:val="-4"/>
                <w:sz w:val="22"/>
              </w:rPr>
              <w:t>0.05</w:t>
            </w:r>
          </w:p>
        </w:tc>
        <w:tc>
          <w:tcPr>
            <w:tcW w:w="1799" w:type="dxa"/>
          </w:tcPr>
          <w:p>
            <w:pPr>
              <w:pStyle w:val="TableParagraph"/>
              <w:spacing w:before="139"/>
              <w:rPr>
                <w:sz w:val="22"/>
              </w:rPr>
            </w:pPr>
            <w:r>
              <w:rPr>
                <w:sz w:val="22"/>
              </w:rPr>
              <w:t>[0.04, </w:t>
            </w:r>
            <w:r>
              <w:rPr>
                <w:spacing w:val="-2"/>
                <w:sz w:val="22"/>
              </w:rPr>
              <w:t>0.06]</w:t>
            </w:r>
          </w:p>
        </w:tc>
        <w:tc>
          <w:tcPr>
            <w:tcW w:w="1569" w:type="dxa"/>
          </w:tcPr>
          <w:p>
            <w:pPr>
              <w:pStyle w:val="TableParagraph"/>
              <w:spacing w:line="246" w:lineRule="exact"/>
              <w:rPr>
                <w:sz w:val="22"/>
              </w:rPr>
            </w:pPr>
            <w:r>
              <w:rPr>
                <w:sz w:val="22"/>
              </w:rPr>
              <w:t>Bank</w:t>
            </w:r>
            <w:r>
              <w:rPr>
                <w:spacing w:val="-4"/>
                <w:sz w:val="22"/>
              </w:rPr>
              <w:t> </w:t>
            </w:r>
            <w:r>
              <w:rPr>
                <w:sz w:val="22"/>
              </w:rPr>
              <w:t>of</w:t>
            </w:r>
            <w:r>
              <w:rPr>
                <w:spacing w:val="1"/>
                <w:sz w:val="22"/>
              </w:rPr>
              <w:t> </w:t>
            </w:r>
            <w:r>
              <w:rPr>
                <w:spacing w:val="-2"/>
                <w:sz w:val="22"/>
              </w:rPr>
              <w:t>Korea</w:t>
            </w:r>
          </w:p>
          <w:p>
            <w:pPr>
              <w:pStyle w:val="TableParagraph"/>
              <w:spacing w:before="39"/>
              <w:rPr>
                <w:sz w:val="22"/>
              </w:rPr>
            </w:pPr>
            <w:r>
              <w:rPr>
                <w:sz w:val="22"/>
              </w:rPr>
              <w:t>(2023),</w:t>
            </w:r>
            <w:r>
              <w:rPr>
                <w:spacing w:val="52"/>
                <w:sz w:val="22"/>
              </w:rPr>
              <w:t> </w:t>
            </w:r>
            <w:r>
              <w:rPr>
                <w:spacing w:val="-4"/>
                <w:sz w:val="22"/>
              </w:rPr>
              <w:t>§4.2</w:t>
            </w:r>
          </w:p>
        </w:tc>
      </w:tr>
      <w:tr>
        <w:trPr>
          <w:trHeight w:val="570" w:hRule="atLeast"/>
        </w:trPr>
        <w:tc>
          <w:tcPr>
            <w:tcW w:w="1809" w:type="dxa"/>
          </w:tcPr>
          <w:p>
            <w:pPr>
              <w:pStyle w:val="TableParagraph"/>
              <w:spacing w:line="249" w:lineRule="exact"/>
              <w:rPr>
                <w:sz w:val="22"/>
              </w:rPr>
            </w:pPr>
            <w:r>
              <w:rPr>
                <w:spacing w:val="-2"/>
                <w:sz w:val="22"/>
              </w:rPr>
              <w:t>Holding-</w:t>
            </w:r>
            <w:r>
              <w:rPr>
                <w:spacing w:val="-5"/>
                <w:sz w:val="22"/>
              </w:rPr>
              <w:t>cap</w:t>
            </w:r>
          </w:p>
          <w:p>
            <w:pPr>
              <w:pStyle w:val="TableParagraph"/>
              <w:spacing w:before="37"/>
              <w:rPr>
                <w:sz w:val="22"/>
              </w:rPr>
            </w:pPr>
            <w:r>
              <w:rPr>
                <w:sz w:val="22"/>
              </w:rPr>
              <w:t>outflow</w:t>
            </w:r>
            <w:r>
              <w:rPr>
                <w:spacing w:val="-5"/>
                <w:sz w:val="22"/>
              </w:rPr>
              <w:t> </w:t>
            </w:r>
            <w:r>
              <w:rPr>
                <w:spacing w:val="-2"/>
                <w:sz w:val="22"/>
              </w:rPr>
              <w:t>slope</w:t>
            </w:r>
          </w:p>
        </w:tc>
        <w:tc>
          <w:tcPr>
            <w:tcW w:w="2015" w:type="dxa"/>
          </w:tcPr>
          <w:p>
            <w:pPr>
              <w:pStyle w:val="TableParagraph"/>
              <w:spacing w:line="249" w:lineRule="exact"/>
              <w:rPr>
                <w:sz w:val="22"/>
              </w:rPr>
            </w:pPr>
            <w:r>
              <w:rPr>
                <w:spacing w:val="-2"/>
                <w:sz w:val="22"/>
              </w:rPr>
              <w:t>OUTFLOW_CAP_</w:t>
            </w:r>
          </w:p>
          <w:p>
            <w:pPr>
              <w:pStyle w:val="TableParagraph"/>
              <w:spacing w:before="37"/>
              <w:rPr>
                <w:sz w:val="22"/>
              </w:rPr>
            </w:pPr>
            <w:r>
              <w:rPr>
                <w:spacing w:val="-2"/>
                <w:sz w:val="22"/>
              </w:rPr>
              <w:t>SLOPE</w:t>
            </w:r>
          </w:p>
        </w:tc>
        <w:tc>
          <w:tcPr>
            <w:tcW w:w="1139" w:type="dxa"/>
          </w:tcPr>
          <w:p>
            <w:pPr>
              <w:pStyle w:val="TableParagraph"/>
              <w:spacing w:before="139"/>
              <w:rPr>
                <w:sz w:val="22"/>
              </w:rPr>
            </w:pPr>
            <w:r>
              <w:rPr>
                <w:spacing w:val="-4"/>
                <w:sz w:val="22"/>
              </w:rPr>
              <w:t>0.06</w:t>
            </w:r>
          </w:p>
        </w:tc>
        <w:tc>
          <w:tcPr>
            <w:tcW w:w="1799" w:type="dxa"/>
          </w:tcPr>
          <w:p>
            <w:pPr>
              <w:pStyle w:val="TableParagraph"/>
              <w:spacing w:before="139"/>
              <w:rPr>
                <w:sz w:val="22"/>
              </w:rPr>
            </w:pPr>
            <w:r>
              <w:rPr>
                <w:sz w:val="22"/>
              </w:rPr>
              <w:t>[0.05, </w:t>
            </w:r>
            <w:r>
              <w:rPr>
                <w:spacing w:val="-2"/>
                <w:sz w:val="22"/>
              </w:rPr>
              <w:t>0.08]</w:t>
            </w:r>
          </w:p>
        </w:tc>
        <w:tc>
          <w:tcPr>
            <w:tcW w:w="1569" w:type="dxa"/>
          </w:tcPr>
          <w:p>
            <w:pPr>
              <w:pStyle w:val="TableParagraph"/>
              <w:spacing w:line="249" w:lineRule="exact"/>
              <w:rPr>
                <w:sz w:val="22"/>
              </w:rPr>
            </w:pPr>
            <w:r>
              <w:rPr>
                <w:sz w:val="22"/>
              </w:rPr>
              <w:t>Bank</w:t>
            </w:r>
            <w:r>
              <w:rPr>
                <w:spacing w:val="-4"/>
                <w:sz w:val="22"/>
              </w:rPr>
              <w:t> </w:t>
            </w:r>
            <w:r>
              <w:rPr>
                <w:sz w:val="22"/>
              </w:rPr>
              <w:t>of</w:t>
            </w:r>
            <w:r>
              <w:rPr>
                <w:spacing w:val="1"/>
                <w:sz w:val="22"/>
              </w:rPr>
              <w:t> </w:t>
            </w:r>
            <w:r>
              <w:rPr>
                <w:spacing w:val="-2"/>
                <w:sz w:val="22"/>
              </w:rPr>
              <w:t>Korea</w:t>
            </w:r>
          </w:p>
          <w:p>
            <w:pPr>
              <w:pStyle w:val="TableParagraph"/>
              <w:spacing w:before="37"/>
              <w:rPr>
                <w:sz w:val="22"/>
              </w:rPr>
            </w:pPr>
            <w:r>
              <w:rPr>
                <w:sz w:val="22"/>
              </w:rPr>
              <w:t>(2023),</w:t>
            </w:r>
            <w:r>
              <w:rPr>
                <w:spacing w:val="52"/>
                <w:sz w:val="22"/>
              </w:rPr>
              <w:t> </w:t>
            </w:r>
            <w:r>
              <w:rPr>
                <w:spacing w:val="-4"/>
                <w:sz w:val="22"/>
              </w:rPr>
              <w:t>§4.2</w:t>
            </w:r>
          </w:p>
        </w:tc>
      </w:tr>
      <w:tr>
        <w:trPr>
          <w:trHeight w:val="1442" w:hRule="atLeast"/>
        </w:trPr>
        <w:tc>
          <w:tcPr>
            <w:tcW w:w="1809" w:type="dxa"/>
          </w:tcPr>
          <w:p>
            <w:pPr>
              <w:pStyle w:val="TableParagraph"/>
              <w:spacing w:before="179"/>
              <w:ind w:left="0"/>
              <w:rPr>
                <w:b/>
                <w:sz w:val="22"/>
              </w:rPr>
            </w:pPr>
          </w:p>
          <w:p>
            <w:pPr>
              <w:pStyle w:val="TableParagraph"/>
              <w:spacing w:line="276" w:lineRule="auto"/>
              <w:rPr>
                <w:sz w:val="22"/>
              </w:rPr>
            </w:pPr>
            <w:r>
              <w:rPr>
                <w:spacing w:val="-2"/>
                <w:sz w:val="22"/>
              </w:rPr>
              <w:t>Cash-substitution buffer</w:t>
            </w:r>
          </w:p>
        </w:tc>
        <w:tc>
          <w:tcPr>
            <w:tcW w:w="2015" w:type="dxa"/>
          </w:tcPr>
          <w:p>
            <w:pPr>
              <w:pStyle w:val="TableParagraph"/>
              <w:spacing w:before="179"/>
              <w:ind w:left="0"/>
              <w:rPr>
                <w:b/>
                <w:sz w:val="22"/>
              </w:rPr>
            </w:pPr>
          </w:p>
          <w:p>
            <w:pPr>
              <w:pStyle w:val="TableParagraph"/>
              <w:rPr>
                <w:sz w:val="22"/>
              </w:rPr>
            </w:pPr>
            <w:r>
              <w:rPr>
                <w:spacing w:val="-2"/>
                <w:sz w:val="22"/>
              </w:rPr>
              <w:t>OUTFLOW_CASH</w:t>
            </w:r>
          </w:p>
          <w:p>
            <w:pPr>
              <w:pStyle w:val="TableParagraph"/>
              <w:spacing w:before="37"/>
              <w:rPr>
                <w:sz w:val="22"/>
              </w:rPr>
            </w:pPr>
            <w:r>
              <w:rPr>
                <w:spacing w:val="-2"/>
                <w:sz w:val="22"/>
              </w:rPr>
              <w:t>_BUFFER</w:t>
            </w:r>
          </w:p>
        </w:tc>
        <w:tc>
          <w:tcPr>
            <w:tcW w:w="1139" w:type="dxa"/>
          </w:tcPr>
          <w:p>
            <w:pPr>
              <w:pStyle w:val="TableParagraph"/>
              <w:ind w:left="0"/>
              <w:rPr>
                <w:b/>
                <w:sz w:val="22"/>
              </w:rPr>
            </w:pPr>
          </w:p>
          <w:p>
            <w:pPr>
              <w:pStyle w:val="TableParagraph"/>
              <w:spacing w:before="70"/>
              <w:ind w:left="0"/>
              <w:rPr>
                <w:b/>
                <w:sz w:val="22"/>
              </w:rPr>
            </w:pPr>
          </w:p>
          <w:p>
            <w:pPr>
              <w:pStyle w:val="TableParagraph"/>
              <w:rPr>
                <w:sz w:val="22"/>
              </w:rPr>
            </w:pPr>
            <w:r>
              <w:rPr>
                <w:spacing w:val="-4"/>
                <w:sz w:val="22"/>
              </w:rPr>
              <w:t>0.35</w:t>
            </w:r>
          </w:p>
        </w:tc>
        <w:tc>
          <w:tcPr>
            <w:tcW w:w="1799" w:type="dxa"/>
          </w:tcPr>
          <w:p>
            <w:pPr>
              <w:pStyle w:val="TableParagraph"/>
              <w:ind w:left="0"/>
              <w:rPr>
                <w:b/>
                <w:sz w:val="22"/>
              </w:rPr>
            </w:pPr>
          </w:p>
          <w:p>
            <w:pPr>
              <w:pStyle w:val="TableParagraph"/>
              <w:spacing w:before="70"/>
              <w:ind w:left="0"/>
              <w:rPr>
                <w:b/>
                <w:sz w:val="22"/>
              </w:rPr>
            </w:pPr>
          </w:p>
          <w:p>
            <w:pPr>
              <w:pStyle w:val="TableParagraph"/>
              <w:rPr>
                <w:sz w:val="22"/>
              </w:rPr>
            </w:pPr>
            <w:r>
              <w:rPr>
                <w:sz w:val="22"/>
              </w:rPr>
              <w:t>[0.30, </w:t>
            </w:r>
            <w:r>
              <w:rPr>
                <w:spacing w:val="-2"/>
                <w:sz w:val="22"/>
              </w:rPr>
              <w:t>0.40]</w:t>
            </w:r>
          </w:p>
        </w:tc>
        <w:tc>
          <w:tcPr>
            <w:tcW w:w="1569" w:type="dxa"/>
          </w:tcPr>
          <w:p>
            <w:pPr>
              <w:pStyle w:val="TableParagraph"/>
              <w:spacing w:line="276" w:lineRule="auto"/>
              <w:ind w:right="162"/>
              <w:rPr>
                <w:sz w:val="22"/>
              </w:rPr>
            </w:pPr>
            <w:r>
              <w:rPr>
                <w:sz w:val="22"/>
              </w:rPr>
              <w:t>Kumhof &amp; Noone</w:t>
            </w:r>
            <w:r>
              <w:rPr>
                <w:spacing w:val="-14"/>
                <w:sz w:val="22"/>
              </w:rPr>
              <w:t> </w:t>
            </w:r>
            <w:r>
              <w:rPr>
                <w:sz w:val="22"/>
              </w:rPr>
              <w:t>(2021),</w:t>
            </w:r>
          </w:p>
          <w:p>
            <w:pPr>
              <w:pStyle w:val="TableParagraph"/>
              <w:spacing w:line="251" w:lineRule="exact"/>
              <w:rPr>
                <w:sz w:val="22"/>
              </w:rPr>
            </w:pPr>
            <w:r>
              <w:rPr>
                <w:spacing w:val="-4"/>
                <w:sz w:val="22"/>
              </w:rPr>
              <w:t>§4.3</w:t>
            </w:r>
          </w:p>
          <w:p>
            <w:pPr>
              <w:pStyle w:val="TableParagraph"/>
              <w:spacing w:line="290" w:lineRule="atLeast"/>
              <w:rPr>
                <w:sz w:val="22"/>
              </w:rPr>
            </w:pPr>
            <w:r>
              <w:rPr>
                <w:spacing w:val="-2"/>
                <w:sz w:val="22"/>
              </w:rPr>
              <w:t>(cash-</w:t>
            </w:r>
            <w:r>
              <w:rPr>
                <w:spacing w:val="-2"/>
                <w:sz w:val="22"/>
              </w:rPr>
              <w:t>CBDC substitution)</w:t>
            </w:r>
          </w:p>
        </w:tc>
      </w:tr>
      <w:tr>
        <w:trPr>
          <w:trHeight w:val="1732" w:hRule="atLeast"/>
        </w:trPr>
        <w:tc>
          <w:tcPr>
            <w:tcW w:w="1809" w:type="dxa"/>
          </w:tcPr>
          <w:p>
            <w:pPr>
              <w:pStyle w:val="TableParagraph"/>
              <w:spacing w:before="179"/>
              <w:ind w:left="0"/>
              <w:rPr>
                <w:b/>
                <w:sz w:val="22"/>
              </w:rPr>
            </w:pPr>
          </w:p>
          <w:p>
            <w:pPr>
              <w:pStyle w:val="TableParagraph"/>
              <w:spacing w:line="276" w:lineRule="auto"/>
              <w:rPr>
                <w:sz w:val="22"/>
              </w:rPr>
            </w:pPr>
            <w:r>
              <w:rPr>
                <w:spacing w:val="-2"/>
                <w:sz w:val="22"/>
              </w:rPr>
              <w:t>Bank-</w:t>
            </w:r>
            <w:r>
              <w:rPr>
                <w:spacing w:val="-2"/>
                <w:sz w:val="22"/>
              </w:rPr>
              <w:t>disintermed </w:t>
            </w:r>
            <w:r>
              <w:rPr>
                <w:sz w:val="22"/>
              </w:rPr>
              <w:t>iation outflow </w:t>
            </w:r>
            <w:r>
              <w:rPr>
                <w:spacing w:val="-2"/>
                <w:sz w:val="22"/>
              </w:rPr>
              <w:t>coefficient</w:t>
            </w:r>
          </w:p>
        </w:tc>
        <w:tc>
          <w:tcPr>
            <w:tcW w:w="2015" w:type="dxa"/>
          </w:tcPr>
          <w:p>
            <w:pPr>
              <w:pStyle w:val="TableParagraph"/>
              <w:ind w:left="0"/>
              <w:rPr>
                <w:b/>
                <w:sz w:val="22"/>
              </w:rPr>
            </w:pPr>
          </w:p>
          <w:p>
            <w:pPr>
              <w:pStyle w:val="TableParagraph"/>
              <w:spacing w:before="70"/>
              <w:ind w:left="0"/>
              <w:rPr>
                <w:b/>
                <w:sz w:val="22"/>
              </w:rPr>
            </w:pPr>
          </w:p>
          <w:p>
            <w:pPr>
              <w:pStyle w:val="TableParagraph"/>
              <w:spacing w:line="276" w:lineRule="auto"/>
              <w:rPr>
                <w:sz w:val="22"/>
              </w:rPr>
            </w:pPr>
            <w:r>
              <w:rPr>
                <w:spacing w:val="-2"/>
                <w:sz w:val="22"/>
              </w:rPr>
              <w:t>DISINTER_OUTF LOW_COEFF</w:t>
            </w:r>
          </w:p>
        </w:tc>
        <w:tc>
          <w:tcPr>
            <w:tcW w:w="1139" w:type="dxa"/>
          </w:tcPr>
          <w:p>
            <w:pPr>
              <w:pStyle w:val="TableParagraph"/>
              <w:ind w:left="0"/>
              <w:rPr>
                <w:b/>
                <w:sz w:val="22"/>
              </w:rPr>
            </w:pPr>
          </w:p>
          <w:p>
            <w:pPr>
              <w:pStyle w:val="TableParagraph"/>
              <w:spacing w:before="216"/>
              <w:ind w:left="0"/>
              <w:rPr>
                <w:b/>
                <w:sz w:val="22"/>
              </w:rPr>
            </w:pPr>
          </w:p>
          <w:p>
            <w:pPr>
              <w:pStyle w:val="TableParagraph"/>
              <w:rPr>
                <w:sz w:val="22"/>
              </w:rPr>
            </w:pPr>
            <w:r>
              <w:rPr>
                <w:spacing w:val="-4"/>
                <w:sz w:val="22"/>
              </w:rPr>
              <w:t>0.95</w:t>
            </w:r>
          </w:p>
        </w:tc>
        <w:tc>
          <w:tcPr>
            <w:tcW w:w="1799" w:type="dxa"/>
          </w:tcPr>
          <w:p>
            <w:pPr>
              <w:pStyle w:val="TableParagraph"/>
              <w:ind w:left="0"/>
              <w:rPr>
                <w:b/>
                <w:sz w:val="22"/>
              </w:rPr>
            </w:pPr>
          </w:p>
          <w:p>
            <w:pPr>
              <w:pStyle w:val="TableParagraph"/>
              <w:spacing w:before="216"/>
              <w:ind w:left="0"/>
              <w:rPr>
                <w:b/>
                <w:sz w:val="22"/>
              </w:rPr>
            </w:pPr>
          </w:p>
          <w:p>
            <w:pPr>
              <w:pStyle w:val="TableParagraph"/>
              <w:rPr>
                <w:sz w:val="22"/>
              </w:rPr>
            </w:pPr>
            <w:r>
              <w:rPr>
                <w:sz w:val="22"/>
              </w:rPr>
              <w:t>[0.90, </w:t>
            </w:r>
            <w:r>
              <w:rPr>
                <w:spacing w:val="-2"/>
                <w:sz w:val="22"/>
              </w:rPr>
              <w:t>1.00]</w:t>
            </w:r>
          </w:p>
        </w:tc>
        <w:tc>
          <w:tcPr>
            <w:tcW w:w="1569" w:type="dxa"/>
          </w:tcPr>
          <w:p>
            <w:pPr>
              <w:pStyle w:val="TableParagraph"/>
              <w:spacing w:line="276" w:lineRule="auto"/>
              <w:ind w:right="248"/>
              <w:rPr>
                <w:sz w:val="22"/>
              </w:rPr>
            </w:pPr>
            <w:r>
              <w:rPr>
                <w:sz w:val="22"/>
              </w:rPr>
              <w:t>Keister &amp; </w:t>
            </w:r>
            <w:r>
              <w:rPr>
                <w:spacing w:val="-2"/>
                <w:sz w:val="22"/>
              </w:rPr>
              <w:t>Sanches </w:t>
            </w:r>
            <w:r>
              <w:rPr>
                <w:sz w:val="22"/>
              </w:rPr>
              <w:t>(2023),</w:t>
            </w:r>
            <w:r>
              <w:rPr>
                <w:spacing w:val="-14"/>
                <w:sz w:val="22"/>
              </w:rPr>
              <w:t> </w:t>
            </w:r>
            <w:r>
              <w:rPr>
                <w:sz w:val="22"/>
              </w:rPr>
              <w:t>Table</w:t>
            </w:r>
          </w:p>
          <w:p>
            <w:pPr>
              <w:pStyle w:val="TableParagraph"/>
              <w:spacing w:line="250" w:lineRule="exact"/>
              <w:rPr>
                <w:sz w:val="22"/>
              </w:rPr>
            </w:pPr>
            <w:r>
              <w:rPr>
                <w:spacing w:val="-10"/>
                <w:sz w:val="22"/>
              </w:rPr>
              <w:t>2</w:t>
            </w:r>
          </w:p>
          <w:p>
            <w:pPr>
              <w:pStyle w:val="TableParagraph"/>
              <w:spacing w:line="290" w:lineRule="atLeast"/>
              <w:rPr>
                <w:sz w:val="22"/>
              </w:rPr>
            </w:pPr>
            <w:r>
              <w:rPr>
                <w:spacing w:val="-2"/>
                <w:sz w:val="22"/>
              </w:rPr>
              <w:t>(disintermediat </w:t>
            </w:r>
            <w:r>
              <w:rPr>
                <w:sz w:val="22"/>
              </w:rPr>
              <w:t>ion</w:t>
            </w:r>
            <w:r>
              <w:rPr>
                <w:spacing w:val="-4"/>
                <w:sz w:val="22"/>
              </w:rPr>
              <w:t> </w:t>
            </w:r>
            <w:r>
              <w:rPr>
                <w:spacing w:val="-2"/>
                <w:sz w:val="22"/>
              </w:rPr>
              <w:t>calibration)</w:t>
            </w:r>
          </w:p>
        </w:tc>
      </w:tr>
    </w:tbl>
    <w:p>
      <w:pPr>
        <w:spacing w:before="0"/>
        <w:ind w:left="99" w:right="381" w:firstLine="0"/>
        <w:jc w:val="both"/>
        <w:rPr>
          <w:i/>
          <w:sz w:val="24"/>
        </w:rPr>
      </w:pPr>
      <w:r>
        <w:rPr>
          <w:i/>
          <w:sz w:val="24"/>
        </w:rPr>
        <w:t>Notes: All six parameters are coded as "cited" in engines/coeff_ranges.py; the range</w:t>
      </w:r>
      <w:r>
        <w:rPr>
          <w:i/>
          <w:sz w:val="24"/>
        </w:rPr>
        <w:t> attributions reflect the authors’ reading of each source, with cited</w:t>
      </w:r>
      <w:r>
        <w:rPr>
          <w:i/>
          <w:spacing w:val="40"/>
          <w:sz w:val="24"/>
        </w:rPr>
        <w:t> </w:t>
      </w:r>
      <w:r>
        <w:rPr>
          <w:i/>
          <w:sz w:val="24"/>
        </w:rPr>
        <w:t>page/table/equation locations specified in the registry comments. Point estimates are cited-range</w:t>
      </w:r>
      <w:r>
        <w:rPr>
          <w:i/>
          <w:spacing w:val="29"/>
          <w:sz w:val="24"/>
        </w:rPr>
        <w:t> </w:t>
      </w:r>
      <w:r>
        <w:rPr>
          <w:i/>
          <w:sz w:val="24"/>
        </w:rPr>
        <w:t>midpoints</w:t>
      </w:r>
      <w:r>
        <w:rPr>
          <w:i/>
          <w:spacing w:val="29"/>
          <w:sz w:val="24"/>
        </w:rPr>
        <w:t> </w:t>
      </w:r>
      <w:r>
        <w:rPr>
          <w:i/>
          <w:sz w:val="24"/>
        </w:rPr>
        <w:t>used</w:t>
      </w:r>
      <w:r>
        <w:rPr>
          <w:i/>
          <w:spacing w:val="29"/>
          <w:sz w:val="24"/>
        </w:rPr>
        <w:t> </w:t>
      </w:r>
      <w:r>
        <w:rPr>
          <w:i/>
          <w:sz w:val="24"/>
        </w:rPr>
        <w:t>in</w:t>
      </w:r>
      <w:r>
        <w:rPr>
          <w:i/>
          <w:spacing w:val="27"/>
          <w:sz w:val="24"/>
        </w:rPr>
        <w:t> </w:t>
      </w:r>
      <w:r>
        <w:rPr>
          <w:i/>
          <w:sz w:val="24"/>
        </w:rPr>
        <w:t>the</w:t>
      </w:r>
      <w:r>
        <w:rPr>
          <w:i/>
          <w:spacing w:val="28"/>
          <w:sz w:val="24"/>
        </w:rPr>
        <w:t> </w:t>
      </w:r>
      <w:r>
        <w:rPr>
          <w:i/>
          <w:sz w:val="24"/>
        </w:rPr>
        <w:t>baseline</w:t>
      </w:r>
      <w:r>
        <w:rPr>
          <w:i/>
          <w:spacing w:val="28"/>
          <w:sz w:val="24"/>
        </w:rPr>
        <w:t> </w:t>
      </w:r>
      <w:r>
        <w:rPr>
          <w:i/>
          <w:sz w:val="24"/>
        </w:rPr>
        <w:t>simulation;</w:t>
      </w:r>
      <w:r>
        <w:rPr>
          <w:i/>
          <w:spacing w:val="29"/>
          <w:sz w:val="24"/>
        </w:rPr>
        <w:t> </w:t>
      </w:r>
      <w:r>
        <w:rPr>
          <w:i/>
          <w:sz w:val="24"/>
        </w:rPr>
        <w:t>the</w:t>
      </w:r>
      <w:r>
        <w:rPr>
          <w:i/>
          <w:spacing w:val="26"/>
          <w:sz w:val="24"/>
        </w:rPr>
        <w:t> </w:t>
      </w:r>
      <w:r>
        <w:rPr>
          <w:i/>
          <w:sz w:val="24"/>
        </w:rPr>
        <w:t>full</w:t>
      </w:r>
      <w:r>
        <w:rPr>
          <w:i/>
          <w:spacing w:val="27"/>
          <w:sz w:val="24"/>
        </w:rPr>
        <w:t> </w:t>
      </w:r>
      <w:r>
        <w:rPr>
          <w:i/>
          <w:sz w:val="24"/>
        </w:rPr>
        <w:t>range</w:t>
      </w:r>
      <w:r>
        <w:rPr>
          <w:i/>
          <w:spacing w:val="29"/>
          <w:sz w:val="24"/>
        </w:rPr>
        <w:t> </w:t>
      </w:r>
      <w:r>
        <w:rPr>
          <w:i/>
          <w:sz w:val="24"/>
        </w:rPr>
        <w:t>underpins</w:t>
      </w:r>
      <w:r>
        <w:rPr>
          <w:i/>
          <w:spacing w:val="28"/>
          <w:sz w:val="24"/>
        </w:rPr>
        <w:t> </w:t>
      </w:r>
      <w:r>
        <w:rPr>
          <w:i/>
          <w:sz w:val="24"/>
        </w:rPr>
        <w:t>the</w:t>
      </w:r>
    </w:p>
    <w:p>
      <w:pPr>
        <w:spacing w:before="0"/>
        <w:ind w:left="99" w:right="243" w:firstLine="0"/>
        <w:jc w:val="left"/>
        <w:rPr>
          <w:i/>
          <w:sz w:val="24"/>
        </w:rPr>
      </w:pPr>
      <w:r>
        <w:rPr>
          <w:i/>
          <w:sz w:val="24"/>
        </w:rPr>
        <w:t>±20%</w:t>
      </w:r>
      <w:r>
        <w:rPr>
          <w:i/>
          <w:spacing w:val="33"/>
          <w:sz w:val="24"/>
        </w:rPr>
        <w:t> </w:t>
      </w:r>
      <w:r>
        <w:rPr>
          <w:i/>
          <w:sz w:val="24"/>
        </w:rPr>
        <w:t>sensitivity</w:t>
      </w:r>
      <w:r>
        <w:rPr>
          <w:i/>
          <w:spacing w:val="33"/>
          <w:sz w:val="24"/>
        </w:rPr>
        <w:t> </w:t>
      </w:r>
      <w:r>
        <w:rPr>
          <w:i/>
          <w:sz w:val="24"/>
        </w:rPr>
        <w:t>grid</w:t>
      </w:r>
      <w:r>
        <w:rPr>
          <w:i/>
          <w:spacing w:val="31"/>
          <w:sz w:val="24"/>
        </w:rPr>
        <w:t> </w:t>
      </w:r>
      <w:r>
        <w:rPr>
          <w:i/>
          <w:sz w:val="24"/>
        </w:rPr>
        <w:t>and</w:t>
      </w:r>
      <w:r>
        <w:rPr>
          <w:i/>
          <w:spacing w:val="34"/>
          <w:sz w:val="24"/>
        </w:rPr>
        <w:t> </w:t>
      </w:r>
      <w:r>
        <w:rPr>
          <w:i/>
          <w:sz w:val="24"/>
        </w:rPr>
        <w:t>the</w:t>
      </w:r>
      <w:r>
        <w:rPr>
          <w:i/>
          <w:spacing w:val="33"/>
          <w:sz w:val="24"/>
        </w:rPr>
        <w:t> </w:t>
      </w:r>
      <w:r>
        <w:rPr>
          <w:i/>
          <w:sz w:val="24"/>
        </w:rPr>
        <w:t>27-combination</w:t>
      </w:r>
      <w:r>
        <w:rPr>
          <w:i/>
          <w:spacing w:val="32"/>
          <w:sz w:val="24"/>
        </w:rPr>
        <w:t> </w:t>
      </w:r>
      <w:r>
        <w:rPr>
          <w:i/>
          <w:sz w:val="24"/>
        </w:rPr>
        <w:t>worst-case</w:t>
      </w:r>
      <w:r>
        <w:rPr>
          <w:i/>
          <w:spacing w:val="31"/>
          <w:sz w:val="24"/>
        </w:rPr>
        <w:t> </w:t>
      </w:r>
      <w:r>
        <w:rPr>
          <w:i/>
          <w:sz w:val="24"/>
        </w:rPr>
        <w:t>ranking</w:t>
      </w:r>
      <w:r>
        <w:rPr>
          <w:i/>
          <w:spacing w:val="34"/>
          <w:sz w:val="24"/>
        </w:rPr>
        <w:t> </w:t>
      </w:r>
      <w:r>
        <w:rPr>
          <w:i/>
          <w:sz w:val="24"/>
        </w:rPr>
        <w:t>check</w:t>
      </w:r>
      <w:r>
        <w:rPr>
          <w:i/>
          <w:spacing w:val="33"/>
          <w:sz w:val="24"/>
        </w:rPr>
        <w:t> </w:t>
      </w:r>
      <w:r>
        <w:rPr>
          <w:i/>
          <w:sz w:val="24"/>
        </w:rPr>
        <w:t>(Table</w:t>
      </w:r>
      <w:r>
        <w:rPr>
          <w:i/>
          <w:spacing w:val="35"/>
          <w:sz w:val="24"/>
        </w:rPr>
        <w:t> </w:t>
      </w:r>
      <w:r>
        <w:rPr>
          <w:i/>
          <w:sz w:val="24"/>
        </w:rPr>
        <w:t>F3).</w:t>
      </w:r>
      <w:r>
        <w:rPr>
          <w:i/>
          <w:sz w:val="24"/>
        </w:rPr>
        <w:t> The</w:t>
      </w:r>
      <w:r>
        <w:rPr>
          <w:i/>
          <w:spacing w:val="40"/>
          <w:sz w:val="24"/>
        </w:rPr>
        <w:t> </w:t>
      </w:r>
      <w:r>
        <w:rPr>
          <w:i/>
          <w:sz w:val="24"/>
        </w:rPr>
        <w:t>empirically</w:t>
      </w:r>
      <w:r>
        <w:rPr>
          <w:i/>
          <w:spacing w:val="40"/>
          <w:sz w:val="24"/>
        </w:rPr>
        <w:t> </w:t>
      </w:r>
      <w:r>
        <w:rPr>
          <w:i/>
          <w:sz w:val="24"/>
        </w:rPr>
        <w:t>estimated</w:t>
      </w:r>
      <w:r>
        <w:rPr>
          <w:i/>
          <w:spacing w:val="40"/>
          <w:sz w:val="24"/>
        </w:rPr>
        <w:t> </w:t>
      </w:r>
      <w:r>
        <w:rPr>
          <w:i/>
          <w:sz w:val="24"/>
        </w:rPr>
        <w:t>θ₂=0.2466</w:t>
      </w:r>
      <w:r>
        <w:rPr>
          <w:i/>
          <w:spacing w:val="40"/>
          <w:sz w:val="24"/>
        </w:rPr>
        <w:t> </w:t>
      </w:r>
      <w:r>
        <w:rPr>
          <w:i/>
          <w:sz w:val="24"/>
        </w:rPr>
        <w:t>falls</w:t>
      </w:r>
      <w:r>
        <w:rPr>
          <w:i/>
          <w:spacing w:val="40"/>
          <w:sz w:val="24"/>
        </w:rPr>
        <w:t> </w:t>
      </w:r>
      <w:r>
        <w:rPr>
          <w:i/>
          <w:sz w:val="24"/>
        </w:rPr>
        <w:t>slightly</w:t>
      </w:r>
      <w:r>
        <w:rPr>
          <w:i/>
          <w:spacing w:val="40"/>
          <w:sz w:val="24"/>
        </w:rPr>
        <w:t> </w:t>
      </w:r>
      <w:r>
        <w:rPr>
          <w:i/>
          <w:sz w:val="24"/>
        </w:rPr>
        <w:t>above</w:t>
      </w:r>
      <w:r>
        <w:rPr>
          <w:i/>
          <w:spacing w:val="40"/>
          <w:sz w:val="24"/>
        </w:rPr>
        <w:t> </w:t>
      </w:r>
      <w:r>
        <w:rPr>
          <w:i/>
          <w:sz w:val="24"/>
        </w:rPr>
        <w:t>the</w:t>
      </w:r>
      <w:r>
        <w:rPr>
          <w:i/>
          <w:spacing w:val="40"/>
          <w:sz w:val="24"/>
        </w:rPr>
        <w:t> </w:t>
      </w:r>
      <w:r>
        <w:rPr>
          <w:i/>
          <w:sz w:val="24"/>
        </w:rPr>
        <w:t>literature-motivated simulation product range [0.081, 0.245]; this is acknowledged in Section 7.2 (L6) and does not imply the simulation parameters are over-calibrated, since the product range is derived independently from Table 3 parameter midpoints rather than fitted to θ₂.</w:t>
      </w:r>
    </w:p>
    <w:p>
      <w:pPr>
        <w:pStyle w:val="BodyText"/>
        <w:spacing w:line="480" w:lineRule="auto" w:before="275"/>
        <w:ind w:right="380"/>
        <w:jc w:val="both"/>
      </w:pPr>
      <w:r>
        <w:rPr>
          <w:b/>
        </w:rPr>
        <w:t>Independent</w:t>
      </w:r>
      <w:r>
        <w:rPr>
          <w:b/>
          <w:spacing w:val="40"/>
        </w:rPr>
        <w:t>  </w:t>
      </w:r>
      <w:r>
        <w:rPr>
          <w:b/>
        </w:rPr>
        <w:t>citation-verification</w:t>
      </w:r>
      <w:r>
        <w:rPr>
          <w:b/>
          <w:spacing w:val="40"/>
        </w:rPr>
        <w:t>  </w:t>
      </w:r>
      <w:r>
        <w:rPr>
          <w:b/>
        </w:rPr>
        <w:t>protocol.</w:t>
      </w:r>
      <w:r>
        <w:rPr>
          <w:b/>
          <w:spacing w:val="40"/>
        </w:rPr>
        <w:t>  </w:t>
      </w:r>
      <w:r>
        <w:rPr/>
        <w:t>Because</w:t>
      </w:r>
      <w:r>
        <w:rPr>
          <w:spacing w:val="40"/>
        </w:rPr>
        <w:t>  </w:t>
      </w:r>
      <w:r>
        <w:rPr/>
        <w:t>the</w:t>
      </w:r>
      <w:r>
        <w:rPr>
          <w:spacing w:val="40"/>
        </w:rPr>
        <w:t>  </w:t>
      </w:r>
      <w:r>
        <w:rPr/>
        <w:t>simulation’s</w:t>
      </w:r>
      <w:r>
        <w:rPr>
          <w:spacing w:val="80"/>
        </w:rPr>
        <w:t> </w:t>
      </w:r>
      <w:r>
        <w:rPr/>
        <w:t>design-ranking</w:t>
      </w:r>
      <w:r>
        <w:rPr>
          <w:spacing w:val="-3"/>
        </w:rPr>
        <w:t> </w:t>
      </w:r>
      <w:r>
        <w:rPr/>
        <w:t>conclusion rests</w:t>
      </w:r>
      <w:r>
        <w:rPr>
          <w:spacing w:val="-1"/>
        </w:rPr>
        <w:t> </w:t>
      </w:r>
      <w:r>
        <w:rPr/>
        <w:t>on</w:t>
      </w:r>
      <w:r>
        <w:rPr>
          <w:spacing w:val="-1"/>
        </w:rPr>
        <w:t> </w:t>
      </w:r>
      <w:r>
        <w:rPr/>
        <w:t>these</w:t>
      </w:r>
      <w:r>
        <w:rPr>
          <w:spacing w:val="-1"/>
        </w:rPr>
        <w:t> </w:t>
      </w:r>
      <w:r>
        <w:rPr/>
        <w:t>six literature-bounded</w:t>
      </w:r>
      <w:r>
        <w:rPr>
          <w:spacing w:val="-3"/>
        </w:rPr>
        <w:t> </w:t>
      </w:r>
      <w:r>
        <w:rPr/>
        <w:t>parameters</w:t>
      </w:r>
      <w:r>
        <w:rPr>
          <w:spacing w:val="-3"/>
        </w:rPr>
        <w:t> </w:t>
      </w:r>
      <w:r>
        <w:rPr/>
        <w:t>rather</w:t>
      </w:r>
      <w:r>
        <w:rPr>
          <w:spacing w:val="-1"/>
        </w:rPr>
        <w:t> </w:t>
      </w:r>
      <w:r>
        <w:rPr/>
        <w:t>than on directly estimated coefficients, each attribution was checked by a second reader working independently from the first coder’s registry entries: the second reader located</w:t>
      </w:r>
      <w:r>
        <w:rPr>
          <w:spacing w:val="25"/>
        </w:rPr>
        <w:t> </w:t>
      </w:r>
      <w:r>
        <w:rPr/>
        <w:t>the</w:t>
      </w:r>
      <w:r>
        <w:rPr>
          <w:spacing w:val="24"/>
        </w:rPr>
        <w:t> </w:t>
      </w:r>
      <w:r>
        <w:rPr/>
        <w:t>cited</w:t>
      </w:r>
      <w:r>
        <w:rPr>
          <w:spacing w:val="27"/>
        </w:rPr>
        <w:t> </w:t>
      </w:r>
      <w:r>
        <w:rPr/>
        <w:t>source,</w:t>
      </w:r>
      <w:r>
        <w:rPr>
          <w:spacing w:val="25"/>
        </w:rPr>
        <w:t> </w:t>
      </w:r>
      <w:r>
        <w:rPr/>
        <w:t>read</w:t>
      </w:r>
      <w:r>
        <w:rPr>
          <w:spacing w:val="27"/>
        </w:rPr>
        <w:t> </w:t>
      </w:r>
      <w:r>
        <w:rPr/>
        <w:t>the</w:t>
      </w:r>
      <w:r>
        <w:rPr>
          <w:spacing w:val="24"/>
        </w:rPr>
        <w:t> </w:t>
      </w:r>
      <w:r>
        <w:rPr/>
        <w:t>passage</w:t>
      </w:r>
      <w:r>
        <w:rPr>
          <w:spacing w:val="27"/>
        </w:rPr>
        <w:t> </w:t>
      </w:r>
      <w:r>
        <w:rPr/>
        <w:t>at</w:t>
      </w:r>
      <w:r>
        <w:rPr>
          <w:spacing w:val="26"/>
        </w:rPr>
        <w:t> </w:t>
      </w:r>
      <w:r>
        <w:rPr/>
        <w:t>the</w:t>
      </w:r>
      <w:r>
        <w:rPr>
          <w:spacing w:val="27"/>
        </w:rPr>
        <w:t> </w:t>
      </w:r>
      <w:r>
        <w:rPr/>
        <w:t>stated</w:t>
      </w:r>
      <w:r>
        <w:rPr>
          <w:spacing w:val="25"/>
        </w:rPr>
        <w:t> </w:t>
      </w:r>
      <w:r>
        <w:rPr/>
        <w:t>page/table/equation</w:t>
      </w:r>
      <w:r>
        <w:rPr>
          <w:spacing w:val="28"/>
        </w:rPr>
        <w:t> </w:t>
      </w:r>
      <w:r>
        <w:rPr>
          <w:spacing w:val="-2"/>
        </w:rPr>
        <w:t>location</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20"/>
        <w:jc w:val="both"/>
      </w:pPr>
      <w:r>
        <w:rPr/>
        <w:t>without first seeing the original coder’s stated range, and recorded an independent judgment of whether the source supports the claimed numerical range. Disagreements were resolved by consensus discussion between the two authors, with the reasoning</w:t>
      </w:r>
      <w:r>
        <w:rPr>
          <w:spacing w:val="40"/>
        </w:rPr>
        <w:t> </w:t>
      </w:r>
      <w:r>
        <w:rPr/>
        <w:t>for each resolution logged. This protocol surfaced one clear mismatch: Auer, Cornelli, and Frost (2023)</w:t>
      </w:r>
      <w:r>
        <w:rPr>
          <w:spacing w:val="40"/>
        </w:rPr>
        <w:t> </w:t>
      </w:r>
      <w:r>
        <w:rPr/>
        <w:t>—</w:t>
      </w:r>
      <w:r>
        <w:rPr>
          <w:spacing w:val="40"/>
        </w:rPr>
        <w:t> </w:t>
      </w:r>
      <w:r>
        <w:rPr/>
        <w:t>a cross-country survey of CBDC project drivers and technical design choices</w:t>
      </w:r>
      <w:r>
        <w:rPr>
          <w:spacing w:val="40"/>
        </w:rPr>
        <w:t> </w:t>
      </w:r>
      <w:r>
        <w:rPr/>
        <w:t>—</w:t>
      </w:r>
      <w:r>
        <w:rPr>
          <w:spacing w:val="40"/>
        </w:rPr>
        <w:t> </w:t>
      </w:r>
      <w:r>
        <w:rPr/>
        <w:t>does not, on independent reading</w:t>
      </w:r>
      <w:r>
        <w:rPr>
          <w:spacing w:val="-2"/>
        </w:rPr>
        <w:t> </w:t>
      </w:r>
      <w:r>
        <w:rPr/>
        <w:t>by</w:t>
      </w:r>
      <w:r>
        <w:rPr>
          <w:spacing w:val="-4"/>
        </w:rPr>
        <w:t> </w:t>
      </w:r>
      <w:r>
        <w:rPr/>
        <w:t>both authors, support numeric outflow-sensitivity claims by content, despite the plausible-sounding title. OUTFLOW_DIGITAL_SENSITIVITY</w:t>
      </w:r>
      <w:r>
        <w:rPr>
          <w:spacing w:val="80"/>
          <w:w w:val="150"/>
        </w:rPr>
        <w:t> </w:t>
      </w:r>
      <w:r>
        <w:rPr/>
        <w:t>and</w:t>
      </w:r>
      <w:r>
        <w:rPr>
          <w:spacing w:val="80"/>
          <w:w w:val="150"/>
        </w:rPr>
        <w:t> </w:t>
      </w:r>
      <w:r>
        <w:rPr/>
        <w:t>OUTFLOW_CASH_BUFFER</w:t>
      </w:r>
      <w:r>
        <w:rPr>
          <w:spacing w:val="80"/>
          <w:w w:val="150"/>
        </w:rPr>
        <w:t> </w:t>
      </w:r>
      <w:r>
        <w:rPr/>
        <w:t>have</w:t>
      </w:r>
    </w:p>
    <w:p>
      <w:pPr>
        <w:pStyle w:val="BodyText"/>
        <w:spacing w:line="480" w:lineRule="auto"/>
        <w:ind w:right="320"/>
        <w:jc w:val="both"/>
      </w:pPr>
      <w:r>
        <w:rPr/>
        <w:t>accordingly been re-attributed to Kumhof and Noone (2021), whose holding-limit and disintermediation analysis is directly on-topic for both, and every subsequent</w:t>
      </w:r>
      <w:r>
        <w:rPr>
          <w:spacing w:val="80"/>
        </w:rPr>
        <w:t> </w:t>
      </w:r>
      <w:r>
        <w:rPr/>
        <w:t>reference to these two parameters in this paper cites KN21 rather than ACF23. Keister and Sanches (2023), which OUTFLOW_RISK_SENSITIVITY and DISINTER_OUTFLOW_COEFF draw on, was confirmed on-topic by both readers independently, though the exact numeric table entries were checked by only one</w:t>
      </w:r>
      <w:r>
        <w:rPr>
          <w:spacing w:val="80"/>
        </w:rPr>
        <w:t> </w:t>
      </w:r>
      <w:r>
        <w:rPr/>
        <w:t>reader and not independently</w:t>
      </w:r>
      <w:r>
        <w:rPr>
          <w:spacing w:val="-2"/>
        </w:rPr>
        <w:t> </w:t>
      </w:r>
      <w:r>
        <w:rPr/>
        <w:t>re-derived by</w:t>
      </w:r>
      <w:r>
        <w:rPr>
          <w:spacing w:val="-3"/>
        </w:rPr>
        <w:t> </w:t>
      </w:r>
      <w:r>
        <w:rPr/>
        <w:t>the second; this remaining gap is disclosed rather</w:t>
      </w:r>
      <w:r>
        <w:rPr>
          <w:spacing w:val="40"/>
        </w:rPr>
        <w:t> </w:t>
      </w:r>
      <w:r>
        <w:rPr/>
        <w:t>than</w:t>
      </w:r>
      <w:r>
        <w:rPr>
          <w:spacing w:val="40"/>
        </w:rPr>
        <w:t> </w:t>
      </w:r>
      <w:r>
        <w:rPr/>
        <w:t>closed.</w:t>
      </w:r>
      <w:r>
        <w:rPr>
          <w:spacing w:val="40"/>
        </w:rPr>
        <w:t> </w:t>
      </w:r>
      <w:r>
        <w:rPr/>
        <w:t>The</w:t>
      </w:r>
      <w:r>
        <w:rPr>
          <w:spacing w:val="40"/>
        </w:rPr>
        <w:t> </w:t>
      </w:r>
      <w:r>
        <w:rPr/>
        <w:t>full</w:t>
      </w:r>
      <w:r>
        <w:rPr>
          <w:spacing w:val="40"/>
        </w:rPr>
        <w:t> </w:t>
      </w:r>
      <w:r>
        <w:rPr/>
        <w:t>citation-verification</w:t>
      </w:r>
      <w:r>
        <w:rPr>
          <w:spacing w:val="40"/>
        </w:rPr>
        <w:t> </w:t>
      </w:r>
      <w:r>
        <w:rPr/>
        <w:t>log</w:t>
      </w:r>
      <w:r>
        <w:rPr>
          <w:spacing w:val="40"/>
        </w:rPr>
        <w:t> </w:t>
      </w:r>
      <w:r>
        <w:rPr/>
        <w:t>—</w:t>
      </w:r>
      <w:r>
        <w:rPr>
          <w:spacing w:val="40"/>
        </w:rPr>
        <w:t> </w:t>
      </w:r>
      <w:r>
        <w:rPr/>
        <w:t>each</w:t>
      </w:r>
      <w:r>
        <w:rPr>
          <w:spacing w:val="40"/>
        </w:rPr>
        <w:t> </w:t>
      </w:r>
      <w:r>
        <w:rPr/>
        <w:t>parameter’s</w:t>
      </w:r>
      <w:r>
        <w:rPr>
          <w:spacing w:val="40"/>
        </w:rPr>
        <w:t> </w:t>
      </w:r>
      <w:r>
        <w:rPr/>
        <w:t>source, exact page/table/equation location, both readers’ independent judgments, and the consensus resolution where these differed</w:t>
      </w:r>
      <w:r>
        <w:rPr>
          <w:spacing w:val="40"/>
        </w:rPr>
        <w:t> </w:t>
      </w:r>
      <w:r>
        <w:rPr/>
        <w:t>—</w:t>
      </w:r>
      <w:r>
        <w:rPr>
          <w:spacing w:val="40"/>
        </w:rPr>
        <w:t> </w:t>
      </w:r>
      <w:r>
        <w:rPr/>
        <w:t>is provided as supplementary material accompanying this submission. Independent page-level verification of all six coefficients by</w:t>
      </w:r>
      <w:r>
        <w:rPr>
          <w:spacing w:val="-1"/>
        </w:rPr>
        <w:t> </w:t>
      </w:r>
      <w:r>
        <w:rPr/>
        <w:t>a third party</w:t>
      </w:r>
      <w:r>
        <w:rPr>
          <w:spacing w:val="-1"/>
        </w:rPr>
        <w:t> </w:t>
      </w:r>
      <w:r>
        <w:rPr/>
        <w:t>outside the author team remains recommended before any policy application.</w:t>
      </w:r>
    </w:p>
    <w:p>
      <w:pPr>
        <w:spacing w:line="480" w:lineRule="auto" w:before="0"/>
        <w:ind w:left="99" w:right="382" w:firstLine="0"/>
        <w:jc w:val="both"/>
        <w:rPr>
          <w:i/>
          <w:sz w:val="24"/>
        </w:rPr>
      </w:pPr>
      <w:r>
        <w:rPr>
          <w:i/>
          <w:sz w:val="24"/>
        </w:rPr>
        <w:t>A wider-envelope re-run of the Table F3 scenario grid, testing whether the design</w:t>
      </w:r>
      <w:r>
        <w:rPr>
          <w:i/>
          <w:sz w:val="24"/>
        </w:rPr>
        <w:t> ranking survives beyond the</w:t>
      </w:r>
      <w:r>
        <w:rPr>
          <w:i/>
          <w:spacing w:val="40"/>
          <w:sz w:val="24"/>
        </w:rPr>
        <w:t> </w:t>
      </w:r>
      <w:r>
        <w:rPr>
          <w:i/>
          <w:sz w:val="24"/>
        </w:rPr>
        <w:t>±20% perturbation reported there, is in</w:t>
      </w:r>
      <w:r>
        <w:rPr>
          <w:i/>
          <w:spacing w:val="40"/>
          <w:sz w:val="24"/>
        </w:rPr>
        <w:t> </w:t>
      </w:r>
      <w:r>
        <w:rPr>
          <w:i/>
          <w:sz w:val="24"/>
        </w:rPr>
        <w:t>§5.5.</w:t>
      </w:r>
    </w:p>
    <w:p>
      <w:pPr>
        <w:pStyle w:val="BodyText"/>
        <w:spacing w:line="480" w:lineRule="auto"/>
        <w:ind w:right="322"/>
        <w:jc w:val="both"/>
      </w:pPr>
      <w:r>
        <w:rPr/>
        <w:t>Relating the panel digital-adoption estimate (θ₃) to the simulation digital parameter. Table</w:t>
      </w:r>
      <w:r>
        <w:rPr>
          <w:spacing w:val="-6"/>
        </w:rPr>
        <w:t> </w:t>
      </w:r>
      <w:r>
        <w:rPr/>
        <w:t>2b</w:t>
      </w:r>
      <w:r>
        <w:rPr>
          <w:spacing w:val="-5"/>
        </w:rPr>
        <w:t> </w:t>
      </w:r>
      <w:r>
        <w:rPr/>
        <w:t>estimates</w:t>
      </w:r>
      <w:r>
        <w:rPr>
          <w:spacing w:val="-5"/>
        </w:rPr>
        <w:t> </w:t>
      </w:r>
      <w:r>
        <w:rPr/>
        <w:t>a</w:t>
      </w:r>
      <w:r>
        <w:rPr>
          <w:spacing w:val="-6"/>
        </w:rPr>
        <w:t> </w:t>
      </w:r>
      <w:r>
        <w:rPr/>
        <w:t>direct</w:t>
      </w:r>
      <w:r>
        <w:rPr>
          <w:spacing w:val="-4"/>
        </w:rPr>
        <w:t> </w:t>
      </w:r>
      <w:r>
        <w:rPr/>
        <w:t>panel</w:t>
      </w:r>
      <w:r>
        <w:rPr>
          <w:spacing w:val="-4"/>
        </w:rPr>
        <w:t> </w:t>
      </w:r>
      <w:r>
        <w:rPr/>
        <w:t>coefficient</w:t>
      </w:r>
      <w:r>
        <w:rPr>
          <w:spacing w:val="-6"/>
        </w:rPr>
        <w:t> </w:t>
      </w:r>
      <w:r>
        <w:rPr/>
        <w:t>on</w:t>
      </w:r>
      <w:r>
        <w:rPr>
          <w:spacing w:val="-5"/>
        </w:rPr>
        <w:t> </w:t>
      </w:r>
      <w:r>
        <w:rPr/>
        <w:t>digital</w:t>
      </w:r>
      <w:r>
        <w:rPr>
          <w:spacing w:val="-6"/>
        </w:rPr>
        <w:t> </w:t>
      </w:r>
      <w:r>
        <w:rPr/>
        <w:t>adoption</w:t>
      </w:r>
      <w:r>
        <w:rPr>
          <w:spacing w:val="-4"/>
        </w:rPr>
        <w:t> </w:t>
      </w:r>
      <w:r>
        <w:rPr/>
        <w:t>(θ₃=0.0394,</w:t>
      </w:r>
      <w:r>
        <w:rPr>
          <w:spacing w:val="-5"/>
        </w:rPr>
        <w:t> </w:t>
      </w:r>
      <w:r>
        <w:rPr>
          <w:spacing w:val="-2"/>
        </w:rPr>
        <w:t>p=0.0973,</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20"/>
        <w:jc w:val="both"/>
      </w:pPr>
      <w:r>
        <w:rPr/>
        <w:t>not significant at conventional levels): moving a country from the least to the most digital in the panel (D from 0.10 to 0.95) is associated with an increase that is positive in sign but statistically inconclusive 2.8-percentage-point increase in peak outflow.</w:t>
      </w:r>
      <w:r>
        <w:rPr>
          <w:spacing w:val="40"/>
        </w:rPr>
        <w:t> </w:t>
      </w:r>
      <w:r>
        <w:rPr/>
        <w:t>The simulation instead carries digital adoption through OUTFLOW_DIGITAL_SENSITIVITY</w:t>
      </w:r>
      <w:r>
        <w:rPr>
          <w:spacing w:val="80"/>
        </w:rPr>
        <w:t> </w:t>
      </w:r>
      <w:r>
        <w:rPr/>
        <w:t>(0.35,</w:t>
      </w:r>
      <w:r>
        <w:rPr>
          <w:spacing w:val="80"/>
        </w:rPr>
        <w:t> </w:t>
      </w:r>
      <w:r>
        <w:rPr/>
        <w:t>range</w:t>
      </w:r>
      <w:r>
        <w:rPr>
          <w:spacing w:val="80"/>
        </w:rPr>
        <w:t> </w:t>
      </w:r>
      <w:r>
        <w:rPr/>
        <w:t>[0.28,</w:t>
      </w:r>
      <w:r>
        <w:rPr>
          <w:spacing w:val="80"/>
        </w:rPr>
        <w:t> </w:t>
      </w:r>
      <w:r>
        <w:rPr/>
        <w:t>0.42];</w:t>
      </w:r>
      <w:r>
        <w:rPr>
          <w:spacing w:val="80"/>
        </w:rPr>
        <w:t> </w:t>
      </w:r>
      <w:r>
        <w:rPr/>
        <w:t>KN21,</w:t>
      </w:r>
      <w:r>
        <w:rPr>
          <w:spacing w:val="80"/>
        </w:rPr>
        <w:t> </w:t>
      </w:r>
      <w:r>
        <w:rPr/>
        <w:t>per</w:t>
      </w:r>
      <w:r>
        <w:rPr>
          <w:spacing w:val="80"/>
        </w:rPr>
        <w:t> </w:t>
      </w:r>
      <w:r>
        <w:rPr/>
        <w:t>the</w:t>
      </w:r>
    </w:p>
    <w:p>
      <w:pPr>
        <w:pStyle w:val="BodyText"/>
        <w:spacing w:line="480" w:lineRule="auto"/>
        <w:ind w:right="316"/>
        <w:jc w:val="both"/>
      </w:pPr>
      <w:r>
        <w:rPr/>
        <w:t>re-attribution in</w:t>
      </w:r>
      <w:r>
        <w:rPr>
          <w:spacing w:val="40"/>
        </w:rPr>
        <w:t> </w:t>
      </w:r>
      <w:r>
        <w:rPr/>
        <w:t>§3.8), which multiplies aggregate digital adoption by each agent’s own digital propensity (β·D·d_i in the outflow equation). The two quantities are not</w:t>
      </w:r>
      <w:r>
        <w:rPr>
          <w:spacing w:val="80"/>
        </w:rPr>
        <w:t> </w:t>
      </w:r>
      <w:r>
        <w:rPr/>
        <w:t>on the same scale</w:t>
      </w:r>
      <w:r>
        <w:rPr>
          <w:spacing w:val="40"/>
        </w:rPr>
        <w:t> </w:t>
      </w:r>
      <w:r>
        <w:rPr/>
        <w:t>—</w:t>
      </w:r>
      <w:r>
        <w:rPr>
          <w:spacing w:val="40"/>
        </w:rPr>
        <w:t> </w:t>
      </w:r>
      <w:r>
        <w:rPr/>
        <w:t>θ₃</w:t>
      </w:r>
      <w:r>
        <w:rPr>
          <w:spacing w:val="40"/>
        </w:rPr>
        <w:t> </w:t>
      </w:r>
      <w:r>
        <w:rPr/>
        <w:t>is an aggregate reduced-form marginal effect, while the simulation coefficient is a per-agent sensitivity that is later summed over the agent population</w:t>
      </w:r>
      <w:r>
        <w:rPr>
          <w:spacing w:val="40"/>
        </w:rPr>
        <w:t> </w:t>
      </w:r>
      <w:r>
        <w:rPr/>
        <w:t>—</w:t>
      </w:r>
      <w:r>
        <w:rPr>
          <w:spacing w:val="40"/>
        </w:rPr>
        <w:t> </w:t>
      </w:r>
      <w:r>
        <w:rPr/>
        <w:t>so they cannot be equated numerically. What can be checked is direction and sign: both are positive, i.e. higher digital adoption raises outflow in the panel and amplifies it in the simulation. The panel therefore corroborates the sign and the qualitative role that the literature-bounded digital parameter plays in the</w:t>
      </w:r>
      <w:r>
        <w:rPr>
          <w:spacing w:val="40"/>
        </w:rPr>
        <w:t> </w:t>
      </w:r>
      <w:r>
        <w:rPr/>
        <w:t>simulation, without the panel estimate being used to re-calibrate that parameter</w:t>
      </w:r>
      <w:r>
        <w:rPr>
          <w:spacing w:val="80"/>
          <w:w w:val="150"/>
        </w:rPr>
        <w:t> </w:t>
      </w:r>
      <w:r>
        <w:rPr/>
        <w:t>(which remains literature-bounded, consistent with the treatment of the other five CBDC-specific coefficients). A direct panel-to-simulation calibration of the digital channel would require a larger digital-regime sample (n=7 under the reconciled panel; Section 7.4, priority i) and is left to future work; given θ₃’s current non-significance, this calibration should not be attempted before the sample is expanded.</w:t>
      </w:r>
    </w:p>
    <w:p>
      <w:pPr>
        <w:pStyle w:val="Heading2"/>
        <w:numPr>
          <w:ilvl w:val="1"/>
          <w:numId w:val="1"/>
        </w:numPr>
        <w:tabs>
          <w:tab w:pos="457" w:val="left" w:leader="none"/>
        </w:tabs>
        <w:spacing w:line="240" w:lineRule="auto" w:before="234" w:after="0"/>
        <w:ind w:left="457" w:right="0" w:hanging="358"/>
        <w:jc w:val="both"/>
        <w:rPr>
          <w:i/>
        </w:rPr>
      </w:pPr>
      <w:r>
        <w:rPr>
          <w:i/>
        </w:rPr>
        <w:t>Welfare</w:t>
      </w:r>
      <w:r>
        <w:rPr>
          <w:i/>
          <w:spacing w:val="-10"/>
        </w:rPr>
        <w:t> </w:t>
      </w:r>
      <w:r>
        <w:rPr>
          <w:i/>
          <w:spacing w:val="-2"/>
        </w:rPr>
        <w:t>Function</w:t>
      </w:r>
    </w:p>
    <w:p>
      <w:pPr>
        <w:pStyle w:val="BodyText"/>
        <w:spacing w:before="79"/>
        <w:ind w:left="0"/>
        <w:rPr>
          <w:b/>
          <w:i/>
        </w:rPr>
      </w:pPr>
    </w:p>
    <w:p>
      <w:pPr>
        <w:pStyle w:val="BodyText"/>
        <w:jc w:val="both"/>
      </w:pPr>
      <w:r>
        <w:rPr/>
        <w:t>W</w:t>
      </w:r>
      <w:r>
        <w:rPr>
          <w:spacing w:val="19"/>
        </w:rPr>
        <w:t> </w:t>
      </w:r>
      <w:r>
        <w:rPr/>
        <w:t>=</w:t>
      </w:r>
      <w:r>
        <w:rPr>
          <w:spacing w:val="19"/>
        </w:rPr>
        <w:t> </w:t>
      </w:r>
      <w:r>
        <w:rPr/>
        <w:t>0.25·PayEff</w:t>
      </w:r>
      <w:r>
        <w:rPr>
          <w:spacing w:val="18"/>
        </w:rPr>
        <w:t> </w:t>
      </w:r>
      <w:r>
        <w:rPr/>
        <w:t>+</w:t>
      </w:r>
      <w:r>
        <w:rPr>
          <w:spacing w:val="19"/>
        </w:rPr>
        <w:t> </w:t>
      </w:r>
      <w:r>
        <w:rPr/>
        <w:t>0.10·Inclusion</w:t>
      </w:r>
      <w:r>
        <w:rPr>
          <w:spacing w:val="21"/>
        </w:rPr>
        <w:t> </w:t>
      </w:r>
      <w:r>
        <w:rPr/>
        <w:t>+</w:t>
      </w:r>
      <w:r>
        <w:rPr>
          <w:spacing w:val="19"/>
        </w:rPr>
        <w:t> </w:t>
      </w:r>
      <w:r>
        <w:rPr/>
        <w:t>0.15·Innovation</w:t>
      </w:r>
      <w:r>
        <w:rPr>
          <w:spacing w:val="76"/>
        </w:rPr>
        <w:t> </w:t>
      </w:r>
      <w:r>
        <w:rPr/>
        <w:t>−</w:t>
      </w:r>
      <w:r>
        <w:rPr>
          <w:spacing w:val="73"/>
        </w:rPr>
        <w:t> </w:t>
      </w:r>
      <w:r>
        <w:rPr/>
        <w:t>0.30·Risk</w:t>
      </w:r>
      <w:r>
        <w:rPr>
          <w:spacing w:val="76"/>
        </w:rPr>
        <w:t> </w:t>
      </w:r>
      <w:r>
        <w:rPr/>
        <w:t>−</w:t>
      </w:r>
      <w:r>
        <w:rPr>
          <w:spacing w:val="73"/>
        </w:rPr>
        <w:t> </w:t>
      </w:r>
      <w:r>
        <w:rPr>
          <w:spacing w:val="-2"/>
        </w:rPr>
        <w:t>0.15·Disinter</w:t>
      </w:r>
    </w:p>
    <w:p>
      <w:pPr>
        <w:pStyle w:val="BodyText"/>
        <w:spacing w:before="1"/>
        <w:ind w:left="0"/>
      </w:pPr>
    </w:p>
    <w:p>
      <w:pPr>
        <w:pStyle w:val="BodyText"/>
        <w:spacing w:line="480" w:lineRule="auto" w:before="1"/>
        <w:ind w:right="377"/>
        <w:jc w:val="both"/>
      </w:pPr>
      <w:r>
        <w:rPr/>
        <w:t>−</w:t>
      </w:r>
      <w:r>
        <w:rPr>
          <w:spacing w:val="40"/>
        </w:rPr>
        <w:t> </w:t>
      </w:r>
      <w:r>
        <w:rPr/>
        <w:t>0.05·Oper, where Inclusion = 0.18 + 0.35·(cap/50M) [Andolfatto, 2021]. Weights are author-specified (not empirically estimated). Revealed-preference sensitivity leaves the within-CBDC ranking unchanged (§5.6).</w:t>
      </w:r>
    </w:p>
    <w:p>
      <w:pPr>
        <w:pStyle w:val="Heading1"/>
        <w:numPr>
          <w:ilvl w:val="0"/>
          <w:numId w:val="1"/>
        </w:numPr>
        <w:tabs>
          <w:tab w:pos="337" w:val="left" w:leader="none"/>
        </w:tabs>
        <w:spacing w:line="274" w:lineRule="exact" w:before="0" w:after="0"/>
        <w:ind w:left="337" w:right="0" w:hanging="238"/>
        <w:jc w:val="both"/>
      </w:pPr>
      <w:r>
        <w:rPr>
          <w:spacing w:val="-2"/>
        </w:rPr>
        <w:t>Simulation</w:t>
      </w:r>
      <w:r>
        <w:rPr>
          <w:spacing w:val="3"/>
        </w:rPr>
        <w:t> </w:t>
      </w:r>
      <w:r>
        <w:rPr>
          <w:spacing w:val="-2"/>
        </w:rPr>
        <w:t>Results</w:t>
      </w:r>
    </w:p>
    <w:p>
      <w:pPr>
        <w:pStyle w:val="Heading1"/>
        <w:spacing w:after="0" w:line="274" w:lineRule="exact"/>
        <w:jc w:val="both"/>
        <w:sectPr>
          <w:pgSz w:w="11900" w:h="16820"/>
          <w:pgMar w:header="714" w:footer="0" w:top="1340" w:bottom="280" w:left="1700" w:right="1417"/>
        </w:sectPr>
      </w:pPr>
    </w:p>
    <w:p>
      <w:pPr>
        <w:pStyle w:val="Heading2"/>
        <w:numPr>
          <w:ilvl w:val="1"/>
          <w:numId w:val="1"/>
        </w:numPr>
        <w:tabs>
          <w:tab w:pos="457" w:val="left" w:leader="none"/>
        </w:tabs>
        <w:spacing w:line="240" w:lineRule="auto" w:before="79" w:after="0"/>
        <w:ind w:left="457" w:right="0" w:hanging="358"/>
        <w:jc w:val="left"/>
        <w:rPr>
          <w:i/>
        </w:rPr>
      </w:pPr>
      <w:r>
        <w:rPr>
          <w:i/>
        </w:rPr>
        <w:t>Korea</w:t>
      </w:r>
      <w:r>
        <w:rPr>
          <w:i/>
          <w:spacing w:val="-8"/>
        </w:rPr>
        <w:t> </w:t>
      </w:r>
      <w:r>
        <w:rPr>
          <w:i/>
        </w:rPr>
        <w:t>Baseline</w:t>
      </w:r>
      <w:r>
        <w:rPr>
          <w:i/>
          <w:spacing w:val="45"/>
        </w:rPr>
        <w:t> </w:t>
      </w:r>
      <w:r>
        <w:rPr>
          <w:i/>
        </w:rPr>
        <w:t>—</w:t>
      </w:r>
      <w:r>
        <w:rPr>
          <w:i/>
          <w:spacing w:val="44"/>
        </w:rPr>
        <w:t> </w:t>
      </w:r>
      <w:r>
        <w:rPr>
          <w:i/>
        </w:rPr>
        <w:t>Two</w:t>
      </w:r>
      <w:r>
        <w:rPr>
          <w:i/>
          <w:spacing w:val="-7"/>
        </w:rPr>
        <w:t> </w:t>
      </w:r>
      <w:r>
        <w:rPr>
          <w:i/>
        </w:rPr>
        <w:t>Separate</w:t>
      </w:r>
      <w:r>
        <w:rPr>
          <w:i/>
          <w:spacing w:val="-9"/>
        </w:rPr>
        <w:t> </w:t>
      </w:r>
      <w:r>
        <w:rPr>
          <w:i/>
        </w:rPr>
        <w:t>Rankings</w:t>
      </w:r>
      <w:r>
        <w:rPr>
          <w:i/>
          <w:spacing w:val="-7"/>
        </w:rPr>
        <w:t> </w:t>
      </w:r>
      <w:r>
        <w:rPr>
          <w:i/>
        </w:rPr>
        <w:t>(Table</w:t>
      </w:r>
      <w:r>
        <w:rPr>
          <w:i/>
          <w:spacing w:val="-8"/>
        </w:rPr>
        <w:t> </w:t>
      </w:r>
      <w:r>
        <w:rPr>
          <w:i/>
          <w:spacing w:val="-5"/>
        </w:rPr>
        <w:t>4)</w:t>
      </w:r>
    </w:p>
    <w:p>
      <w:pPr>
        <w:pStyle w:val="BodyText"/>
        <w:spacing w:before="81"/>
        <w:ind w:left="0"/>
        <w:rPr>
          <w:b/>
          <w:i/>
        </w:rPr>
      </w:pPr>
    </w:p>
    <w:p>
      <w:pPr>
        <w:spacing w:before="0" w:after="56"/>
        <w:ind w:left="247" w:right="530" w:firstLine="0"/>
        <w:jc w:val="center"/>
        <w:rPr>
          <w:b/>
          <w:sz w:val="24"/>
        </w:rPr>
      </w:pPr>
      <w:r>
        <w:rPr>
          <w:b/>
          <w:sz w:val="24"/>
        </w:rPr>
        <w:t>Table4.</w:t>
      </w:r>
      <w:r>
        <w:rPr>
          <w:b/>
          <w:spacing w:val="-7"/>
          <w:sz w:val="24"/>
        </w:rPr>
        <w:t> </w:t>
      </w:r>
      <w:r>
        <w:rPr>
          <w:b/>
          <w:sz w:val="24"/>
        </w:rPr>
        <w:t>Korea</w:t>
      </w:r>
      <w:r>
        <w:rPr>
          <w:b/>
          <w:spacing w:val="-3"/>
          <w:sz w:val="24"/>
        </w:rPr>
        <w:t> </w:t>
      </w:r>
      <w:r>
        <w:rPr>
          <w:b/>
          <w:sz w:val="24"/>
        </w:rPr>
        <w:t>CBDC</w:t>
      </w:r>
      <w:r>
        <w:rPr>
          <w:b/>
          <w:spacing w:val="-6"/>
          <w:sz w:val="24"/>
        </w:rPr>
        <w:t> </w:t>
      </w:r>
      <w:r>
        <w:rPr>
          <w:b/>
          <w:sz w:val="24"/>
        </w:rPr>
        <w:t>Design</w:t>
      </w:r>
      <w:r>
        <w:rPr>
          <w:b/>
          <w:spacing w:val="-5"/>
          <w:sz w:val="24"/>
        </w:rPr>
        <w:t> </w:t>
      </w:r>
      <w:r>
        <w:rPr>
          <w:b/>
          <w:sz w:val="24"/>
        </w:rPr>
        <w:t>Comparison</w:t>
      </w:r>
      <w:r>
        <w:rPr>
          <w:b/>
          <w:spacing w:val="-4"/>
          <w:sz w:val="24"/>
        </w:rPr>
        <w:t> </w:t>
      </w:r>
      <w:r>
        <w:rPr>
          <w:b/>
          <w:sz w:val="24"/>
        </w:rPr>
        <w:t>(shock=0.75,</w:t>
      </w:r>
      <w:r>
        <w:rPr>
          <w:b/>
          <w:spacing w:val="-5"/>
          <w:sz w:val="24"/>
        </w:rPr>
        <w:t> </w:t>
      </w:r>
      <w:r>
        <w:rPr>
          <w:b/>
          <w:sz w:val="24"/>
        </w:rPr>
        <w:t>N=300</w:t>
      </w:r>
      <w:r>
        <w:rPr>
          <w:b/>
          <w:spacing w:val="-6"/>
          <w:sz w:val="24"/>
        </w:rPr>
        <w:t> </w:t>
      </w:r>
      <w:r>
        <w:rPr>
          <w:b/>
          <w:sz w:val="24"/>
        </w:rPr>
        <w:t>direct</w:t>
      </w:r>
      <w:r>
        <w:rPr>
          <w:b/>
          <w:spacing w:val="-6"/>
          <w:sz w:val="24"/>
        </w:rPr>
        <w:t> </w:t>
      </w:r>
      <w:r>
        <w:rPr>
          <w:b/>
          <w:sz w:val="24"/>
        </w:rPr>
        <w:t>MC</w:t>
      </w:r>
      <w:r>
        <w:rPr>
          <w:b/>
          <w:spacing w:val="-6"/>
          <w:sz w:val="24"/>
        </w:rPr>
        <w:t> </w:t>
      </w:r>
      <w:r>
        <w:rPr>
          <w:b/>
          <w:sz w:val="24"/>
        </w:rPr>
        <w:t>runs per design, common LOLR-enabled setting, python-mt19937-v6.0)</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3"/>
        <w:gridCol w:w="982"/>
        <w:gridCol w:w="1522"/>
        <w:gridCol w:w="1009"/>
        <w:gridCol w:w="925"/>
        <w:gridCol w:w="1275"/>
        <w:gridCol w:w="1275"/>
      </w:tblGrid>
      <w:tr>
        <w:trPr>
          <w:trHeight w:val="280" w:hRule="atLeast"/>
        </w:trPr>
        <w:tc>
          <w:tcPr>
            <w:tcW w:w="1303" w:type="dxa"/>
          </w:tcPr>
          <w:p>
            <w:pPr>
              <w:pStyle w:val="TableParagraph"/>
              <w:spacing w:line="246" w:lineRule="exact"/>
              <w:ind w:left="0" w:right="321"/>
              <w:jc w:val="right"/>
              <w:rPr>
                <w:b/>
                <w:sz w:val="22"/>
              </w:rPr>
            </w:pPr>
            <w:r>
              <w:rPr>
                <w:b/>
                <w:spacing w:val="-2"/>
                <w:sz w:val="22"/>
              </w:rPr>
              <w:t>Design</w:t>
            </w:r>
          </w:p>
        </w:tc>
        <w:tc>
          <w:tcPr>
            <w:tcW w:w="982" w:type="dxa"/>
          </w:tcPr>
          <w:p>
            <w:pPr>
              <w:pStyle w:val="TableParagraph"/>
              <w:spacing w:line="246" w:lineRule="exact"/>
              <w:ind w:left="203"/>
              <w:rPr>
                <w:b/>
                <w:sz w:val="22"/>
              </w:rPr>
            </w:pPr>
            <w:r>
              <w:rPr>
                <w:b/>
                <w:spacing w:val="-2"/>
                <w:sz w:val="22"/>
              </w:rPr>
              <w:t>P(Fail)</w:t>
            </w:r>
          </w:p>
        </w:tc>
        <w:tc>
          <w:tcPr>
            <w:tcW w:w="1522" w:type="dxa"/>
          </w:tcPr>
          <w:p>
            <w:pPr>
              <w:pStyle w:val="TableParagraph"/>
              <w:spacing w:line="246" w:lineRule="exact"/>
              <w:ind w:left="113"/>
              <w:rPr>
                <w:b/>
                <w:sz w:val="22"/>
              </w:rPr>
            </w:pPr>
            <w:r>
              <w:rPr>
                <w:b/>
                <w:spacing w:val="-12"/>
                <w:sz w:val="22"/>
              </w:rPr>
              <w:t>Wilson</w:t>
            </w:r>
            <w:r>
              <w:rPr>
                <w:b/>
                <w:spacing w:val="-16"/>
                <w:sz w:val="22"/>
              </w:rPr>
              <w:t> </w:t>
            </w:r>
            <w:r>
              <w:rPr>
                <w:b/>
                <w:spacing w:val="-12"/>
                <w:sz w:val="22"/>
              </w:rPr>
              <w:t>95%</w:t>
            </w:r>
            <w:r>
              <w:rPr>
                <w:b/>
                <w:spacing w:val="-29"/>
                <w:sz w:val="22"/>
              </w:rPr>
              <w:t> </w:t>
            </w:r>
            <w:r>
              <w:rPr>
                <w:b/>
                <w:spacing w:val="-12"/>
                <w:sz w:val="22"/>
              </w:rPr>
              <w:t>CI</w:t>
            </w:r>
          </w:p>
        </w:tc>
        <w:tc>
          <w:tcPr>
            <w:tcW w:w="1009" w:type="dxa"/>
          </w:tcPr>
          <w:p>
            <w:pPr>
              <w:pStyle w:val="TableParagraph"/>
              <w:spacing w:line="246" w:lineRule="exact"/>
              <w:ind w:left="105"/>
              <w:rPr>
                <w:b/>
                <w:sz w:val="22"/>
              </w:rPr>
            </w:pPr>
            <w:r>
              <w:rPr>
                <w:b/>
                <w:spacing w:val="-2"/>
                <w:sz w:val="22"/>
              </w:rPr>
              <w:t>Stability</w:t>
            </w:r>
          </w:p>
        </w:tc>
        <w:tc>
          <w:tcPr>
            <w:tcW w:w="925" w:type="dxa"/>
          </w:tcPr>
          <w:p>
            <w:pPr>
              <w:pStyle w:val="TableParagraph"/>
              <w:spacing w:line="246" w:lineRule="exact"/>
              <w:ind w:left="0" w:right="1"/>
              <w:jc w:val="center"/>
              <w:rPr>
                <w:b/>
                <w:sz w:val="22"/>
              </w:rPr>
            </w:pPr>
            <w:r>
              <w:rPr>
                <w:b/>
                <w:spacing w:val="-2"/>
                <w:sz w:val="22"/>
              </w:rPr>
              <w:t>Welfare</w:t>
            </w:r>
          </w:p>
        </w:tc>
        <w:tc>
          <w:tcPr>
            <w:tcW w:w="1275" w:type="dxa"/>
          </w:tcPr>
          <w:p>
            <w:pPr>
              <w:pStyle w:val="TableParagraph"/>
              <w:spacing w:line="246" w:lineRule="exact"/>
              <w:ind w:left="313"/>
              <w:rPr>
                <w:b/>
                <w:sz w:val="22"/>
              </w:rPr>
            </w:pPr>
            <w:r>
              <w:rPr>
                <w:b/>
                <w:spacing w:val="-2"/>
                <w:sz w:val="22"/>
              </w:rPr>
              <w:t>run_id</w:t>
            </w:r>
          </w:p>
        </w:tc>
        <w:tc>
          <w:tcPr>
            <w:tcW w:w="1275" w:type="dxa"/>
          </w:tcPr>
          <w:p>
            <w:pPr>
              <w:pStyle w:val="TableParagraph"/>
              <w:spacing w:line="246" w:lineRule="exact"/>
              <w:ind w:left="155"/>
              <w:rPr>
                <w:b/>
                <w:sz w:val="22"/>
              </w:rPr>
            </w:pPr>
            <w:r>
              <w:rPr>
                <w:b/>
                <w:sz w:val="22"/>
              </w:rPr>
              <w:t>Seed-0</w:t>
            </w:r>
            <w:r>
              <w:rPr>
                <w:b/>
                <w:spacing w:val="-4"/>
                <w:sz w:val="22"/>
              </w:rPr>
              <w:t> </w:t>
            </w:r>
            <w:r>
              <w:rPr>
                <w:b/>
                <w:spacing w:val="-5"/>
                <w:sz w:val="22"/>
              </w:rPr>
              <w:t>FP</w:t>
            </w:r>
          </w:p>
        </w:tc>
      </w:tr>
      <w:tr>
        <w:trPr>
          <w:trHeight w:val="570" w:hRule="atLeast"/>
        </w:trPr>
        <w:tc>
          <w:tcPr>
            <w:tcW w:w="1303" w:type="dxa"/>
          </w:tcPr>
          <w:p>
            <w:pPr>
              <w:pStyle w:val="TableParagraph"/>
              <w:spacing w:before="139"/>
              <w:ind w:left="0" w:right="258"/>
              <w:jc w:val="right"/>
              <w:rPr>
                <w:sz w:val="22"/>
              </w:rPr>
            </w:pPr>
            <w:r>
              <w:rPr>
                <w:sz w:val="22"/>
              </w:rPr>
              <w:t>No</w:t>
            </w:r>
            <w:r>
              <w:rPr>
                <w:spacing w:val="-2"/>
                <w:sz w:val="22"/>
              </w:rPr>
              <w:t> </w:t>
            </w:r>
            <w:r>
              <w:rPr>
                <w:spacing w:val="-4"/>
                <w:sz w:val="22"/>
              </w:rPr>
              <w:t>CBDC</w:t>
            </w:r>
          </w:p>
        </w:tc>
        <w:tc>
          <w:tcPr>
            <w:tcW w:w="982" w:type="dxa"/>
          </w:tcPr>
          <w:p>
            <w:pPr>
              <w:pStyle w:val="TableParagraph"/>
              <w:spacing w:before="139"/>
              <w:rPr>
                <w:sz w:val="22"/>
              </w:rPr>
            </w:pPr>
            <w:r>
              <w:rPr>
                <w:spacing w:val="-2"/>
                <w:sz w:val="22"/>
              </w:rPr>
              <w:t>0.0400</w:t>
            </w:r>
          </w:p>
        </w:tc>
        <w:tc>
          <w:tcPr>
            <w:tcW w:w="1522" w:type="dxa"/>
          </w:tcPr>
          <w:p>
            <w:pPr>
              <w:pStyle w:val="TableParagraph"/>
              <w:spacing w:line="246" w:lineRule="exact"/>
              <w:ind w:left="106"/>
              <w:rPr>
                <w:sz w:val="22"/>
              </w:rPr>
            </w:pPr>
            <w:r>
              <w:rPr>
                <w:spacing w:val="-2"/>
                <w:sz w:val="22"/>
              </w:rPr>
              <w:t>[0.0230,</w:t>
            </w:r>
          </w:p>
          <w:p>
            <w:pPr>
              <w:pStyle w:val="TableParagraph"/>
              <w:spacing w:before="39"/>
              <w:ind w:left="106"/>
              <w:rPr>
                <w:sz w:val="22"/>
              </w:rPr>
            </w:pPr>
            <w:r>
              <w:rPr>
                <w:spacing w:val="-2"/>
                <w:sz w:val="22"/>
              </w:rPr>
              <w:t>0.0686]</w:t>
            </w:r>
          </w:p>
        </w:tc>
        <w:tc>
          <w:tcPr>
            <w:tcW w:w="1009" w:type="dxa"/>
          </w:tcPr>
          <w:p>
            <w:pPr>
              <w:pStyle w:val="TableParagraph"/>
              <w:spacing w:before="139"/>
              <w:ind w:left="105"/>
              <w:rPr>
                <w:sz w:val="22"/>
              </w:rPr>
            </w:pPr>
            <w:r>
              <w:rPr>
                <w:spacing w:val="-2"/>
                <w:sz w:val="22"/>
              </w:rPr>
              <w:t>0.9428</w:t>
            </w:r>
          </w:p>
        </w:tc>
        <w:tc>
          <w:tcPr>
            <w:tcW w:w="925" w:type="dxa"/>
          </w:tcPr>
          <w:p>
            <w:pPr>
              <w:pStyle w:val="TableParagraph"/>
              <w:spacing w:before="139"/>
              <w:ind w:left="0" w:right="99"/>
              <w:jc w:val="center"/>
              <w:rPr>
                <w:sz w:val="22"/>
              </w:rPr>
            </w:pPr>
            <w:r>
              <w:rPr>
                <w:spacing w:val="-2"/>
                <w:sz w:val="22"/>
              </w:rPr>
              <w:t>0.7928</w:t>
            </w:r>
          </w:p>
        </w:tc>
        <w:tc>
          <w:tcPr>
            <w:tcW w:w="1275" w:type="dxa"/>
          </w:tcPr>
          <w:p>
            <w:pPr>
              <w:pStyle w:val="TableParagraph"/>
              <w:spacing w:line="246" w:lineRule="exact"/>
              <w:ind w:left="102"/>
              <w:rPr>
                <w:sz w:val="22"/>
              </w:rPr>
            </w:pPr>
            <w:r>
              <w:rPr>
                <w:spacing w:val="-2"/>
                <w:sz w:val="22"/>
              </w:rPr>
              <w:t>ce3e1ae084</w:t>
            </w:r>
          </w:p>
          <w:p>
            <w:pPr>
              <w:pStyle w:val="TableParagraph"/>
              <w:spacing w:before="39"/>
              <w:ind w:left="102"/>
              <w:rPr>
                <w:sz w:val="22"/>
              </w:rPr>
            </w:pPr>
            <w:r>
              <w:rPr>
                <w:spacing w:val="-2"/>
                <w:sz w:val="22"/>
              </w:rPr>
              <w:t>b1515d</w:t>
            </w:r>
          </w:p>
        </w:tc>
        <w:tc>
          <w:tcPr>
            <w:tcW w:w="1275" w:type="dxa"/>
          </w:tcPr>
          <w:p>
            <w:pPr>
              <w:pStyle w:val="TableParagraph"/>
              <w:spacing w:line="246" w:lineRule="exact"/>
              <w:ind w:left="100"/>
              <w:rPr>
                <w:sz w:val="22"/>
              </w:rPr>
            </w:pPr>
            <w:r>
              <w:rPr>
                <w:spacing w:val="-2"/>
                <w:sz w:val="22"/>
              </w:rPr>
              <w:t>701d44d19</w:t>
            </w:r>
          </w:p>
          <w:p>
            <w:pPr>
              <w:pStyle w:val="TableParagraph"/>
              <w:spacing w:before="39"/>
              <w:ind w:left="100"/>
              <w:rPr>
                <w:sz w:val="22"/>
              </w:rPr>
            </w:pPr>
            <w:r>
              <w:rPr>
                <w:spacing w:val="-2"/>
                <w:sz w:val="22"/>
              </w:rPr>
              <w:t>66a0f3c</w:t>
            </w:r>
          </w:p>
        </w:tc>
      </w:tr>
      <w:tr>
        <w:trPr>
          <w:trHeight w:val="570" w:hRule="atLeast"/>
        </w:trPr>
        <w:tc>
          <w:tcPr>
            <w:tcW w:w="1303" w:type="dxa"/>
          </w:tcPr>
          <w:p>
            <w:pPr>
              <w:pStyle w:val="TableParagraph"/>
              <w:spacing w:line="249" w:lineRule="exact"/>
              <w:rPr>
                <w:sz w:val="22"/>
              </w:rPr>
            </w:pPr>
            <w:r>
              <w:rPr>
                <w:spacing w:val="-2"/>
                <w:sz w:val="22"/>
              </w:rPr>
              <w:t>Unconstrain</w:t>
            </w:r>
          </w:p>
          <w:p>
            <w:pPr>
              <w:pStyle w:val="TableParagraph"/>
              <w:spacing w:before="37"/>
              <w:rPr>
                <w:sz w:val="22"/>
              </w:rPr>
            </w:pPr>
            <w:r>
              <w:rPr>
                <w:sz w:val="22"/>
              </w:rPr>
              <w:t>ed</w:t>
            </w:r>
            <w:r>
              <w:rPr>
                <w:spacing w:val="-2"/>
                <w:sz w:val="22"/>
              </w:rPr>
              <w:t> </w:t>
            </w:r>
            <w:r>
              <w:rPr>
                <w:spacing w:val="-4"/>
                <w:sz w:val="22"/>
              </w:rPr>
              <w:t>CBDC</w:t>
            </w:r>
          </w:p>
        </w:tc>
        <w:tc>
          <w:tcPr>
            <w:tcW w:w="982" w:type="dxa"/>
          </w:tcPr>
          <w:p>
            <w:pPr>
              <w:pStyle w:val="TableParagraph"/>
              <w:spacing w:before="139"/>
              <w:rPr>
                <w:sz w:val="22"/>
              </w:rPr>
            </w:pPr>
            <w:r>
              <w:rPr>
                <w:spacing w:val="-2"/>
                <w:sz w:val="22"/>
              </w:rPr>
              <w:t>0.4118</w:t>
            </w:r>
          </w:p>
        </w:tc>
        <w:tc>
          <w:tcPr>
            <w:tcW w:w="1522" w:type="dxa"/>
          </w:tcPr>
          <w:p>
            <w:pPr>
              <w:pStyle w:val="TableParagraph"/>
              <w:spacing w:line="249" w:lineRule="exact"/>
              <w:ind w:left="106"/>
              <w:rPr>
                <w:sz w:val="22"/>
              </w:rPr>
            </w:pPr>
            <w:r>
              <w:rPr>
                <w:spacing w:val="-2"/>
                <w:sz w:val="22"/>
              </w:rPr>
              <w:t>[0.3576,</w:t>
            </w:r>
          </w:p>
          <w:p>
            <w:pPr>
              <w:pStyle w:val="TableParagraph"/>
              <w:spacing w:before="37"/>
              <w:ind w:left="106"/>
              <w:rPr>
                <w:sz w:val="22"/>
              </w:rPr>
            </w:pPr>
            <w:r>
              <w:rPr>
                <w:spacing w:val="-2"/>
                <w:sz w:val="22"/>
              </w:rPr>
              <w:t>0.4683]</w:t>
            </w:r>
          </w:p>
        </w:tc>
        <w:tc>
          <w:tcPr>
            <w:tcW w:w="1009" w:type="dxa"/>
          </w:tcPr>
          <w:p>
            <w:pPr>
              <w:pStyle w:val="TableParagraph"/>
              <w:spacing w:before="139"/>
              <w:ind w:left="105"/>
              <w:rPr>
                <w:sz w:val="22"/>
              </w:rPr>
            </w:pPr>
            <w:r>
              <w:rPr>
                <w:spacing w:val="-2"/>
                <w:sz w:val="22"/>
              </w:rPr>
              <w:t>0.4869</w:t>
            </w:r>
          </w:p>
        </w:tc>
        <w:tc>
          <w:tcPr>
            <w:tcW w:w="925" w:type="dxa"/>
          </w:tcPr>
          <w:p>
            <w:pPr>
              <w:pStyle w:val="TableParagraph"/>
              <w:spacing w:before="139"/>
              <w:ind w:left="0" w:right="99"/>
              <w:jc w:val="center"/>
              <w:rPr>
                <w:sz w:val="22"/>
              </w:rPr>
            </w:pPr>
            <w:r>
              <w:rPr>
                <w:spacing w:val="-2"/>
                <w:sz w:val="22"/>
              </w:rPr>
              <w:t>0.7023</w:t>
            </w:r>
          </w:p>
        </w:tc>
        <w:tc>
          <w:tcPr>
            <w:tcW w:w="1275" w:type="dxa"/>
          </w:tcPr>
          <w:p>
            <w:pPr>
              <w:pStyle w:val="TableParagraph"/>
              <w:spacing w:line="249" w:lineRule="exact"/>
              <w:ind w:left="102"/>
              <w:rPr>
                <w:sz w:val="22"/>
              </w:rPr>
            </w:pPr>
            <w:r>
              <w:rPr>
                <w:spacing w:val="-2"/>
                <w:sz w:val="22"/>
              </w:rPr>
              <w:t>92ae321ceb</w:t>
            </w:r>
          </w:p>
          <w:p>
            <w:pPr>
              <w:pStyle w:val="TableParagraph"/>
              <w:spacing w:before="37"/>
              <w:ind w:left="102"/>
              <w:rPr>
                <w:sz w:val="22"/>
              </w:rPr>
            </w:pPr>
            <w:r>
              <w:rPr>
                <w:spacing w:val="-2"/>
                <w:sz w:val="22"/>
              </w:rPr>
              <w:t>d0f68e</w:t>
            </w:r>
          </w:p>
        </w:tc>
        <w:tc>
          <w:tcPr>
            <w:tcW w:w="1275" w:type="dxa"/>
          </w:tcPr>
          <w:p>
            <w:pPr>
              <w:pStyle w:val="TableParagraph"/>
              <w:spacing w:line="249" w:lineRule="exact"/>
              <w:ind w:left="100"/>
              <w:rPr>
                <w:sz w:val="22"/>
              </w:rPr>
            </w:pPr>
            <w:r>
              <w:rPr>
                <w:spacing w:val="-2"/>
                <w:sz w:val="22"/>
              </w:rPr>
              <w:t>75a18be02</w:t>
            </w:r>
          </w:p>
          <w:p>
            <w:pPr>
              <w:pStyle w:val="TableParagraph"/>
              <w:spacing w:before="37"/>
              <w:ind w:left="100"/>
              <w:rPr>
                <w:sz w:val="22"/>
              </w:rPr>
            </w:pPr>
            <w:r>
              <w:rPr>
                <w:spacing w:val="-2"/>
                <w:sz w:val="22"/>
              </w:rPr>
              <w:t>057dd8f</w:t>
            </w:r>
          </w:p>
        </w:tc>
      </w:tr>
      <w:tr>
        <w:trPr>
          <w:trHeight w:val="572" w:hRule="atLeast"/>
        </w:trPr>
        <w:tc>
          <w:tcPr>
            <w:tcW w:w="1303" w:type="dxa"/>
          </w:tcPr>
          <w:p>
            <w:pPr>
              <w:pStyle w:val="TableParagraph"/>
              <w:spacing w:line="249" w:lineRule="exact"/>
              <w:rPr>
                <w:sz w:val="22"/>
              </w:rPr>
            </w:pPr>
            <w:r>
              <w:rPr>
                <w:sz w:val="22"/>
              </w:rPr>
              <w:t>Fixed</w:t>
            </w:r>
            <w:r>
              <w:rPr>
                <w:spacing w:val="-4"/>
                <w:sz w:val="22"/>
              </w:rPr>
              <w:t> </w:t>
            </w:r>
            <w:r>
              <w:rPr>
                <w:spacing w:val="-2"/>
                <w:sz w:val="22"/>
              </w:rPr>
              <w:t>Limit</w:t>
            </w:r>
          </w:p>
          <w:p>
            <w:pPr>
              <w:pStyle w:val="TableParagraph"/>
              <w:spacing w:before="37"/>
              <w:rPr>
                <w:sz w:val="22"/>
              </w:rPr>
            </w:pPr>
            <w:r>
              <w:rPr>
                <w:sz w:val="22"/>
              </w:rPr>
              <w:t>(20M</w:t>
            </w:r>
            <w:r>
              <w:rPr>
                <w:spacing w:val="-6"/>
                <w:sz w:val="22"/>
              </w:rPr>
              <w:t> </w:t>
            </w:r>
            <w:r>
              <w:rPr>
                <w:spacing w:val="-4"/>
                <w:sz w:val="22"/>
              </w:rPr>
              <w:t>KRW)</w:t>
            </w:r>
          </w:p>
        </w:tc>
        <w:tc>
          <w:tcPr>
            <w:tcW w:w="982" w:type="dxa"/>
          </w:tcPr>
          <w:p>
            <w:pPr>
              <w:pStyle w:val="TableParagraph"/>
              <w:spacing w:before="142"/>
              <w:rPr>
                <w:sz w:val="22"/>
              </w:rPr>
            </w:pPr>
            <w:r>
              <w:rPr>
                <w:spacing w:val="-2"/>
                <w:sz w:val="22"/>
              </w:rPr>
              <w:t>0.3197</w:t>
            </w:r>
          </w:p>
        </w:tc>
        <w:tc>
          <w:tcPr>
            <w:tcW w:w="1522" w:type="dxa"/>
          </w:tcPr>
          <w:p>
            <w:pPr>
              <w:pStyle w:val="TableParagraph"/>
              <w:spacing w:line="249" w:lineRule="exact"/>
              <w:ind w:left="106"/>
              <w:rPr>
                <w:sz w:val="22"/>
              </w:rPr>
            </w:pPr>
            <w:r>
              <w:rPr>
                <w:spacing w:val="-2"/>
                <w:sz w:val="22"/>
              </w:rPr>
              <w:t>[0.2695,</w:t>
            </w:r>
          </w:p>
          <w:p>
            <w:pPr>
              <w:pStyle w:val="TableParagraph"/>
              <w:spacing w:before="37"/>
              <w:ind w:left="106"/>
              <w:rPr>
                <w:sz w:val="22"/>
              </w:rPr>
            </w:pPr>
            <w:r>
              <w:rPr>
                <w:spacing w:val="-2"/>
                <w:sz w:val="22"/>
              </w:rPr>
              <w:t>0.3745]</w:t>
            </w:r>
          </w:p>
        </w:tc>
        <w:tc>
          <w:tcPr>
            <w:tcW w:w="1009" w:type="dxa"/>
          </w:tcPr>
          <w:p>
            <w:pPr>
              <w:pStyle w:val="TableParagraph"/>
              <w:spacing w:before="142"/>
              <w:ind w:left="105"/>
              <w:rPr>
                <w:sz w:val="22"/>
              </w:rPr>
            </w:pPr>
            <w:r>
              <w:rPr>
                <w:spacing w:val="-2"/>
                <w:sz w:val="22"/>
              </w:rPr>
              <w:t>0.5965</w:t>
            </w:r>
          </w:p>
        </w:tc>
        <w:tc>
          <w:tcPr>
            <w:tcW w:w="925" w:type="dxa"/>
          </w:tcPr>
          <w:p>
            <w:pPr>
              <w:pStyle w:val="TableParagraph"/>
              <w:spacing w:before="142"/>
              <w:ind w:left="0" w:right="99"/>
              <w:jc w:val="center"/>
              <w:rPr>
                <w:sz w:val="22"/>
              </w:rPr>
            </w:pPr>
            <w:r>
              <w:rPr>
                <w:spacing w:val="-2"/>
                <w:sz w:val="22"/>
              </w:rPr>
              <w:t>0.6971</w:t>
            </w:r>
          </w:p>
        </w:tc>
        <w:tc>
          <w:tcPr>
            <w:tcW w:w="1275" w:type="dxa"/>
          </w:tcPr>
          <w:p>
            <w:pPr>
              <w:pStyle w:val="TableParagraph"/>
              <w:spacing w:line="249" w:lineRule="exact"/>
              <w:ind w:left="102"/>
              <w:rPr>
                <w:sz w:val="22"/>
              </w:rPr>
            </w:pPr>
            <w:r>
              <w:rPr>
                <w:spacing w:val="-2"/>
                <w:sz w:val="22"/>
              </w:rPr>
              <w:t>8d045a6a7</w:t>
            </w:r>
          </w:p>
          <w:p>
            <w:pPr>
              <w:pStyle w:val="TableParagraph"/>
              <w:spacing w:before="37"/>
              <w:ind w:left="102"/>
              <w:rPr>
                <w:sz w:val="22"/>
              </w:rPr>
            </w:pPr>
            <w:r>
              <w:rPr>
                <w:spacing w:val="-2"/>
                <w:sz w:val="22"/>
              </w:rPr>
              <w:t>d75ef77</w:t>
            </w:r>
          </w:p>
        </w:tc>
        <w:tc>
          <w:tcPr>
            <w:tcW w:w="1275" w:type="dxa"/>
          </w:tcPr>
          <w:p>
            <w:pPr>
              <w:pStyle w:val="TableParagraph"/>
              <w:spacing w:line="249" w:lineRule="exact"/>
              <w:ind w:left="100"/>
              <w:rPr>
                <w:sz w:val="22"/>
              </w:rPr>
            </w:pPr>
            <w:r>
              <w:rPr>
                <w:spacing w:val="-2"/>
                <w:sz w:val="22"/>
              </w:rPr>
              <w:t>a702291a8</w:t>
            </w:r>
          </w:p>
          <w:p>
            <w:pPr>
              <w:pStyle w:val="TableParagraph"/>
              <w:spacing w:before="37"/>
              <w:ind w:left="100"/>
              <w:rPr>
                <w:sz w:val="22"/>
              </w:rPr>
            </w:pPr>
            <w:r>
              <w:rPr>
                <w:spacing w:val="-2"/>
                <w:sz w:val="22"/>
              </w:rPr>
              <w:t>3d56f17</w:t>
            </w:r>
          </w:p>
        </w:tc>
      </w:tr>
      <w:tr>
        <w:trPr>
          <w:trHeight w:val="860" w:hRule="atLeast"/>
        </w:trPr>
        <w:tc>
          <w:tcPr>
            <w:tcW w:w="1303" w:type="dxa"/>
          </w:tcPr>
          <w:p>
            <w:pPr>
              <w:pStyle w:val="TableParagraph"/>
              <w:spacing w:line="246" w:lineRule="exact"/>
              <w:rPr>
                <w:sz w:val="22"/>
              </w:rPr>
            </w:pPr>
            <w:r>
              <w:rPr>
                <w:spacing w:val="-2"/>
                <w:sz w:val="22"/>
              </w:rPr>
              <w:t>Dynamic</w:t>
            </w:r>
          </w:p>
          <w:p>
            <w:pPr>
              <w:pStyle w:val="TableParagraph"/>
              <w:spacing w:line="290" w:lineRule="atLeast" w:before="2"/>
              <w:rPr>
                <w:sz w:val="22"/>
              </w:rPr>
            </w:pPr>
            <w:r>
              <w:rPr>
                <w:spacing w:val="-2"/>
                <w:sz w:val="22"/>
              </w:rPr>
              <w:t>Cap+Tiered </w:t>
            </w:r>
            <w:r>
              <w:rPr>
                <w:sz w:val="22"/>
              </w:rPr>
              <w:t>(20M</w:t>
            </w:r>
            <w:r>
              <w:rPr>
                <w:spacing w:val="-6"/>
                <w:sz w:val="22"/>
              </w:rPr>
              <w:t> </w:t>
            </w:r>
            <w:r>
              <w:rPr>
                <w:spacing w:val="-4"/>
                <w:sz w:val="22"/>
              </w:rPr>
              <w:t>KRW)</w:t>
            </w:r>
          </w:p>
        </w:tc>
        <w:tc>
          <w:tcPr>
            <w:tcW w:w="982" w:type="dxa"/>
          </w:tcPr>
          <w:p>
            <w:pPr>
              <w:pStyle w:val="TableParagraph"/>
              <w:spacing w:before="32"/>
              <w:ind w:left="0"/>
              <w:rPr>
                <w:b/>
                <w:sz w:val="22"/>
              </w:rPr>
            </w:pPr>
          </w:p>
          <w:p>
            <w:pPr>
              <w:pStyle w:val="TableParagraph"/>
              <w:spacing w:before="1"/>
              <w:rPr>
                <w:sz w:val="22"/>
              </w:rPr>
            </w:pPr>
            <w:r>
              <w:rPr>
                <w:spacing w:val="-2"/>
                <w:sz w:val="22"/>
              </w:rPr>
              <w:t>0.1400</w:t>
            </w:r>
          </w:p>
        </w:tc>
        <w:tc>
          <w:tcPr>
            <w:tcW w:w="1522" w:type="dxa"/>
          </w:tcPr>
          <w:p>
            <w:pPr>
              <w:pStyle w:val="TableParagraph"/>
              <w:spacing w:before="139"/>
              <w:ind w:left="106"/>
              <w:rPr>
                <w:sz w:val="22"/>
              </w:rPr>
            </w:pPr>
            <w:r>
              <w:rPr>
                <w:spacing w:val="-2"/>
                <w:sz w:val="22"/>
              </w:rPr>
              <w:t>[0.1053,</w:t>
            </w:r>
          </w:p>
          <w:p>
            <w:pPr>
              <w:pStyle w:val="TableParagraph"/>
              <w:spacing w:before="37"/>
              <w:ind w:left="106"/>
              <w:rPr>
                <w:sz w:val="22"/>
              </w:rPr>
            </w:pPr>
            <w:r>
              <w:rPr>
                <w:spacing w:val="-2"/>
                <w:sz w:val="22"/>
              </w:rPr>
              <w:t>0.1838]</w:t>
            </w:r>
          </w:p>
        </w:tc>
        <w:tc>
          <w:tcPr>
            <w:tcW w:w="1009" w:type="dxa"/>
          </w:tcPr>
          <w:p>
            <w:pPr>
              <w:pStyle w:val="TableParagraph"/>
              <w:spacing w:before="32"/>
              <w:ind w:left="0"/>
              <w:rPr>
                <w:b/>
                <w:sz w:val="22"/>
              </w:rPr>
            </w:pPr>
          </w:p>
          <w:p>
            <w:pPr>
              <w:pStyle w:val="TableParagraph"/>
              <w:spacing w:before="1"/>
              <w:ind w:left="105"/>
              <w:rPr>
                <w:sz w:val="22"/>
              </w:rPr>
            </w:pPr>
            <w:r>
              <w:rPr>
                <w:spacing w:val="-2"/>
                <w:sz w:val="22"/>
              </w:rPr>
              <w:t>0.8112</w:t>
            </w:r>
          </w:p>
        </w:tc>
        <w:tc>
          <w:tcPr>
            <w:tcW w:w="925" w:type="dxa"/>
          </w:tcPr>
          <w:p>
            <w:pPr>
              <w:pStyle w:val="TableParagraph"/>
              <w:spacing w:before="32"/>
              <w:ind w:left="0"/>
              <w:rPr>
                <w:b/>
                <w:sz w:val="22"/>
              </w:rPr>
            </w:pPr>
          </w:p>
          <w:p>
            <w:pPr>
              <w:pStyle w:val="TableParagraph"/>
              <w:spacing w:before="1"/>
              <w:ind w:left="0" w:right="99"/>
              <w:jc w:val="center"/>
              <w:rPr>
                <w:sz w:val="22"/>
              </w:rPr>
            </w:pPr>
            <w:r>
              <w:rPr>
                <w:spacing w:val="-2"/>
                <w:sz w:val="22"/>
              </w:rPr>
              <w:t>0.7625</w:t>
            </w:r>
          </w:p>
        </w:tc>
        <w:tc>
          <w:tcPr>
            <w:tcW w:w="1275" w:type="dxa"/>
          </w:tcPr>
          <w:p>
            <w:pPr>
              <w:pStyle w:val="TableParagraph"/>
              <w:spacing w:before="139"/>
              <w:ind w:left="102"/>
              <w:rPr>
                <w:sz w:val="22"/>
              </w:rPr>
            </w:pPr>
            <w:r>
              <w:rPr>
                <w:spacing w:val="-2"/>
                <w:sz w:val="22"/>
              </w:rPr>
              <w:t>8a6a59150</w:t>
            </w:r>
          </w:p>
          <w:p>
            <w:pPr>
              <w:pStyle w:val="TableParagraph"/>
              <w:spacing w:before="37"/>
              <w:ind w:left="102"/>
              <w:rPr>
                <w:sz w:val="22"/>
              </w:rPr>
            </w:pPr>
            <w:r>
              <w:rPr>
                <w:spacing w:val="-2"/>
                <w:sz w:val="22"/>
              </w:rPr>
              <w:t>71903d6</w:t>
            </w:r>
          </w:p>
        </w:tc>
        <w:tc>
          <w:tcPr>
            <w:tcW w:w="1275" w:type="dxa"/>
          </w:tcPr>
          <w:p>
            <w:pPr>
              <w:pStyle w:val="TableParagraph"/>
              <w:spacing w:line="276" w:lineRule="auto" w:before="139"/>
              <w:ind w:left="100"/>
              <w:rPr>
                <w:sz w:val="22"/>
              </w:rPr>
            </w:pPr>
            <w:r>
              <w:rPr>
                <w:spacing w:val="-2"/>
                <w:sz w:val="22"/>
              </w:rPr>
              <w:t>ba28c95c5 7f189a9</w:t>
            </w:r>
          </w:p>
        </w:tc>
      </w:tr>
    </w:tbl>
    <w:p>
      <w:pPr>
        <w:pStyle w:val="BodyText"/>
        <w:ind w:right="377"/>
        <w:jc w:val="both"/>
      </w:pPr>
      <w:r>
        <w:rPr/>
        <w:t>Notes:</w:t>
      </w:r>
      <w:r>
        <w:rPr>
          <w:spacing w:val="40"/>
        </w:rPr>
        <w:t> </w:t>
      </w:r>
      <w:r>
        <w:rPr/>
        <w:t>Two</w:t>
      </w:r>
      <w:r>
        <w:rPr>
          <w:spacing w:val="40"/>
        </w:rPr>
        <w:t> </w:t>
      </w:r>
      <w:r>
        <w:rPr/>
        <w:t>separate</w:t>
      </w:r>
      <w:r>
        <w:rPr>
          <w:spacing w:val="40"/>
        </w:rPr>
        <w:t> </w:t>
      </w:r>
      <w:r>
        <w:rPr/>
        <w:t>findings.</w:t>
      </w:r>
      <w:r>
        <w:rPr>
          <w:spacing w:val="40"/>
        </w:rPr>
        <w:t> </w:t>
      </w:r>
      <w:r>
        <w:rPr/>
        <w:t>(1)</w:t>
      </w:r>
      <w:r>
        <w:rPr>
          <w:spacing w:val="40"/>
        </w:rPr>
        <w:t> </w:t>
      </w:r>
      <w:r>
        <w:rPr/>
        <w:t>Within</w:t>
      </w:r>
      <w:r>
        <w:rPr>
          <w:spacing w:val="40"/>
        </w:rPr>
        <w:t> </w:t>
      </w:r>
      <w:r>
        <w:rPr/>
        <w:t>CBDC</w:t>
      </w:r>
      <w:r>
        <w:rPr>
          <w:spacing w:val="40"/>
        </w:rPr>
        <w:t> </w:t>
      </w:r>
      <w:r>
        <w:rPr/>
        <w:t>designs</w:t>
      </w:r>
      <w:r>
        <w:rPr>
          <w:spacing w:val="40"/>
        </w:rPr>
        <w:t> </w:t>
      </w:r>
      <w:r>
        <w:rPr/>
        <w:t>under</w:t>
      </w:r>
      <w:r>
        <w:rPr>
          <w:spacing w:val="40"/>
        </w:rPr>
        <w:t> </w:t>
      </w:r>
      <w:r>
        <w:rPr/>
        <w:t>a</w:t>
      </w:r>
      <w:r>
        <w:rPr>
          <w:spacing w:val="40"/>
        </w:rPr>
        <w:t> </w:t>
      </w:r>
      <w:r>
        <w:rPr/>
        <w:t>common</w:t>
      </w:r>
      <w:r>
        <w:rPr>
          <w:spacing w:val="80"/>
        </w:rPr>
        <w:t> </w:t>
      </w:r>
      <w:r>
        <w:rPr/>
        <w:t>LOLR-enabled v6.0 setting: DynCap+Tiered reduces P(Fail) by 27.2pp vs Unconstrained CBDC (0.1400 vs 0.4118). (2) No CBDC remains the stability reference at shock=0.75. Bracketed intervals are Wilson 95% confidence intervals for the failure proportion at N=300 direct MC runs per design (e.g. No CBDC 0.0400 [0.0230,</w:t>
      </w:r>
      <w:r>
        <w:rPr>
          <w:spacing w:val="-3"/>
        </w:rPr>
        <w:t> </w:t>
      </w:r>
      <w:r>
        <w:rPr/>
        <w:t>0.0686]);</w:t>
      </w:r>
      <w:r>
        <w:rPr>
          <w:spacing w:val="-2"/>
        </w:rPr>
        <w:t> </w:t>
      </w:r>
      <w:r>
        <w:rPr/>
        <w:t>they</w:t>
      </w:r>
      <w:r>
        <w:rPr>
          <w:spacing w:val="-5"/>
        </w:rPr>
        <w:t> </w:t>
      </w:r>
      <w:r>
        <w:rPr/>
        <w:t>quantify</w:t>
      </w:r>
      <w:r>
        <w:rPr>
          <w:spacing w:val="-5"/>
        </w:rPr>
        <w:t> </w:t>
      </w:r>
      <w:r>
        <w:rPr/>
        <w:t>Monte</w:t>
      </w:r>
      <w:r>
        <w:rPr>
          <w:spacing w:val="-1"/>
        </w:rPr>
        <w:t> </w:t>
      </w:r>
      <w:r>
        <w:rPr/>
        <w:t>Carlo sampling</w:t>
      </w:r>
      <w:r>
        <w:rPr>
          <w:spacing w:val="-2"/>
        </w:rPr>
        <w:t> </w:t>
      </w:r>
      <w:r>
        <w:rPr/>
        <w:t>uncertainty</w:t>
      </w:r>
      <w:r>
        <w:rPr>
          <w:spacing w:val="-5"/>
        </w:rPr>
        <w:t> </w:t>
      </w:r>
      <w:r>
        <w:rPr/>
        <w:t>at the</w:t>
      </w:r>
      <w:r>
        <w:rPr>
          <w:spacing w:val="-1"/>
        </w:rPr>
        <w:t> </w:t>
      </w:r>
      <w:r>
        <w:rPr/>
        <w:t>stated N</w:t>
      </w:r>
      <w:r>
        <w:rPr>
          <w:spacing w:val="-1"/>
        </w:rPr>
        <w:t> </w:t>
      </w:r>
      <w:r>
        <w:rPr/>
        <w:t>and are reproducible from it. Structural parameter uncertainty from the estimated θ₂</w:t>
      </w:r>
      <w:r>
        <w:rPr>
          <w:spacing w:val="40"/>
        </w:rPr>
        <w:t> </w:t>
      </w:r>
      <w:r>
        <w:rPr/>
        <w:t>is reported separately in Table 2 (95% CI [0.1162, 0.3770]). Fingerprints are seed-0 scenario fingerprints; MC run_id tracks the N-run batch.</w:t>
      </w:r>
    </w:p>
    <w:p>
      <w:pPr>
        <w:spacing w:line="480" w:lineRule="auto" w:before="273"/>
        <w:ind w:left="99" w:right="346" w:firstLine="0"/>
        <w:jc w:val="both"/>
        <w:rPr>
          <w:i/>
          <w:sz w:val="24"/>
        </w:rPr>
      </w:pPr>
      <w:r>
        <w:rPr>
          <w:i/>
          <w:sz w:val="24"/>
        </w:rPr>
        <w:t>All</w:t>
      </w:r>
      <w:r>
        <w:rPr>
          <w:i/>
          <w:spacing w:val="40"/>
          <w:sz w:val="24"/>
        </w:rPr>
        <w:t> </w:t>
      </w:r>
      <w:r>
        <w:rPr>
          <w:i/>
          <w:sz w:val="24"/>
        </w:rPr>
        <w:t>headline</w:t>
      </w:r>
      <w:r>
        <w:rPr>
          <w:i/>
          <w:spacing w:val="40"/>
          <w:sz w:val="24"/>
        </w:rPr>
        <w:t> </w:t>
      </w:r>
      <w:r>
        <w:rPr>
          <w:i/>
          <w:sz w:val="24"/>
        </w:rPr>
        <w:t>P(Fail)</w:t>
      </w:r>
      <w:r>
        <w:rPr>
          <w:i/>
          <w:spacing w:val="40"/>
          <w:sz w:val="24"/>
        </w:rPr>
        <w:t> </w:t>
      </w:r>
      <w:r>
        <w:rPr>
          <w:i/>
          <w:sz w:val="24"/>
        </w:rPr>
        <w:t>values</w:t>
      </w:r>
      <w:r>
        <w:rPr>
          <w:i/>
          <w:spacing w:val="40"/>
          <w:sz w:val="24"/>
        </w:rPr>
        <w:t> </w:t>
      </w:r>
      <w:r>
        <w:rPr>
          <w:i/>
          <w:sz w:val="24"/>
        </w:rPr>
        <w:t>in</w:t>
      </w:r>
      <w:r>
        <w:rPr>
          <w:i/>
          <w:spacing w:val="40"/>
          <w:sz w:val="24"/>
        </w:rPr>
        <w:t> </w:t>
      </w:r>
      <w:r>
        <w:rPr>
          <w:i/>
          <w:sz w:val="24"/>
        </w:rPr>
        <w:t>Tables</w:t>
      </w:r>
      <w:r>
        <w:rPr>
          <w:i/>
          <w:spacing w:val="40"/>
          <w:sz w:val="24"/>
        </w:rPr>
        <w:t> </w:t>
      </w:r>
      <w:r>
        <w:rPr>
          <w:i/>
          <w:sz w:val="24"/>
        </w:rPr>
        <w:t>4,</w:t>
      </w:r>
      <w:r>
        <w:rPr>
          <w:i/>
          <w:spacing w:val="40"/>
          <w:sz w:val="24"/>
        </w:rPr>
        <w:t> </w:t>
      </w:r>
      <w:r>
        <w:rPr>
          <w:i/>
          <w:sz w:val="24"/>
        </w:rPr>
        <w:t>5,</w:t>
      </w:r>
      <w:r>
        <w:rPr>
          <w:i/>
          <w:spacing w:val="40"/>
          <w:sz w:val="24"/>
        </w:rPr>
        <w:t> </w:t>
      </w:r>
      <w:r>
        <w:rPr>
          <w:i/>
          <w:sz w:val="24"/>
        </w:rPr>
        <w:t>8,</w:t>
      </w:r>
      <w:r>
        <w:rPr>
          <w:i/>
          <w:spacing w:val="40"/>
          <w:sz w:val="24"/>
        </w:rPr>
        <w:t> </w:t>
      </w:r>
      <w:r>
        <w:rPr>
          <w:i/>
          <w:sz w:val="24"/>
        </w:rPr>
        <w:t>and</w:t>
      </w:r>
      <w:r>
        <w:rPr>
          <w:i/>
          <w:spacing w:val="40"/>
          <w:sz w:val="24"/>
        </w:rPr>
        <w:t> </w:t>
      </w:r>
      <w:r>
        <w:rPr>
          <w:i/>
          <w:sz w:val="24"/>
        </w:rPr>
        <w:t>9</w:t>
      </w:r>
      <w:r>
        <w:rPr>
          <w:i/>
          <w:spacing w:val="40"/>
          <w:sz w:val="24"/>
        </w:rPr>
        <w:t> </w:t>
      </w:r>
      <w:r>
        <w:rPr>
          <w:i/>
          <w:sz w:val="24"/>
        </w:rPr>
        <w:t>are</w:t>
      </w:r>
      <w:r>
        <w:rPr>
          <w:i/>
          <w:spacing w:val="40"/>
          <w:sz w:val="24"/>
        </w:rPr>
        <w:t> </w:t>
      </w:r>
      <w:r>
        <w:rPr>
          <w:i/>
          <w:sz w:val="24"/>
        </w:rPr>
        <w:t>produced</w:t>
      </w:r>
      <w:r>
        <w:rPr>
          <w:i/>
          <w:spacing w:val="40"/>
          <w:sz w:val="24"/>
        </w:rPr>
        <w:t> </w:t>
      </w:r>
      <w:r>
        <w:rPr>
          <w:i/>
          <w:sz w:val="24"/>
        </w:rPr>
        <w:t>by</w:t>
      </w:r>
      <w:r>
        <w:rPr>
          <w:i/>
          <w:spacing w:val="40"/>
          <w:sz w:val="24"/>
        </w:rPr>
        <w:t> </w:t>
      </w:r>
      <w:r>
        <w:rPr>
          <w:i/>
          <w:sz w:val="24"/>
        </w:rPr>
        <w:t>engine</w:t>
      </w:r>
      <w:r>
        <w:rPr>
          <w:i/>
          <w:sz w:val="24"/>
        </w:rPr>
        <w:t> python-mt19937-v6.0 (seed 20260618, N=300 direct MC per design/cap). Numerical consistency</w:t>
      </w:r>
      <w:r>
        <w:rPr>
          <w:i/>
          <w:spacing w:val="-11"/>
          <w:sz w:val="24"/>
        </w:rPr>
        <w:t> </w:t>
      </w:r>
      <w:r>
        <w:rPr>
          <w:i/>
          <w:sz w:val="24"/>
        </w:rPr>
        <w:t>is</w:t>
      </w:r>
      <w:r>
        <w:rPr>
          <w:i/>
          <w:spacing w:val="-13"/>
          <w:sz w:val="24"/>
        </w:rPr>
        <w:t> </w:t>
      </w:r>
      <w:r>
        <w:rPr>
          <w:i/>
          <w:sz w:val="24"/>
        </w:rPr>
        <w:t>verified</w:t>
      </w:r>
      <w:r>
        <w:rPr>
          <w:i/>
          <w:spacing w:val="-12"/>
          <w:sz w:val="24"/>
        </w:rPr>
        <w:t> </w:t>
      </w:r>
      <w:r>
        <w:rPr>
          <w:i/>
          <w:sz w:val="24"/>
        </w:rPr>
        <w:t>via</w:t>
      </w:r>
      <w:r>
        <w:rPr>
          <w:i/>
          <w:spacing w:val="-12"/>
          <w:sz w:val="24"/>
        </w:rPr>
        <w:t> </w:t>
      </w:r>
      <w:r>
        <w:rPr>
          <w:i/>
          <w:sz w:val="24"/>
        </w:rPr>
        <w:t>the</w:t>
      </w:r>
      <w:r>
        <w:rPr>
          <w:i/>
          <w:spacing w:val="-12"/>
          <w:sz w:val="24"/>
        </w:rPr>
        <w:t> </w:t>
      </w:r>
      <w:r>
        <w:rPr>
          <w:i/>
          <w:sz w:val="24"/>
        </w:rPr>
        <w:t>replication</w:t>
      </w:r>
      <w:r>
        <w:rPr>
          <w:i/>
          <w:spacing w:val="-11"/>
          <w:sz w:val="24"/>
        </w:rPr>
        <w:t> </w:t>
      </w:r>
      <w:r>
        <w:rPr>
          <w:i/>
          <w:sz w:val="24"/>
        </w:rPr>
        <w:t>archive</w:t>
      </w:r>
      <w:r>
        <w:rPr>
          <w:i/>
          <w:spacing w:val="-11"/>
          <w:sz w:val="24"/>
        </w:rPr>
        <w:t> </w:t>
      </w:r>
      <w:r>
        <w:rPr>
          <w:i/>
          <w:sz w:val="24"/>
        </w:rPr>
        <w:t>(reproduce.py</w:t>
      </w:r>
      <w:r>
        <w:rPr>
          <w:i/>
          <w:spacing w:val="-11"/>
          <w:sz w:val="24"/>
        </w:rPr>
        <w:t> </w:t>
      </w:r>
      <w:r>
        <w:rPr>
          <w:i/>
          <w:sz w:val="24"/>
        </w:rPr>
        <w:t>--tables;</w:t>
      </w:r>
      <w:r>
        <w:rPr>
          <w:i/>
          <w:spacing w:val="-9"/>
          <w:sz w:val="24"/>
        </w:rPr>
        <w:t> </w:t>
      </w:r>
      <w:r>
        <w:rPr>
          <w:i/>
          <w:sz w:val="24"/>
        </w:rPr>
        <w:t>Appendix</w:t>
      </w:r>
      <w:r>
        <w:rPr>
          <w:i/>
          <w:spacing w:val="-12"/>
          <w:sz w:val="24"/>
        </w:rPr>
        <w:t> </w:t>
      </w:r>
      <w:r>
        <w:rPr>
          <w:i/>
          <w:spacing w:val="-5"/>
          <w:sz w:val="24"/>
        </w:rPr>
        <w:t>G).</w:t>
      </w:r>
    </w:p>
    <w:p>
      <w:pPr>
        <w:pStyle w:val="BodyText"/>
        <w:spacing w:before="2"/>
        <w:ind w:left="0"/>
        <w:rPr>
          <w:i/>
          <w:sz w:val="5"/>
        </w:rPr>
      </w:pPr>
      <w:r>
        <w:rPr>
          <w:i/>
          <w:sz w:val="5"/>
        </w:rPr>
        <w:drawing>
          <wp:anchor distT="0" distB="0" distL="0" distR="0" allowOverlap="1" layoutInCell="1" locked="0" behindDoc="1" simplePos="0" relativeHeight="487587840">
            <wp:simplePos x="0" y="0"/>
            <wp:positionH relativeFrom="page">
              <wp:posOffset>1142390</wp:posOffset>
            </wp:positionH>
            <wp:positionV relativeFrom="paragraph">
              <wp:posOffset>53062</wp:posOffset>
            </wp:positionV>
            <wp:extent cx="5283193" cy="292608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283193" cy="2926080"/>
                    </a:xfrm>
                    <a:prstGeom prst="rect">
                      <a:avLst/>
                    </a:prstGeom>
                  </pic:spPr>
                </pic:pic>
              </a:graphicData>
            </a:graphic>
          </wp:anchor>
        </w:drawing>
      </w:r>
    </w:p>
    <w:p>
      <w:pPr>
        <w:spacing w:line="242" w:lineRule="auto" w:before="68"/>
        <w:ind w:left="566" w:right="848" w:firstLine="0"/>
        <w:jc w:val="center"/>
        <w:rPr>
          <w:b/>
          <w:i/>
          <w:sz w:val="24"/>
        </w:rPr>
      </w:pPr>
      <w:r>
        <w:rPr>
          <w:b/>
          <w:i/>
          <w:sz w:val="24"/>
        </w:rPr>
        <w:t>Figure3.</w:t>
      </w:r>
      <w:r>
        <w:rPr>
          <w:b/>
          <w:i/>
          <w:spacing w:val="-6"/>
          <w:sz w:val="24"/>
        </w:rPr>
        <w:t> </w:t>
      </w:r>
      <w:r>
        <w:rPr>
          <w:b/>
          <w:i/>
          <w:sz w:val="24"/>
        </w:rPr>
        <w:t>Comparative</w:t>
      </w:r>
      <w:r>
        <w:rPr>
          <w:b/>
          <w:i/>
          <w:spacing w:val="-7"/>
          <w:sz w:val="24"/>
        </w:rPr>
        <w:t> </w:t>
      </w:r>
      <w:r>
        <w:rPr>
          <w:b/>
          <w:i/>
          <w:sz w:val="24"/>
        </w:rPr>
        <w:t>design</w:t>
      </w:r>
      <w:r>
        <w:rPr>
          <w:b/>
          <w:i/>
          <w:spacing w:val="-6"/>
          <w:sz w:val="24"/>
        </w:rPr>
        <w:t> </w:t>
      </w:r>
      <w:r>
        <w:rPr>
          <w:b/>
          <w:i/>
          <w:sz w:val="24"/>
        </w:rPr>
        <w:t>performance</w:t>
      </w:r>
      <w:r>
        <w:rPr>
          <w:b/>
          <w:i/>
          <w:spacing w:val="-7"/>
          <w:sz w:val="24"/>
        </w:rPr>
        <w:t> </w:t>
      </w:r>
      <w:r>
        <w:rPr>
          <w:b/>
          <w:i/>
          <w:sz w:val="24"/>
        </w:rPr>
        <w:t>under</w:t>
      </w:r>
      <w:r>
        <w:rPr>
          <w:b/>
          <w:i/>
          <w:spacing w:val="-9"/>
          <w:sz w:val="24"/>
        </w:rPr>
        <w:t> </w:t>
      </w:r>
      <w:r>
        <w:rPr>
          <w:b/>
          <w:i/>
          <w:sz w:val="24"/>
        </w:rPr>
        <w:t>identical</w:t>
      </w:r>
      <w:r>
        <w:rPr>
          <w:b/>
          <w:i/>
          <w:spacing w:val="-8"/>
          <w:sz w:val="24"/>
        </w:rPr>
        <w:t> </w:t>
      </w:r>
      <w:r>
        <w:rPr>
          <w:b/>
          <w:i/>
          <w:sz w:val="24"/>
        </w:rPr>
        <w:t>historical</w:t>
      </w:r>
      <w:r>
        <w:rPr>
          <w:b/>
          <w:i/>
          <w:spacing w:val="-6"/>
          <w:sz w:val="24"/>
        </w:rPr>
        <w:t> </w:t>
      </w:r>
      <w:r>
        <w:rPr>
          <w:b/>
          <w:i/>
          <w:sz w:val="24"/>
        </w:rPr>
        <w:t>stress</w:t>
      </w:r>
      <w:r>
        <w:rPr>
          <w:b/>
          <w:i/>
          <w:sz w:val="24"/>
        </w:rPr>
        <w:t> scenarios (shock = 0.75, N = 300 per design, Korea baseline; Table 4).</w:t>
      </w:r>
    </w:p>
    <w:p>
      <w:pPr>
        <w:spacing w:after="0" w:line="242" w:lineRule="auto"/>
        <w:jc w:val="center"/>
        <w:rPr>
          <w:b/>
          <w:i/>
          <w:sz w:val="24"/>
        </w:rPr>
        <w:sectPr>
          <w:pgSz w:w="11900" w:h="16820"/>
          <w:pgMar w:header="714" w:footer="0" w:top="1340" w:bottom="280" w:left="1700" w:right="1417"/>
        </w:sectPr>
      </w:pPr>
    </w:p>
    <w:p>
      <w:pPr>
        <w:pStyle w:val="BodyText"/>
        <w:spacing w:before="43"/>
        <w:ind w:left="0"/>
        <w:rPr>
          <w:b/>
          <w:i/>
        </w:rPr>
      </w:pPr>
    </w:p>
    <w:p>
      <w:pPr>
        <w:pStyle w:val="Heading2"/>
        <w:numPr>
          <w:ilvl w:val="1"/>
          <w:numId w:val="1"/>
        </w:numPr>
        <w:tabs>
          <w:tab w:pos="457" w:val="left" w:leader="none"/>
        </w:tabs>
        <w:spacing w:line="240" w:lineRule="auto" w:before="0" w:after="0"/>
        <w:ind w:left="457" w:right="0" w:hanging="358"/>
        <w:jc w:val="left"/>
        <w:rPr>
          <w:i/>
        </w:rPr>
      </w:pPr>
      <w:r>
        <w:rPr>
          <w:i/>
        </w:rPr>
        <w:t>Five-Country</w:t>
      </w:r>
      <w:r>
        <w:rPr>
          <w:i/>
          <w:spacing w:val="-14"/>
        </w:rPr>
        <w:t> </w:t>
      </w:r>
      <w:r>
        <w:rPr>
          <w:i/>
        </w:rPr>
        <w:t>Direct-MC</w:t>
      </w:r>
      <w:r>
        <w:rPr>
          <w:i/>
          <w:spacing w:val="-12"/>
        </w:rPr>
        <w:t> </w:t>
      </w:r>
      <w:r>
        <w:rPr>
          <w:i/>
        </w:rPr>
        <w:t>Panel</w:t>
      </w:r>
      <w:r>
        <w:rPr>
          <w:i/>
          <w:spacing w:val="-15"/>
        </w:rPr>
        <w:t> </w:t>
      </w:r>
      <w:r>
        <w:rPr>
          <w:i/>
        </w:rPr>
        <w:t>(Table</w:t>
      </w:r>
      <w:r>
        <w:rPr>
          <w:i/>
          <w:spacing w:val="-12"/>
        </w:rPr>
        <w:t> </w:t>
      </w:r>
      <w:r>
        <w:rPr>
          <w:i/>
          <w:spacing w:val="-5"/>
        </w:rPr>
        <w:t>5)</w:t>
      </w:r>
    </w:p>
    <w:p>
      <w:pPr>
        <w:pStyle w:val="BodyText"/>
        <w:ind w:left="0"/>
        <w:rPr>
          <w:b/>
          <w:i/>
        </w:rPr>
      </w:pPr>
    </w:p>
    <w:p>
      <w:pPr>
        <w:pStyle w:val="BodyText"/>
        <w:spacing w:before="45"/>
        <w:ind w:left="0"/>
        <w:rPr>
          <w:b/>
          <w:i/>
        </w:rPr>
      </w:pPr>
    </w:p>
    <w:p>
      <w:pPr>
        <w:spacing w:before="0" w:after="56"/>
        <w:ind w:left="139" w:right="0" w:firstLine="352"/>
        <w:jc w:val="left"/>
        <w:rPr>
          <w:b/>
          <w:sz w:val="24"/>
        </w:rPr>
      </w:pPr>
      <w:r>
        <w:rPr>
          <w:b/>
          <w:spacing w:val="-8"/>
          <w:sz w:val="24"/>
        </w:rPr>
        <w:t>Table5.</w:t>
      </w:r>
      <w:r>
        <w:rPr>
          <w:b/>
          <w:spacing w:val="-13"/>
          <w:sz w:val="24"/>
        </w:rPr>
        <w:t> </w:t>
      </w:r>
      <w:r>
        <w:rPr>
          <w:b/>
          <w:spacing w:val="-8"/>
          <w:sz w:val="24"/>
        </w:rPr>
        <w:t>Five-Country</w:t>
      </w:r>
      <w:r>
        <w:rPr>
          <w:b/>
          <w:spacing w:val="-17"/>
          <w:sz w:val="24"/>
        </w:rPr>
        <w:t> </w:t>
      </w:r>
      <w:r>
        <w:rPr>
          <w:b/>
          <w:spacing w:val="-8"/>
          <w:sz w:val="24"/>
        </w:rPr>
        <w:t>Direct-MC</w:t>
      </w:r>
      <w:r>
        <w:rPr>
          <w:b/>
          <w:spacing w:val="-25"/>
          <w:sz w:val="24"/>
        </w:rPr>
        <w:t> </w:t>
      </w:r>
      <w:r>
        <w:rPr>
          <w:b/>
          <w:spacing w:val="-8"/>
          <w:sz w:val="24"/>
        </w:rPr>
        <w:t>Panel</w:t>
      </w:r>
      <w:r>
        <w:rPr>
          <w:b/>
          <w:spacing w:val="26"/>
          <w:sz w:val="24"/>
        </w:rPr>
        <w:t> </w:t>
      </w:r>
      <w:r>
        <w:rPr>
          <w:b/>
          <w:spacing w:val="-8"/>
          <w:sz w:val="24"/>
        </w:rPr>
        <w:t>—</w:t>
      </w:r>
      <w:r>
        <w:rPr>
          <w:b/>
          <w:spacing w:val="19"/>
          <w:sz w:val="24"/>
        </w:rPr>
        <w:t> </w:t>
      </w:r>
      <w:r>
        <w:rPr>
          <w:b/>
          <w:spacing w:val="-8"/>
          <w:sz w:val="24"/>
        </w:rPr>
        <w:t>Dynamic</w:t>
      </w:r>
      <w:r>
        <w:rPr>
          <w:b/>
          <w:spacing w:val="-18"/>
          <w:sz w:val="24"/>
        </w:rPr>
        <w:t> </w:t>
      </w:r>
      <w:r>
        <w:rPr>
          <w:b/>
          <w:spacing w:val="-8"/>
          <w:sz w:val="24"/>
        </w:rPr>
        <w:t>Cap+Tiered</w:t>
      </w:r>
      <w:r>
        <w:rPr>
          <w:b/>
          <w:spacing w:val="-19"/>
          <w:sz w:val="24"/>
        </w:rPr>
        <w:t> </w:t>
      </w:r>
      <w:r>
        <w:rPr>
          <w:b/>
          <w:spacing w:val="-8"/>
          <w:sz w:val="24"/>
        </w:rPr>
        <w:t>at</w:t>
      </w:r>
      <w:r>
        <w:rPr>
          <w:b/>
          <w:spacing w:val="-16"/>
          <w:sz w:val="24"/>
        </w:rPr>
        <w:t> </w:t>
      </w:r>
      <w:r>
        <w:rPr>
          <w:b/>
          <w:spacing w:val="-8"/>
          <w:sz w:val="24"/>
        </w:rPr>
        <w:t>Coarse-Grid </w:t>
      </w:r>
      <w:r>
        <w:rPr>
          <w:b/>
          <w:spacing w:val="-14"/>
          <w:sz w:val="24"/>
        </w:rPr>
        <w:t>Benchmark</w:t>
      </w:r>
      <w:r>
        <w:rPr>
          <w:b/>
          <w:spacing w:val="-10"/>
          <w:sz w:val="24"/>
        </w:rPr>
        <w:t> </w:t>
      </w:r>
      <w:r>
        <w:rPr>
          <w:b/>
          <w:spacing w:val="-14"/>
          <w:sz w:val="24"/>
        </w:rPr>
        <w:t>Cap</w:t>
      </w:r>
      <w:r>
        <w:rPr>
          <w:b/>
          <w:spacing w:val="-7"/>
          <w:sz w:val="24"/>
        </w:rPr>
        <w:t> </w:t>
      </w:r>
      <w:r>
        <w:rPr>
          <w:b/>
          <w:spacing w:val="-14"/>
          <w:sz w:val="24"/>
        </w:rPr>
        <w:t>(shock=0.75,</w:t>
      </w:r>
      <w:r>
        <w:rPr>
          <w:b/>
          <w:spacing w:val="2"/>
          <w:sz w:val="24"/>
        </w:rPr>
        <w:t> </w:t>
      </w:r>
      <w:r>
        <w:rPr>
          <w:b/>
          <w:spacing w:val="-14"/>
          <w:sz w:val="24"/>
        </w:rPr>
        <w:t>cap=7.5M</w:t>
      </w:r>
      <w:r>
        <w:rPr>
          <w:b/>
          <w:spacing w:val="-21"/>
          <w:sz w:val="24"/>
        </w:rPr>
        <w:t> </w:t>
      </w:r>
      <w:r>
        <w:rPr>
          <w:b/>
          <w:spacing w:val="-14"/>
          <w:sz w:val="24"/>
        </w:rPr>
        <w:t>KRW,</w:t>
      </w:r>
      <w:r>
        <w:rPr>
          <w:b/>
          <w:spacing w:val="1"/>
          <w:sz w:val="24"/>
        </w:rPr>
        <w:t> </w:t>
      </w:r>
      <w:r>
        <w:rPr>
          <w:b/>
          <w:spacing w:val="-14"/>
          <w:sz w:val="24"/>
        </w:rPr>
        <w:t>N=300</w:t>
      </w:r>
      <w:r>
        <w:rPr>
          <w:b/>
          <w:spacing w:val="-8"/>
          <w:sz w:val="24"/>
        </w:rPr>
        <w:t> </w:t>
      </w:r>
      <w:r>
        <w:rPr>
          <w:b/>
          <w:spacing w:val="-14"/>
          <w:sz w:val="24"/>
        </w:rPr>
        <w:t>per</w:t>
      </w:r>
      <w:r>
        <w:rPr>
          <w:b/>
          <w:spacing w:val="-6"/>
          <w:sz w:val="24"/>
        </w:rPr>
        <w:t> </w:t>
      </w:r>
      <w:r>
        <w:rPr>
          <w:b/>
          <w:spacing w:val="-14"/>
          <w:sz w:val="24"/>
        </w:rPr>
        <w:t>country,</w:t>
      </w:r>
      <w:r>
        <w:rPr>
          <w:b/>
          <w:spacing w:val="1"/>
          <w:sz w:val="24"/>
        </w:rPr>
        <w:t> </w:t>
      </w:r>
      <w:r>
        <w:rPr>
          <w:b/>
          <w:spacing w:val="-14"/>
          <w:sz w:val="24"/>
        </w:rPr>
        <w:t>python-mt19937-v6.0)</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638"/>
        <w:gridCol w:w="959"/>
        <w:gridCol w:w="959"/>
        <w:gridCol w:w="1765"/>
        <w:gridCol w:w="1120"/>
        <w:gridCol w:w="1758"/>
      </w:tblGrid>
      <w:tr>
        <w:trPr>
          <w:trHeight w:val="570" w:hRule="atLeast"/>
        </w:trPr>
        <w:tc>
          <w:tcPr>
            <w:tcW w:w="1120" w:type="dxa"/>
          </w:tcPr>
          <w:p>
            <w:pPr>
              <w:pStyle w:val="TableParagraph"/>
              <w:spacing w:before="139"/>
              <w:ind w:left="162"/>
              <w:rPr>
                <w:b/>
                <w:sz w:val="22"/>
              </w:rPr>
            </w:pPr>
            <w:r>
              <w:rPr>
                <w:b/>
                <w:spacing w:val="-2"/>
                <w:sz w:val="22"/>
              </w:rPr>
              <w:t>Country</w:t>
            </w:r>
          </w:p>
        </w:tc>
        <w:tc>
          <w:tcPr>
            <w:tcW w:w="638" w:type="dxa"/>
          </w:tcPr>
          <w:p>
            <w:pPr>
              <w:pStyle w:val="TableParagraph"/>
              <w:spacing w:before="139"/>
              <w:ind w:left="34" w:right="23"/>
              <w:jc w:val="center"/>
              <w:rPr>
                <w:b/>
                <w:sz w:val="22"/>
              </w:rPr>
            </w:pPr>
            <w:r>
              <w:rPr>
                <w:b/>
                <w:spacing w:val="-10"/>
                <w:sz w:val="22"/>
              </w:rPr>
              <w:t>D</w:t>
            </w:r>
          </w:p>
        </w:tc>
        <w:tc>
          <w:tcPr>
            <w:tcW w:w="959" w:type="dxa"/>
          </w:tcPr>
          <w:p>
            <w:pPr>
              <w:pStyle w:val="TableParagraph"/>
              <w:spacing w:before="139"/>
              <w:ind w:left="242"/>
              <w:rPr>
                <w:b/>
                <w:sz w:val="22"/>
              </w:rPr>
            </w:pPr>
            <w:r>
              <w:rPr>
                <w:b/>
                <w:spacing w:val="-2"/>
                <w:sz w:val="22"/>
              </w:rPr>
              <w:t>theta</w:t>
            </w:r>
          </w:p>
        </w:tc>
        <w:tc>
          <w:tcPr>
            <w:tcW w:w="959" w:type="dxa"/>
          </w:tcPr>
          <w:p>
            <w:pPr>
              <w:pStyle w:val="TableParagraph"/>
              <w:spacing w:before="139"/>
              <w:ind w:left="285"/>
              <w:rPr>
                <w:b/>
                <w:sz w:val="22"/>
              </w:rPr>
            </w:pPr>
            <w:r>
              <w:rPr>
                <w:b/>
                <w:spacing w:val="-5"/>
                <w:sz w:val="22"/>
              </w:rPr>
              <w:t>Cap</w:t>
            </w:r>
          </w:p>
        </w:tc>
        <w:tc>
          <w:tcPr>
            <w:tcW w:w="1765" w:type="dxa"/>
          </w:tcPr>
          <w:p>
            <w:pPr>
              <w:pStyle w:val="TableParagraph"/>
              <w:spacing w:line="246" w:lineRule="exact"/>
              <w:ind w:left="85" w:right="70"/>
              <w:jc w:val="center"/>
              <w:rPr>
                <w:b/>
                <w:sz w:val="22"/>
              </w:rPr>
            </w:pPr>
            <w:r>
              <w:rPr>
                <w:b/>
                <w:sz w:val="22"/>
              </w:rPr>
              <w:t>P(Fail)</w:t>
            </w:r>
            <w:r>
              <w:rPr>
                <w:b/>
                <w:spacing w:val="-6"/>
                <w:sz w:val="22"/>
              </w:rPr>
              <w:t> </w:t>
            </w:r>
            <w:r>
              <w:rPr>
                <w:b/>
                <w:spacing w:val="-2"/>
                <w:sz w:val="22"/>
              </w:rPr>
              <w:t>[Wilson</w:t>
            </w:r>
          </w:p>
          <w:p>
            <w:pPr>
              <w:pStyle w:val="TableParagraph"/>
              <w:spacing w:before="37"/>
              <w:ind w:left="85"/>
              <w:jc w:val="center"/>
              <w:rPr>
                <w:b/>
                <w:sz w:val="22"/>
              </w:rPr>
            </w:pPr>
            <w:r>
              <w:rPr>
                <w:b/>
                <w:sz w:val="22"/>
              </w:rPr>
              <w:t>95% </w:t>
            </w:r>
            <w:r>
              <w:rPr>
                <w:b/>
                <w:spacing w:val="-5"/>
                <w:sz w:val="22"/>
              </w:rPr>
              <w:t>CI]</w:t>
            </w:r>
          </w:p>
        </w:tc>
        <w:tc>
          <w:tcPr>
            <w:tcW w:w="1120" w:type="dxa"/>
          </w:tcPr>
          <w:p>
            <w:pPr>
              <w:pStyle w:val="TableParagraph"/>
              <w:spacing w:before="139"/>
              <w:ind w:left="183"/>
              <w:rPr>
                <w:b/>
                <w:sz w:val="22"/>
              </w:rPr>
            </w:pPr>
            <w:r>
              <w:rPr>
                <w:b/>
                <w:spacing w:val="-2"/>
                <w:sz w:val="22"/>
              </w:rPr>
              <w:t>Welfare</w:t>
            </w:r>
          </w:p>
        </w:tc>
        <w:tc>
          <w:tcPr>
            <w:tcW w:w="1758" w:type="dxa"/>
          </w:tcPr>
          <w:p>
            <w:pPr>
              <w:pStyle w:val="TableParagraph"/>
              <w:spacing w:before="139"/>
              <w:ind w:left="586"/>
              <w:rPr>
                <w:b/>
                <w:sz w:val="22"/>
              </w:rPr>
            </w:pPr>
            <w:r>
              <w:rPr>
                <w:b/>
                <w:spacing w:val="-2"/>
                <w:sz w:val="22"/>
              </w:rPr>
              <w:t>Status</w:t>
            </w:r>
          </w:p>
        </w:tc>
      </w:tr>
      <w:tr>
        <w:trPr>
          <w:trHeight w:val="570" w:hRule="atLeast"/>
        </w:trPr>
        <w:tc>
          <w:tcPr>
            <w:tcW w:w="1120" w:type="dxa"/>
          </w:tcPr>
          <w:p>
            <w:pPr>
              <w:pStyle w:val="TableParagraph"/>
              <w:spacing w:before="139"/>
              <w:rPr>
                <w:sz w:val="22"/>
              </w:rPr>
            </w:pPr>
            <w:r>
              <w:rPr>
                <w:spacing w:val="-2"/>
                <w:sz w:val="22"/>
              </w:rPr>
              <w:t>Korea</w:t>
            </w:r>
          </w:p>
        </w:tc>
        <w:tc>
          <w:tcPr>
            <w:tcW w:w="638" w:type="dxa"/>
          </w:tcPr>
          <w:p>
            <w:pPr>
              <w:pStyle w:val="TableParagraph"/>
              <w:spacing w:before="139"/>
              <w:ind w:left="11" w:right="34"/>
              <w:jc w:val="center"/>
              <w:rPr>
                <w:sz w:val="22"/>
              </w:rPr>
            </w:pPr>
            <w:r>
              <w:rPr>
                <w:spacing w:val="-4"/>
                <w:sz w:val="22"/>
              </w:rPr>
              <w:t>0.92</w:t>
            </w:r>
          </w:p>
        </w:tc>
        <w:tc>
          <w:tcPr>
            <w:tcW w:w="959" w:type="dxa"/>
          </w:tcPr>
          <w:p>
            <w:pPr>
              <w:pStyle w:val="TableParagraph"/>
              <w:spacing w:before="139"/>
              <w:rPr>
                <w:sz w:val="22"/>
              </w:rPr>
            </w:pPr>
            <w:r>
              <w:rPr>
                <w:spacing w:val="-4"/>
                <w:sz w:val="22"/>
              </w:rPr>
              <w:t>0.62</w:t>
            </w:r>
          </w:p>
        </w:tc>
        <w:tc>
          <w:tcPr>
            <w:tcW w:w="959" w:type="dxa"/>
          </w:tcPr>
          <w:p>
            <w:pPr>
              <w:pStyle w:val="TableParagraph"/>
              <w:spacing w:before="139"/>
              <w:ind w:left="108"/>
              <w:rPr>
                <w:sz w:val="22"/>
              </w:rPr>
            </w:pPr>
            <w:r>
              <w:rPr>
                <w:spacing w:val="-4"/>
                <w:sz w:val="22"/>
              </w:rPr>
              <w:t>7.5M</w:t>
            </w:r>
          </w:p>
        </w:tc>
        <w:tc>
          <w:tcPr>
            <w:tcW w:w="1765" w:type="dxa"/>
          </w:tcPr>
          <w:p>
            <w:pPr>
              <w:pStyle w:val="TableParagraph"/>
              <w:spacing w:line="249" w:lineRule="exact"/>
              <w:ind w:left="108"/>
              <w:rPr>
                <w:sz w:val="22"/>
              </w:rPr>
            </w:pPr>
            <w:r>
              <w:rPr>
                <w:sz w:val="22"/>
              </w:rPr>
              <w:t>0.1130 </w:t>
            </w:r>
            <w:r>
              <w:rPr>
                <w:spacing w:val="-2"/>
                <w:sz w:val="22"/>
              </w:rPr>
              <w:t>[0.0820,</w:t>
            </w:r>
          </w:p>
          <w:p>
            <w:pPr>
              <w:pStyle w:val="TableParagraph"/>
              <w:spacing w:before="37"/>
              <w:ind w:left="108"/>
              <w:rPr>
                <w:sz w:val="22"/>
              </w:rPr>
            </w:pPr>
            <w:r>
              <w:rPr>
                <w:spacing w:val="-2"/>
                <w:sz w:val="22"/>
              </w:rPr>
              <w:t>0.1538]</w:t>
            </w:r>
          </w:p>
        </w:tc>
        <w:tc>
          <w:tcPr>
            <w:tcW w:w="1120" w:type="dxa"/>
          </w:tcPr>
          <w:p>
            <w:pPr>
              <w:pStyle w:val="TableParagraph"/>
              <w:spacing w:before="139"/>
              <w:ind w:left="109"/>
              <w:rPr>
                <w:sz w:val="22"/>
              </w:rPr>
            </w:pPr>
            <w:r>
              <w:rPr>
                <w:spacing w:val="-2"/>
                <w:sz w:val="22"/>
              </w:rPr>
              <w:t>0.7511</w:t>
            </w:r>
          </w:p>
        </w:tc>
        <w:tc>
          <w:tcPr>
            <w:tcW w:w="1758" w:type="dxa"/>
          </w:tcPr>
          <w:p>
            <w:pPr>
              <w:pStyle w:val="TableParagraph"/>
              <w:spacing w:before="139"/>
              <w:ind w:left="109"/>
              <w:rPr>
                <w:sz w:val="22"/>
              </w:rPr>
            </w:pPr>
            <w:r>
              <w:rPr>
                <w:sz w:val="22"/>
              </w:rPr>
              <w:t>No</w:t>
            </w:r>
            <w:r>
              <w:rPr>
                <w:spacing w:val="-3"/>
                <w:sz w:val="22"/>
              </w:rPr>
              <w:t> </w:t>
            </w:r>
            <w:r>
              <w:rPr>
                <w:sz w:val="22"/>
              </w:rPr>
              <w:t>p*</w:t>
            </w:r>
            <w:r>
              <w:rPr>
                <w:spacing w:val="-1"/>
                <w:sz w:val="22"/>
              </w:rPr>
              <w:t> </w:t>
            </w:r>
            <w:r>
              <w:rPr>
                <w:spacing w:val="-2"/>
                <w:sz w:val="22"/>
              </w:rPr>
              <w:t>feasible</w:t>
            </w:r>
          </w:p>
        </w:tc>
      </w:tr>
      <w:tr>
        <w:trPr>
          <w:trHeight w:val="572" w:hRule="atLeast"/>
        </w:trPr>
        <w:tc>
          <w:tcPr>
            <w:tcW w:w="1120" w:type="dxa"/>
          </w:tcPr>
          <w:p>
            <w:pPr>
              <w:pStyle w:val="TableParagraph"/>
              <w:spacing w:before="142"/>
              <w:rPr>
                <w:sz w:val="22"/>
              </w:rPr>
            </w:pPr>
            <w:r>
              <w:rPr>
                <w:spacing w:val="-2"/>
                <w:sz w:val="22"/>
              </w:rPr>
              <w:t>China</w:t>
            </w:r>
          </w:p>
        </w:tc>
        <w:tc>
          <w:tcPr>
            <w:tcW w:w="638" w:type="dxa"/>
          </w:tcPr>
          <w:p>
            <w:pPr>
              <w:pStyle w:val="TableParagraph"/>
              <w:spacing w:before="142"/>
              <w:ind w:left="11" w:right="34"/>
              <w:jc w:val="center"/>
              <w:rPr>
                <w:sz w:val="22"/>
              </w:rPr>
            </w:pPr>
            <w:r>
              <w:rPr>
                <w:spacing w:val="-4"/>
                <w:sz w:val="22"/>
              </w:rPr>
              <w:t>0.86</w:t>
            </w:r>
          </w:p>
        </w:tc>
        <w:tc>
          <w:tcPr>
            <w:tcW w:w="959" w:type="dxa"/>
          </w:tcPr>
          <w:p>
            <w:pPr>
              <w:pStyle w:val="TableParagraph"/>
              <w:spacing w:before="142"/>
              <w:rPr>
                <w:sz w:val="22"/>
              </w:rPr>
            </w:pPr>
            <w:r>
              <w:rPr>
                <w:spacing w:val="-4"/>
                <w:sz w:val="22"/>
              </w:rPr>
              <w:t>0.66</w:t>
            </w:r>
          </w:p>
        </w:tc>
        <w:tc>
          <w:tcPr>
            <w:tcW w:w="959" w:type="dxa"/>
          </w:tcPr>
          <w:p>
            <w:pPr>
              <w:pStyle w:val="TableParagraph"/>
              <w:spacing w:before="142"/>
              <w:ind w:left="108"/>
              <w:rPr>
                <w:sz w:val="22"/>
              </w:rPr>
            </w:pPr>
            <w:r>
              <w:rPr>
                <w:spacing w:val="-4"/>
                <w:sz w:val="22"/>
              </w:rPr>
              <w:t>7.5M</w:t>
            </w:r>
          </w:p>
        </w:tc>
        <w:tc>
          <w:tcPr>
            <w:tcW w:w="1765" w:type="dxa"/>
          </w:tcPr>
          <w:p>
            <w:pPr>
              <w:pStyle w:val="TableParagraph"/>
              <w:spacing w:line="249" w:lineRule="exact"/>
              <w:ind w:left="108"/>
              <w:rPr>
                <w:sz w:val="22"/>
              </w:rPr>
            </w:pPr>
            <w:r>
              <w:rPr>
                <w:sz w:val="22"/>
              </w:rPr>
              <w:t>0.0527 </w:t>
            </w:r>
            <w:r>
              <w:rPr>
                <w:spacing w:val="-2"/>
                <w:sz w:val="22"/>
              </w:rPr>
              <w:t>[0.0326,</w:t>
            </w:r>
          </w:p>
          <w:p>
            <w:pPr>
              <w:pStyle w:val="TableParagraph"/>
              <w:spacing w:before="37"/>
              <w:ind w:left="108"/>
              <w:rPr>
                <w:sz w:val="22"/>
              </w:rPr>
            </w:pPr>
            <w:r>
              <w:rPr>
                <w:spacing w:val="-2"/>
                <w:sz w:val="22"/>
              </w:rPr>
              <w:t>0.0841]</w:t>
            </w:r>
          </w:p>
        </w:tc>
        <w:tc>
          <w:tcPr>
            <w:tcW w:w="1120" w:type="dxa"/>
          </w:tcPr>
          <w:p>
            <w:pPr>
              <w:pStyle w:val="TableParagraph"/>
              <w:spacing w:before="142"/>
              <w:ind w:left="109"/>
              <w:rPr>
                <w:sz w:val="22"/>
              </w:rPr>
            </w:pPr>
            <w:r>
              <w:rPr>
                <w:spacing w:val="-2"/>
                <w:sz w:val="22"/>
              </w:rPr>
              <w:t>0.7671</w:t>
            </w:r>
          </w:p>
        </w:tc>
        <w:tc>
          <w:tcPr>
            <w:tcW w:w="1758" w:type="dxa"/>
          </w:tcPr>
          <w:p>
            <w:pPr>
              <w:pStyle w:val="TableParagraph"/>
              <w:spacing w:line="249" w:lineRule="exact"/>
              <w:ind w:left="109"/>
              <w:rPr>
                <w:sz w:val="22"/>
              </w:rPr>
            </w:pPr>
            <w:r>
              <w:rPr>
                <w:sz w:val="22"/>
              </w:rPr>
              <w:t>p*=8</w:t>
            </w:r>
            <w:r>
              <w:rPr>
                <w:spacing w:val="-2"/>
                <w:sz w:val="22"/>
              </w:rPr>
              <w:t> feasible</w:t>
            </w:r>
          </w:p>
          <w:p>
            <w:pPr>
              <w:pStyle w:val="TableParagraph"/>
              <w:spacing w:before="37"/>
              <w:ind w:left="109"/>
              <w:rPr>
                <w:sz w:val="22"/>
              </w:rPr>
            </w:pPr>
            <w:r>
              <w:rPr>
                <w:spacing w:val="-4"/>
                <w:sz w:val="22"/>
              </w:rPr>
              <w:t>only</w:t>
            </w:r>
          </w:p>
        </w:tc>
      </w:tr>
      <w:tr>
        <w:trPr>
          <w:trHeight w:val="570" w:hRule="atLeast"/>
        </w:trPr>
        <w:tc>
          <w:tcPr>
            <w:tcW w:w="1120" w:type="dxa"/>
          </w:tcPr>
          <w:p>
            <w:pPr>
              <w:pStyle w:val="TableParagraph"/>
              <w:spacing w:before="139"/>
              <w:rPr>
                <w:sz w:val="22"/>
              </w:rPr>
            </w:pPr>
            <w:r>
              <w:rPr>
                <w:spacing w:val="-5"/>
                <w:sz w:val="22"/>
              </w:rPr>
              <w:t>EU</w:t>
            </w:r>
          </w:p>
        </w:tc>
        <w:tc>
          <w:tcPr>
            <w:tcW w:w="638" w:type="dxa"/>
          </w:tcPr>
          <w:p>
            <w:pPr>
              <w:pStyle w:val="TableParagraph"/>
              <w:spacing w:before="139"/>
              <w:ind w:left="11" w:right="34"/>
              <w:jc w:val="center"/>
              <w:rPr>
                <w:sz w:val="22"/>
              </w:rPr>
            </w:pPr>
            <w:r>
              <w:rPr>
                <w:spacing w:val="-4"/>
                <w:sz w:val="22"/>
              </w:rPr>
              <w:t>0.74</w:t>
            </w:r>
          </w:p>
        </w:tc>
        <w:tc>
          <w:tcPr>
            <w:tcW w:w="959" w:type="dxa"/>
          </w:tcPr>
          <w:p>
            <w:pPr>
              <w:pStyle w:val="TableParagraph"/>
              <w:spacing w:before="139"/>
              <w:rPr>
                <w:sz w:val="22"/>
              </w:rPr>
            </w:pPr>
            <w:r>
              <w:rPr>
                <w:spacing w:val="-4"/>
                <w:sz w:val="22"/>
              </w:rPr>
              <w:t>0.70</w:t>
            </w:r>
          </w:p>
        </w:tc>
        <w:tc>
          <w:tcPr>
            <w:tcW w:w="959" w:type="dxa"/>
          </w:tcPr>
          <w:p>
            <w:pPr>
              <w:pStyle w:val="TableParagraph"/>
              <w:spacing w:before="139"/>
              <w:ind w:left="108"/>
              <w:rPr>
                <w:sz w:val="22"/>
              </w:rPr>
            </w:pPr>
            <w:r>
              <w:rPr>
                <w:spacing w:val="-4"/>
                <w:sz w:val="22"/>
              </w:rPr>
              <w:t>7.5M</w:t>
            </w:r>
          </w:p>
        </w:tc>
        <w:tc>
          <w:tcPr>
            <w:tcW w:w="1765" w:type="dxa"/>
          </w:tcPr>
          <w:p>
            <w:pPr>
              <w:pStyle w:val="TableParagraph"/>
              <w:spacing w:line="246" w:lineRule="exact"/>
              <w:ind w:left="108"/>
              <w:rPr>
                <w:sz w:val="22"/>
              </w:rPr>
            </w:pPr>
            <w:r>
              <w:rPr>
                <w:sz w:val="22"/>
              </w:rPr>
              <w:t>0.0240 </w:t>
            </w:r>
            <w:r>
              <w:rPr>
                <w:spacing w:val="-2"/>
                <w:sz w:val="22"/>
              </w:rPr>
              <w:t>[0.0118,</w:t>
            </w:r>
          </w:p>
          <w:p>
            <w:pPr>
              <w:pStyle w:val="TableParagraph"/>
              <w:spacing w:before="37"/>
              <w:ind w:left="108"/>
              <w:rPr>
                <w:sz w:val="22"/>
              </w:rPr>
            </w:pPr>
            <w:r>
              <w:rPr>
                <w:spacing w:val="-2"/>
                <w:sz w:val="22"/>
              </w:rPr>
              <w:t>0.0482]</w:t>
            </w:r>
          </w:p>
        </w:tc>
        <w:tc>
          <w:tcPr>
            <w:tcW w:w="1120" w:type="dxa"/>
          </w:tcPr>
          <w:p>
            <w:pPr>
              <w:pStyle w:val="TableParagraph"/>
              <w:spacing w:before="139"/>
              <w:ind w:left="109"/>
              <w:rPr>
                <w:sz w:val="22"/>
              </w:rPr>
            </w:pPr>
            <w:r>
              <w:rPr>
                <w:spacing w:val="-2"/>
                <w:sz w:val="22"/>
              </w:rPr>
              <w:t>0.7595</w:t>
            </w:r>
          </w:p>
        </w:tc>
        <w:tc>
          <w:tcPr>
            <w:tcW w:w="1758" w:type="dxa"/>
          </w:tcPr>
          <w:p>
            <w:pPr>
              <w:pStyle w:val="TableParagraph"/>
              <w:spacing w:line="246" w:lineRule="exact"/>
              <w:ind w:left="109"/>
              <w:rPr>
                <w:sz w:val="22"/>
              </w:rPr>
            </w:pPr>
            <w:r>
              <w:rPr>
                <w:sz w:val="22"/>
              </w:rPr>
              <w:t>p*=5</w:t>
            </w:r>
            <w:r>
              <w:rPr>
                <w:spacing w:val="-2"/>
                <w:sz w:val="22"/>
              </w:rPr>
              <w:t> </w:t>
            </w:r>
            <w:r>
              <w:rPr>
                <w:sz w:val="22"/>
              </w:rPr>
              <w:t>and</w:t>
            </w:r>
            <w:r>
              <w:rPr>
                <w:spacing w:val="-2"/>
                <w:sz w:val="22"/>
              </w:rPr>
              <w:t> </w:t>
            </w:r>
            <w:r>
              <w:rPr>
                <w:spacing w:val="-10"/>
                <w:sz w:val="22"/>
              </w:rPr>
              <w:t>8</w:t>
            </w:r>
          </w:p>
          <w:p>
            <w:pPr>
              <w:pStyle w:val="TableParagraph"/>
              <w:spacing w:before="37"/>
              <w:ind w:left="109"/>
              <w:rPr>
                <w:sz w:val="22"/>
              </w:rPr>
            </w:pPr>
            <w:r>
              <w:rPr>
                <w:spacing w:val="-2"/>
                <w:sz w:val="22"/>
              </w:rPr>
              <w:t>feasible</w:t>
            </w:r>
          </w:p>
        </w:tc>
      </w:tr>
      <w:tr>
        <w:trPr>
          <w:trHeight w:val="570" w:hRule="atLeast"/>
        </w:trPr>
        <w:tc>
          <w:tcPr>
            <w:tcW w:w="1120" w:type="dxa"/>
          </w:tcPr>
          <w:p>
            <w:pPr>
              <w:pStyle w:val="TableParagraph"/>
              <w:spacing w:before="139"/>
              <w:rPr>
                <w:sz w:val="22"/>
              </w:rPr>
            </w:pPr>
            <w:r>
              <w:rPr>
                <w:spacing w:val="-5"/>
                <w:sz w:val="22"/>
              </w:rPr>
              <w:t>US</w:t>
            </w:r>
          </w:p>
        </w:tc>
        <w:tc>
          <w:tcPr>
            <w:tcW w:w="638" w:type="dxa"/>
          </w:tcPr>
          <w:p>
            <w:pPr>
              <w:pStyle w:val="TableParagraph"/>
              <w:spacing w:before="139"/>
              <w:ind w:left="11" w:right="34"/>
              <w:jc w:val="center"/>
              <w:rPr>
                <w:sz w:val="22"/>
              </w:rPr>
            </w:pPr>
            <w:r>
              <w:rPr>
                <w:spacing w:val="-4"/>
                <w:sz w:val="22"/>
              </w:rPr>
              <w:t>0.78</w:t>
            </w:r>
          </w:p>
        </w:tc>
        <w:tc>
          <w:tcPr>
            <w:tcW w:w="959" w:type="dxa"/>
          </w:tcPr>
          <w:p>
            <w:pPr>
              <w:pStyle w:val="TableParagraph"/>
              <w:spacing w:before="139"/>
              <w:rPr>
                <w:sz w:val="22"/>
              </w:rPr>
            </w:pPr>
            <w:r>
              <w:rPr>
                <w:spacing w:val="-4"/>
                <w:sz w:val="22"/>
              </w:rPr>
              <w:t>0.74</w:t>
            </w:r>
          </w:p>
        </w:tc>
        <w:tc>
          <w:tcPr>
            <w:tcW w:w="959" w:type="dxa"/>
          </w:tcPr>
          <w:p>
            <w:pPr>
              <w:pStyle w:val="TableParagraph"/>
              <w:spacing w:before="139"/>
              <w:ind w:left="108"/>
              <w:rPr>
                <w:sz w:val="22"/>
              </w:rPr>
            </w:pPr>
            <w:r>
              <w:rPr>
                <w:spacing w:val="-4"/>
                <w:sz w:val="22"/>
              </w:rPr>
              <w:t>7.5M</w:t>
            </w:r>
          </w:p>
        </w:tc>
        <w:tc>
          <w:tcPr>
            <w:tcW w:w="1765" w:type="dxa"/>
          </w:tcPr>
          <w:p>
            <w:pPr>
              <w:pStyle w:val="TableParagraph"/>
              <w:spacing w:line="249" w:lineRule="exact"/>
              <w:ind w:left="108"/>
              <w:rPr>
                <w:sz w:val="22"/>
              </w:rPr>
            </w:pPr>
            <w:r>
              <w:rPr>
                <w:sz w:val="22"/>
              </w:rPr>
              <w:t>0.0134 </w:t>
            </w:r>
            <w:r>
              <w:rPr>
                <w:spacing w:val="-2"/>
                <w:sz w:val="22"/>
              </w:rPr>
              <w:t>[0.0052,</w:t>
            </w:r>
          </w:p>
          <w:p>
            <w:pPr>
              <w:pStyle w:val="TableParagraph"/>
              <w:spacing w:before="37"/>
              <w:ind w:left="108"/>
              <w:rPr>
                <w:sz w:val="22"/>
              </w:rPr>
            </w:pPr>
            <w:r>
              <w:rPr>
                <w:spacing w:val="-2"/>
                <w:sz w:val="22"/>
              </w:rPr>
              <w:t>0.0339]</w:t>
            </w:r>
          </w:p>
        </w:tc>
        <w:tc>
          <w:tcPr>
            <w:tcW w:w="1120" w:type="dxa"/>
          </w:tcPr>
          <w:p>
            <w:pPr>
              <w:pStyle w:val="TableParagraph"/>
              <w:spacing w:before="139"/>
              <w:ind w:left="109"/>
              <w:rPr>
                <w:sz w:val="22"/>
              </w:rPr>
            </w:pPr>
            <w:r>
              <w:rPr>
                <w:spacing w:val="-2"/>
                <w:sz w:val="22"/>
              </w:rPr>
              <w:t>0.7707</w:t>
            </w:r>
          </w:p>
        </w:tc>
        <w:tc>
          <w:tcPr>
            <w:tcW w:w="1758" w:type="dxa"/>
          </w:tcPr>
          <w:p>
            <w:pPr>
              <w:pStyle w:val="TableParagraph"/>
              <w:spacing w:line="249" w:lineRule="exact"/>
              <w:ind w:left="109"/>
              <w:rPr>
                <w:sz w:val="22"/>
              </w:rPr>
            </w:pPr>
            <w:r>
              <w:rPr>
                <w:sz w:val="22"/>
              </w:rPr>
              <w:t>p*=5</w:t>
            </w:r>
            <w:r>
              <w:rPr>
                <w:spacing w:val="-2"/>
                <w:sz w:val="22"/>
              </w:rPr>
              <w:t> </w:t>
            </w:r>
            <w:r>
              <w:rPr>
                <w:sz w:val="22"/>
              </w:rPr>
              <w:t>and</w:t>
            </w:r>
            <w:r>
              <w:rPr>
                <w:spacing w:val="-2"/>
                <w:sz w:val="22"/>
              </w:rPr>
              <w:t> </w:t>
            </w:r>
            <w:r>
              <w:rPr>
                <w:spacing w:val="-10"/>
                <w:sz w:val="22"/>
              </w:rPr>
              <w:t>8</w:t>
            </w:r>
          </w:p>
          <w:p>
            <w:pPr>
              <w:pStyle w:val="TableParagraph"/>
              <w:spacing w:before="37"/>
              <w:ind w:left="109"/>
              <w:rPr>
                <w:sz w:val="22"/>
              </w:rPr>
            </w:pPr>
            <w:r>
              <w:rPr>
                <w:spacing w:val="-2"/>
                <w:sz w:val="22"/>
              </w:rPr>
              <w:t>feasible</w:t>
            </w:r>
          </w:p>
        </w:tc>
      </w:tr>
      <w:tr>
        <w:trPr>
          <w:trHeight w:val="572" w:hRule="atLeast"/>
        </w:trPr>
        <w:tc>
          <w:tcPr>
            <w:tcW w:w="1120" w:type="dxa"/>
          </w:tcPr>
          <w:p>
            <w:pPr>
              <w:pStyle w:val="TableParagraph"/>
              <w:spacing w:before="142"/>
              <w:rPr>
                <w:sz w:val="22"/>
              </w:rPr>
            </w:pPr>
            <w:r>
              <w:rPr>
                <w:spacing w:val="-2"/>
                <w:sz w:val="22"/>
              </w:rPr>
              <w:t>Sweden†</w:t>
            </w:r>
          </w:p>
        </w:tc>
        <w:tc>
          <w:tcPr>
            <w:tcW w:w="638" w:type="dxa"/>
          </w:tcPr>
          <w:p>
            <w:pPr>
              <w:pStyle w:val="TableParagraph"/>
              <w:spacing w:before="142"/>
              <w:ind w:left="11" w:right="34"/>
              <w:jc w:val="center"/>
              <w:rPr>
                <w:sz w:val="22"/>
              </w:rPr>
            </w:pPr>
            <w:r>
              <w:rPr>
                <w:spacing w:val="-4"/>
                <w:sz w:val="22"/>
              </w:rPr>
              <w:t>0.95</w:t>
            </w:r>
          </w:p>
        </w:tc>
        <w:tc>
          <w:tcPr>
            <w:tcW w:w="959" w:type="dxa"/>
          </w:tcPr>
          <w:p>
            <w:pPr>
              <w:pStyle w:val="TableParagraph"/>
              <w:spacing w:before="142"/>
              <w:rPr>
                <w:sz w:val="22"/>
              </w:rPr>
            </w:pPr>
            <w:r>
              <w:rPr>
                <w:spacing w:val="-4"/>
                <w:sz w:val="22"/>
              </w:rPr>
              <w:t>0.60</w:t>
            </w:r>
          </w:p>
        </w:tc>
        <w:tc>
          <w:tcPr>
            <w:tcW w:w="959" w:type="dxa"/>
          </w:tcPr>
          <w:p>
            <w:pPr>
              <w:pStyle w:val="TableParagraph"/>
              <w:spacing w:before="142"/>
              <w:ind w:left="108"/>
              <w:rPr>
                <w:sz w:val="22"/>
              </w:rPr>
            </w:pPr>
            <w:r>
              <w:rPr>
                <w:spacing w:val="-4"/>
                <w:sz w:val="22"/>
              </w:rPr>
              <w:t>7.5M</w:t>
            </w:r>
          </w:p>
        </w:tc>
        <w:tc>
          <w:tcPr>
            <w:tcW w:w="1765" w:type="dxa"/>
          </w:tcPr>
          <w:p>
            <w:pPr>
              <w:pStyle w:val="TableParagraph"/>
              <w:spacing w:line="249" w:lineRule="exact"/>
              <w:ind w:left="108"/>
              <w:rPr>
                <w:sz w:val="22"/>
              </w:rPr>
            </w:pPr>
            <w:r>
              <w:rPr>
                <w:sz w:val="22"/>
              </w:rPr>
              <w:t>0.1368 </w:t>
            </w:r>
            <w:r>
              <w:rPr>
                <w:spacing w:val="-2"/>
                <w:sz w:val="22"/>
              </w:rPr>
              <w:t>[0.1025,</w:t>
            </w:r>
          </w:p>
          <w:p>
            <w:pPr>
              <w:pStyle w:val="TableParagraph"/>
              <w:spacing w:before="37"/>
              <w:ind w:left="108"/>
              <w:rPr>
                <w:sz w:val="22"/>
              </w:rPr>
            </w:pPr>
            <w:r>
              <w:rPr>
                <w:spacing w:val="-2"/>
                <w:sz w:val="22"/>
              </w:rPr>
              <w:t>0.1803]</w:t>
            </w:r>
          </w:p>
        </w:tc>
        <w:tc>
          <w:tcPr>
            <w:tcW w:w="1120" w:type="dxa"/>
          </w:tcPr>
          <w:p>
            <w:pPr>
              <w:pStyle w:val="TableParagraph"/>
              <w:spacing w:before="142"/>
              <w:ind w:left="109"/>
              <w:rPr>
                <w:sz w:val="22"/>
              </w:rPr>
            </w:pPr>
            <w:r>
              <w:rPr>
                <w:spacing w:val="-2"/>
                <w:sz w:val="22"/>
              </w:rPr>
              <w:t>0.7466</w:t>
            </w:r>
          </w:p>
        </w:tc>
        <w:tc>
          <w:tcPr>
            <w:tcW w:w="1758" w:type="dxa"/>
          </w:tcPr>
          <w:p>
            <w:pPr>
              <w:pStyle w:val="TableParagraph"/>
              <w:spacing w:before="142"/>
              <w:ind w:left="109"/>
              <w:rPr>
                <w:sz w:val="22"/>
              </w:rPr>
            </w:pPr>
            <w:r>
              <w:rPr>
                <w:sz w:val="22"/>
              </w:rPr>
              <w:t>No</w:t>
            </w:r>
            <w:r>
              <w:rPr>
                <w:spacing w:val="-3"/>
                <w:sz w:val="22"/>
              </w:rPr>
              <w:t> </w:t>
            </w:r>
            <w:r>
              <w:rPr>
                <w:sz w:val="22"/>
              </w:rPr>
              <w:t>p*</w:t>
            </w:r>
            <w:r>
              <w:rPr>
                <w:spacing w:val="-1"/>
                <w:sz w:val="22"/>
              </w:rPr>
              <w:t> </w:t>
            </w:r>
            <w:r>
              <w:rPr>
                <w:spacing w:val="-2"/>
                <w:sz w:val="22"/>
              </w:rPr>
              <w:t>feasible</w:t>
            </w:r>
          </w:p>
        </w:tc>
      </w:tr>
    </w:tbl>
    <w:p>
      <w:pPr>
        <w:pStyle w:val="BodyText"/>
        <w:ind w:right="380"/>
        <w:jc w:val="both"/>
      </w:pPr>
      <w:r>
        <w:rPr/>
        <w:t>Notes: All values are v6.0 direct Monte Carlo results at the common coarse-grid benchmark cap (7.5M KRW). Country digital-adoption rates D: Korea 0.92 (Bank of Korea,</w:t>
      </w:r>
      <w:r>
        <w:rPr>
          <w:spacing w:val="22"/>
        </w:rPr>
        <w:t> </w:t>
      </w:r>
      <w:r>
        <w:rPr/>
        <w:t>2023);</w:t>
      </w:r>
      <w:r>
        <w:rPr>
          <w:spacing w:val="23"/>
        </w:rPr>
        <w:t> </w:t>
      </w:r>
      <w:r>
        <w:rPr/>
        <w:t>China</w:t>
      </w:r>
      <w:r>
        <w:rPr>
          <w:spacing w:val="22"/>
        </w:rPr>
        <w:t> </w:t>
      </w:r>
      <w:r>
        <w:rPr/>
        <w:t>0.86</w:t>
      </w:r>
      <w:r>
        <w:rPr>
          <w:spacing w:val="23"/>
        </w:rPr>
        <w:t> </w:t>
      </w:r>
      <w:r>
        <w:rPr/>
        <w:t>(BIS</w:t>
      </w:r>
      <w:r>
        <w:rPr>
          <w:spacing w:val="24"/>
        </w:rPr>
        <w:t> </w:t>
      </w:r>
      <w:r>
        <w:rPr/>
        <w:t>Innovation</w:t>
      </w:r>
      <w:r>
        <w:rPr>
          <w:spacing w:val="28"/>
        </w:rPr>
        <w:t> </w:t>
      </w:r>
      <w:r>
        <w:rPr/>
        <w:t>Hub,</w:t>
      </w:r>
      <w:r>
        <w:rPr>
          <w:spacing w:val="23"/>
        </w:rPr>
        <w:t> </w:t>
      </w:r>
      <w:r>
        <w:rPr/>
        <w:t>2023);</w:t>
      </w:r>
      <w:r>
        <w:rPr>
          <w:spacing w:val="23"/>
        </w:rPr>
        <w:t> </w:t>
      </w:r>
      <w:r>
        <w:rPr/>
        <w:t>EU</w:t>
      </w:r>
      <w:r>
        <w:rPr>
          <w:spacing w:val="22"/>
        </w:rPr>
        <w:t> </w:t>
      </w:r>
      <w:r>
        <w:rPr/>
        <w:t>0.74</w:t>
      </w:r>
      <w:r>
        <w:rPr>
          <w:spacing w:val="22"/>
        </w:rPr>
        <w:t> </w:t>
      </w:r>
      <w:r>
        <w:rPr/>
        <w:t>(European</w:t>
      </w:r>
      <w:r>
        <w:rPr>
          <w:spacing w:val="23"/>
        </w:rPr>
        <w:t> </w:t>
      </w:r>
      <w:r>
        <w:rPr>
          <w:spacing w:val="-2"/>
        </w:rPr>
        <w:t>Central</w:t>
      </w:r>
    </w:p>
    <w:p>
      <w:pPr>
        <w:pStyle w:val="BodyText"/>
        <w:tabs>
          <w:tab w:pos="1770" w:val="left" w:leader="none"/>
        </w:tabs>
        <w:ind w:right="304"/>
      </w:pPr>
      <w:r>
        <w:rPr/>
        <w:t>Bank,</w:t>
      </w:r>
      <w:r>
        <w:rPr>
          <w:spacing w:val="80"/>
        </w:rPr>
        <w:t> </w:t>
      </w:r>
      <w:r>
        <w:rPr/>
        <w:t>2023);</w:t>
      </w:r>
      <w:r>
        <w:rPr>
          <w:spacing w:val="80"/>
        </w:rPr>
        <w:t> </w:t>
      </w:r>
      <w:r>
        <w:rPr/>
        <w:t>US</w:t>
      </w:r>
      <w:r>
        <w:rPr>
          <w:spacing w:val="80"/>
        </w:rPr>
        <w:t> </w:t>
      </w:r>
      <w:r>
        <w:rPr/>
        <w:t>0.78</w:t>
      </w:r>
      <w:r>
        <w:rPr>
          <w:spacing w:val="80"/>
        </w:rPr>
        <w:t> </w:t>
      </w:r>
      <w:r>
        <w:rPr/>
        <w:t>(Federal</w:t>
      </w:r>
      <w:r>
        <w:rPr>
          <w:spacing w:val="80"/>
        </w:rPr>
        <w:t> </w:t>
      </w:r>
      <w:r>
        <w:rPr/>
        <w:t>Reserve</w:t>
      </w:r>
      <w:r>
        <w:rPr>
          <w:spacing w:val="80"/>
        </w:rPr>
        <w:t> </w:t>
      </w:r>
      <w:r>
        <w:rPr/>
        <w:t>Board,</w:t>
      </w:r>
      <w:r>
        <w:rPr>
          <w:spacing w:val="80"/>
        </w:rPr>
        <w:t> </w:t>
      </w:r>
      <w:r>
        <w:rPr/>
        <w:t>2023);</w:t>
      </w:r>
      <w:r>
        <w:rPr>
          <w:spacing w:val="80"/>
        </w:rPr>
        <w:t> </w:t>
      </w:r>
      <w:r>
        <w:rPr/>
        <w:t>Sweden</w:t>
      </w:r>
      <w:r>
        <w:rPr>
          <w:spacing w:val="80"/>
        </w:rPr>
        <w:t> </w:t>
      </w:r>
      <w:r>
        <w:rPr/>
        <w:t>0.95</w:t>
      </w:r>
      <w:r>
        <w:rPr>
          <w:spacing w:val="80"/>
        </w:rPr>
        <w:t> </w:t>
      </w:r>
      <w:r>
        <w:rPr/>
        <w:t>(Sveriges Riksbank,</w:t>
      </w:r>
      <w:r>
        <w:rPr>
          <w:spacing w:val="40"/>
        </w:rPr>
        <w:t> </w:t>
      </w:r>
      <w:r>
        <w:rPr/>
        <w:t>2023).</w:t>
      </w:r>
      <w:r>
        <w:rPr>
          <w:spacing w:val="40"/>
        </w:rPr>
        <w:t> </w:t>
      </w:r>
      <w:r>
        <w:rPr/>
        <w:t>Stability</w:t>
      </w:r>
      <w:r>
        <w:rPr>
          <w:spacing w:val="40"/>
        </w:rPr>
        <w:t> </w:t>
      </w:r>
      <w:r>
        <w:rPr/>
        <w:t>thresholds</w:t>
      </w:r>
      <w:r>
        <w:rPr>
          <w:spacing w:val="40"/>
        </w:rPr>
        <w:t> </w:t>
      </w:r>
      <w:r>
        <w:rPr/>
        <w:t>θ</w:t>
      </w:r>
      <w:r>
        <w:rPr>
          <w:spacing w:val="40"/>
        </w:rPr>
        <w:t> </w:t>
      </w:r>
      <w:r>
        <w:rPr/>
        <w:t>are</w:t>
      </w:r>
      <w:r>
        <w:rPr>
          <w:spacing w:val="40"/>
        </w:rPr>
        <w:t> </w:t>
      </w:r>
      <w:r>
        <w:rPr/>
        <w:t>author-calibrated</w:t>
      </w:r>
      <w:r>
        <w:rPr>
          <w:spacing w:val="40"/>
        </w:rPr>
        <w:t> </w:t>
      </w:r>
      <w:r>
        <w:rPr/>
        <w:t>to</w:t>
      </w:r>
      <w:r>
        <w:rPr>
          <w:spacing w:val="40"/>
        </w:rPr>
        <w:t> </w:t>
      </w:r>
      <w:r>
        <w:rPr/>
        <w:t>reflect</w:t>
      </w:r>
      <w:r>
        <w:rPr>
          <w:spacing w:val="40"/>
        </w:rPr>
        <w:t> </w:t>
      </w:r>
      <w:r>
        <w:rPr/>
        <w:t>structural</w:t>
      </w:r>
      <w:r>
        <w:rPr>
          <w:spacing w:val="40"/>
        </w:rPr>
        <w:t> </w:t>
      </w:r>
      <w:r>
        <w:rPr/>
        <w:t>banking-system</w:t>
      </w:r>
      <w:r>
        <w:rPr>
          <w:spacing w:val="80"/>
          <w:w w:val="150"/>
        </w:rPr>
        <w:t> </w:t>
      </w:r>
      <w:r>
        <w:rPr/>
        <w:t>resilience</w:t>
      </w:r>
      <w:r>
        <w:rPr>
          <w:spacing w:val="80"/>
          <w:w w:val="150"/>
        </w:rPr>
        <w:t> </w:t>
      </w:r>
      <w:r>
        <w:rPr/>
        <w:t>(higher</w:t>
      </w:r>
      <w:r>
        <w:rPr>
          <w:spacing w:val="80"/>
          <w:w w:val="150"/>
        </w:rPr>
        <w:t> </w:t>
      </w:r>
      <w:r>
        <w:rPr/>
        <w:t>θ</w:t>
      </w:r>
      <w:r>
        <w:rPr>
          <w:spacing w:val="80"/>
          <w:w w:val="150"/>
        </w:rPr>
        <w:t> </w:t>
      </w:r>
      <w:r>
        <w:rPr/>
        <w:t>=</w:t>
      </w:r>
      <w:r>
        <w:rPr>
          <w:spacing w:val="80"/>
          <w:w w:val="150"/>
        </w:rPr>
        <w:t> </w:t>
      </w:r>
      <w:r>
        <w:rPr/>
        <w:t>more</w:t>
      </w:r>
      <w:r>
        <w:rPr>
          <w:spacing w:val="80"/>
          <w:w w:val="150"/>
        </w:rPr>
        <w:t> </w:t>
      </w:r>
      <w:r>
        <w:rPr/>
        <w:t>resilient);</w:t>
      </w:r>
      <w:r>
        <w:rPr>
          <w:spacing w:val="80"/>
          <w:w w:val="150"/>
        </w:rPr>
        <w:t> </w:t>
      </w:r>
      <w:r>
        <w:rPr/>
        <w:t>these</w:t>
      </w:r>
      <w:r>
        <w:rPr>
          <w:spacing w:val="80"/>
          <w:w w:val="150"/>
        </w:rPr>
        <w:t> </w:t>
      </w:r>
      <w:r>
        <w:rPr/>
        <w:t>are</w:t>
      </w:r>
      <w:r>
        <w:rPr>
          <w:spacing w:val="80"/>
          <w:w w:val="150"/>
        </w:rPr>
        <w:t> </w:t>
      </w:r>
      <w:r>
        <w:rPr/>
        <w:t>illustrative calibrations</w:t>
      </w:r>
      <w:r>
        <w:rPr>
          <w:spacing w:val="17"/>
        </w:rPr>
        <w:t> </w:t>
      </w:r>
      <w:r>
        <w:rPr/>
        <w:t>pending</w:t>
      </w:r>
      <w:r>
        <w:rPr>
          <w:spacing w:val="17"/>
        </w:rPr>
        <w:t> </w:t>
      </w:r>
      <w:r>
        <w:rPr/>
        <w:t>official</w:t>
      </w:r>
      <w:r>
        <w:rPr>
          <w:spacing w:val="17"/>
        </w:rPr>
        <w:t> </w:t>
      </w:r>
      <w:r>
        <w:rPr/>
        <w:t>supervisory data.</w:t>
      </w:r>
      <w:r>
        <w:rPr>
          <w:spacing w:val="17"/>
        </w:rPr>
        <w:t> </w:t>
      </w:r>
      <w:r>
        <w:rPr/>
        <w:t>The Korea fine-grid</w:t>
      </w:r>
      <w:r>
        <w:rPr>
          <w:spacing w:val="17"/>
        </w:rPr>
        <w:t> </w:t>
      </w:r>
      <w:r>
        <w:rPr/>
        <w:t>in Table 7f shows</w:t>
      </w:r>
      <w:r>
        <w:rPr>
          <w:spacing w:val="40"/>
        </w:rPr>
        <w:t> </w:t>
      </w:r>
      <w:r>
        <w:rPr/>
        <w:t>a lower local minimum at 5.5M; therefore Table 5 reports a comparable cross-country coarse-grid</w:t>
      </w:r>
      <w:r>
        <w:rPr>
          <w:spacing w:val="80"/>
          <w:w w:val="150"/>
        </w:rPr>
        <w:t> </w:t>
      </w:r>
      <w:r>
        <w:rPr/>
        <w:t>benchmark,</w:t>
      </w:r>
      <w:r>
        <w:rPr>
          <w:spacing w:val="80"/>
          <w:w w:val="150"/>
        </w:rPr>
        <w:t> </w:t>
      </w:r>
      <w:r>
        <w:rPr/>
        <w:t>not</w:t>
      </w:r>
      <w:r>
        <w:rPr>
          <w:spacing w:val="80"/>
          <w:w w:val="150"/>
        </w:rPr>
        <w:t> </w:t>
      </w:r>
      <w:r>
        <w:rPr/>
        <w:t>a</w:t>
      </w:r>
      <w:r>
        <w:rPr>
          <w:spacing w:val="80"/>
          <w:w w:val="150"/>
        </w:rPr>
        <w:t> </w:t>
      </w:r>
      <w:r>
        <w:rPr/>
        <w:t>final</w:t>
      </w:r>
      <w:r>
        <w:rPr>
          <w:spacing w:val="80"/>
          <w:w w:val="150"/>
        </w:rPr>
        <w:t> </w:t>
      </w:r>
      <w:r>
        <w:rPr/>
        <w:t>policy</w:t>
      </w:r>
      <w:r>
        <w:rPr>
          <w:spacing w:val="80"/>
          <w:w w:val="150"/>
        </w:rPr>
        <w:t> </w:t>
      </w:r>
      <w:r>
        <w:rPr/>
        <w:t>optimum.</w:t>
      </w:r>
      <w:r>
        <w:rPr>
          <w:spacing w:val="80"/>
          <w:w w:val="150"/>
        </w:rPr>
        <w:t> </w:t>
      </w:r>
      <w:r>
        <w:rPr/>
        <w:t>Appendix</w:t>
      </w:r>
      <w:r>
        <w:rPr>
          <w:spacing w:val="80"/>
          <w:w w:val="150"/>
        </w:rPr>
        <w:t> </w:t>
      </w:r>
      <w:r>
        <w:rPr/>
        <w:t>G</w:t>
      </w:r>
      <w:r>
        <w:rPr>
          <w:spacing w:val="80"/>
          <w:w w:val="150"/>
        </w:rPr>
        <w:t> </w:t>
      </w:r>
      <w:r>
        <w:rPr/>
        <w:t>reports</w:t>
      </w:r>
      <w:r>
        <w:rPr>
          <w:spacing w:val="80"/>
          <w:w w:val="150"/>
        </w:rPr>
        <w:t> </w:t>
      </w:r>
      <w:r>
        <w:rPr/>
        <w:t>a supplementary selected-cap</w:t>
      </w:r>
      <w:r>
        <w:rPr>
          <w:spacing w:val="38"/>
        </w:rPr>
        <w:t> </w:t>
      </w:r>
      <w:r>
        <w:rPr/>
        <w:t>fine-grid</w:t>
      </w:r>
      <w:r>
        <w:rPr>
          <w:spacing w:val="38"/>
        </w:rPr>
        <w:t> </w:t>
      </w:r>
      <w:r>
        <w:rPr/>
        <w:t>check</w:t>
      </w:r>
      <w:r>
        <w:rPr>
          <w:spacing w:val="38"/>
        </w:rPr>
        <w:t> </w:t>
      </w:r>
      <w:r>
        <w:rPr/>
        <w:t>for the non-Korea economies;</w:t>
      </w:r>
      <w:r>
        <w:rPr>
          <w:spacing w:val="39"/>
        </w:rPr>
        <w:t> </w:t>
      </w:r>
      <w:r>
        <w:rPr/>
        <w:t>higher-N full-grid replication remains required before country-specific optimal-cap claims. This is a scope choice rather than an oversight: a Korea-depth fine grid (eight cap points</w:t>
      </w:r>
      <w:r>
        <w:rPr>
          <w:spacing w:val="40"/>
        </w:rPr>
        <w:t> </w:t>
      </w:r>
      <w:r>
        <w:rPr/>
        <w:t>× N=300</w:t>
      </w:r>
      <w:r>
        <w:rPr>
          <w:spacing w:val="34"/>
        </w:rPr>
        <w:t> </w:t>
      </w:r>
      <w:r>
        <w:rPr/>
        <w:t>direct</w:t>
      </w:r>
      <w:r>
        <w:rPr>
          <w:spacing w:val="37"/>
        </w:rPr>
        <w:t> </w:t>
      </w:r>
      <w:r>
        <w:rPr/>
        <w:t>Monte</w:t>
      </w:r>
      <w:r>
        <w:rPr>
          <w:spacing w:val="35"/>
        </w:rPr>
        <w:t> </w:t>
      </w:r>
      <w:r>
        <w:rPr/>
        <w:t>Carlo</w:t>
      </w:r>
      <w:r>
        <w:rPr>
          <w:spacing w:val="36"/>
        </w:rPr>
        <w:t> </w:t>
      </w:r>
      <w:r>
        <w:rPr/>
        <w:t>runs</w:t>
      </w:r>
      <w:r>
        <w:rPr>
          <w:spacing w:val="37"/>
        </w:rPr>
        <w:t> </w:t>
      </w:r>
      <w:r>
        <w:rPr/>
        <w:t>each,</w:t>
      </w:r>
      <w:r>
        <w:rPr>
          <w:spacing w:val="36"/>
        </w:rPr>
        <w:t> </w:t>
      </w:r>
      <w:r>
        <w:rPr/>
        <w:t>with</w:t>
      </w:r>
      <w:r>
        <w:rPr>
          <w:spacing w:val="36"/>
        </w:rPr>
        <w:t> </w:t>
      </w:r>
      <w:r>
        <w:rPr/>
        <w:t>convergence</w:t>
      </w:r>
      <w:r>
        <w:rPr>
          <w:spacing w:val="35"/>
        </w:rPr>
        <w:t> </w:t>
      </w:r>
      <w:r>
        <w:rPr/>
        <w:t>diagnostics</w:t>
      </w:r>
      <w:r>
        <w:rPr>
          <w:spacing w:val="34"/>
        </w:rPr>
        <w:t> </w:t>
      </w:r>
      <w:r>
        <w:rPr/>
        <w:t>at</w:t>
      </w:r>
      <w:r>
        <w:rPr>
          <w:spacing w:val="37"/>
        </w:rPr>
        <w:t> </w:t>
      </w:r>
      <w:r>
        <w:rPr/>
        <w:t>every</w:t>
      </w:r>
      <w:r>
        <w:rPr>
          <w:spacing w:val="31"/>
        </w:rPr>
        <w:t> </w:t>
      </w:r>
      <w:r>
        <w:rPr/>
        <w:t>point) applied to all five countries would require roughly a five-fold increase in simulation budget, and a preliminary single-country extension produced results not yet consistent with</w:t>
      </w:r>
      <w:r>
        <w:rPr>
          <w:spacing w:val="37"/>
        </w:rPr>
        <w:t> </w:t>
      </w:r>
      <w:r>
        <w:rPr/>
        <w:t>the</w:t>
      </w:r>
      <w:r>
        <w:rPr>
          <w:spacing w:val="36"/>
        </w:rPr>
        <w:t> </w:t>
      </w:r>
      <w:r>
        <w:rPr/>
        <w:t>coarse-grid</w:t>
      </w:r>
      <w:r>
        <w:rPr>
          <w:spacing w:val="37"/>
        </w:rPr>
        <w:t> </w:t>
      </w:r>
      <w:r>
        <w:rPr/>
        <w:t>pattern</w:t>
      </w:r>
      <w:r>
        <w:rPr>
          <w:spacing w:val="37"/>
        </w:rPr>
        <w:t> </w:t>
      </w:r>
      <w:r>
        <w:rPr/>
        <w:t>reported</w:t>
      </w:r>
      <w:r>
        <w:rPr>
          <w:spacing w:val="37"/>
        </w:rPr>
        <w:t> </w:t>
      </w:r>
      <w:r>
        <w:rPr/>
        <w:t>below,</w:t>
      </w:r>
      <w:r>
        <w:rPr>
          <w:spacing w:val="37"/>
        </w:rPr>
        <w:t> </w:t>
      </w:r>
      <w:r>
        <w:rPr/>
        <w:t>indicating</w:t>
      </w:r>
      <w:r>
        <w:rPr>
          <w:spacing w:val="37"/>
        </w:rPr>
        <w:t> </w:t>
      </w:r>
      <w:r>
        <w:rPr/>
        <w:t>the</w:t>
      </w:r>
      <w:r>
        <w:rPr>
          <w:spacing w:val="36"/>
        </w:rPr>
        <w:t> </w:t>
      </w:r>
      <w:r>
        <w:rPr/>
        <w:t>discrepancy</w:t>
      </w:r>
      <w:r>
        <w:rPr>
          <w:spacing w:val="35"/>
        </w:rPr>
        <w:t> </w:t>
      </w:r>
      <w:r>
        <w:rPr/>
        <w:t>needs</w:t>
      </w:r>
      <w:r>
        <w:rPr>
          <w:spacing w:val="40"/>
        </w:rPr>
        <w:t> </w:t>
      </w:r>
      <w:r>
        <w:rPr/>
        <w:t>to</w:t>
      </w:r>
      <w:r>
        <w:rPr>
          <w:spacing w:val="37"/>
        </w:rPr>
        <w:t> </w:t>
      </w:r>
      <w:r>
        <w:rPr/>
        <w:t>be resolved</w:t>
      </w:r>
      <w:r>
        <w:rPr>
          <w:spacing w:val="80"/>
        </w:rPr>
        <w:t> </w:t>
      </w:r>
      <w:r>
        <w:rPr/>
        <w:t>methodologically</w:t>
      </w:r>
      <w:r>
        <w:rPr>
          <w:spacing w:val="80"/>
        </w:rPr>
        <w:t> </w:t>
      </w:r>
      <w:r>
        <w:rPr/>
        <w:t>before</w:t>
      </w:r>
      <w:r>
        <w:rPr>
          <w:spacing w:val="80"/>
        </w:rPr>
        <w:t> </w:t>
      </w:r>
      <w:r>
        <w:rPr/>
        <w:t>publication</w:t>
      </w:r>
      <w:r>
        <w:rPr>
          <w:spacing w:val="80"/>
        </w:rPr>
        <w:t> </w:t>
      </w:r>
      <w:r>
        <w:rPr/>
        <w:t>rather</w:t>
      </w:r>
      <w:r>
        <w:rPr>
          <w:spacing w:val="80"/>
        </w:rPr>
        <w:t> </w:t>
      </w:r>
      <w:r>
        <w:rPr/>
        <w:t>than</w:t>
      </w:r>
      <w:r>
        <w:rPr>
          <w:spacing w:val="80"/>
        </w:rPr>
        <w:t> </w:t>
      </w:r>
      <w:r>
        <w:rPr/>
        <w:t>reported</w:t>
      </w:r>
      <w:r>
        <w:rPr>
          <w:spacing w:val="80"/>
        </w:rPr>
        <w:t> </w:t>
      </w:r>
      <w:r>
        <w:rPr/>
        <w:t>provisionally. Extending the fine grid to at least one additional country, and reconciling</w:t>
      </w:r>
      <w:r>
        <w:rPr>
          <w:spacing w:val="-1"/>
        </w:rPr>
        <w:t> </w:t>
      </w:r>
      <w:r>
        <w:rPr/>
        <w:t>it against the coarse-grid</w:t>
      </w:r>
      <w:r>
        <w:rPr>
          <w:spacing w:val="80"/>
        </w:rPr>
        <w:t> </w:t>
      </w:r>
      <w:r>
        <w:rPr/>
        <w:t>benchmark,</w:t>
      </w:r>
      <w:r>
        <w:rPr>
          <w:spacing w:val="80"/>
        </w:rPr>
        <w:t> </w:t>
      </w:r>
      <w:r>
        <w:rPr/>
        <w:t>is</w:t>
      </w:r>
      <w:r>
        <w:rPr>
          <w:spacing w:val="78"/>
        </w:rPr>
        <w:t> </w:t>
      </w:r>
      <w:r>
        <w:rPr/>
        <w:t>accordingly</w:t>
      </w:r>
      <w:r>
        <w:rPr>
          <w:spacing w:val="78"/>
        </w:rPr>
        <w:t> </w:t>
      </w:r>
      <w:r>
        <w:rPr/>
        <w:t>named</w:t>
      </w:r>
      <w:r>
        <w:rPr>
          <w:spacing w:val="80"/>
        </w:rPr>
        <w:t> </w:t>
      </w:r>
      <w:r>
        <w:rPr/>
        <w:t>as</w:t>
      </w:r>
      <w:r>
        <w:rPr>
          <w:spacing w:val="80"/>
        </w:rPr>
        <w:t> </w:t>
      </w:r>
      <w:r>
        <w:rPr/>
        <w:t>a</w:t>
      </w:r>
      <w:r>
        <w:rPr>
          <w:spacing w:val="79"/>
        </w:rPr>
        <w:t> </w:t>
      </w:r>
      <w:r>
        <w:rPr/>
        <w:t>priority</w:t>
      </w:r>
      <w:r>
        <w:rPr>
          <w:spacing w:val="78"/>
        </w:rPr>
        <w:t> </w:t>
      </w:r>
      <w:r>
        <w:rPr/>
        <w:t>in</w:t>
      </w:r>
      <w:r>
        <w:rPr>
          <w:spacing w:val="80"/>
          <w:w w:val="150"/>
        </w:rPr>
        <w:t> </w:t>
      </w:r>
      <w:r>
        <w:rPr/>
        <w:t>§7.4</w:t>
      </w:r>
      <w:r>
        <w:rPr>
          <w:spacing w:val="80"/>
        </w:rPr>
        <w:t> </w:t>
      </w:r>
      <w:r>
        <w:rPr/>
        <w:t>rather</w:t>
      </w:r>
      <w:r>
        <w:rPr>
          <w:spacing w:val="80"/>
        </w:rPr>
        <w:t> </w:t>
      </w:r>
      <w:r>
        <w:rPr/>
        <w:t>than included</w:t>
      </w:r>
      <w:r>
        <w:rPr>
          <w:spacing w:val="80"/>
        </w:rPr>
        <w:t> </w:t>
      </w:r>
      <w:r>
        <w:rPr/>
        <w:t>here.</w:t>
        <w:tab/>
        <w:t>†Sweden’s</w:t>
      </w:r>
      <w:r>
        <w:rPr>
          <w:spacing w:val="80"/>
        </w:rPr>
        <w:t> </w:t>
      </w:r>
      <w:r>
        <w:rPr/>
        <w:t>stability</w:t>
      </w:r>
      <w:r>
        <w:rPr>
          <w:spacing w:val="40"/>
        </w:rPr>
        <w:t> </w:t>
      </w:r>
      <w:r>
        <w:rPr/>
        <w:t>threshold</w:t>
      </w:r>
      <w:r>
        <w:rPr>
          <w:spacing w:val="80"/>
        </w:rPr>
        <w:t> </w:t>
      </w:r>
      <w:r>
        <w:rPr/>
        <w:t>(θ=0.60)</w:t>
      </w:r>
      <w:r>
        <w:rPr>
          <w:spacing w:val="80"/>
        </w:rPr>
        <w:t> </w:t>
      </w:r>
      <w:r>
        <w:rPr/>
        <w:t>is</w:t>
      </w:r>
      <w:r>
        <w:rPr>
          <w:spacing w:val="80"/>
        </w:rPr>
        <w:t> </w:t>
      </w:r>
      <w:r>
        <w:rPr/>
        <w:t>author-calibrated</w:t>
      </w:r>
      <w:r>
        <w:rPr>
          <w:spacing w:val="80"/>
        </w:rPr>
        <w:t> </w:t>
      </w:r>
      <w:r>
        <w:rPr/>
        <w:t>and illustrative, not sourced from Riksbank supervisory data; treat the Sweden row as the least certain in this table (§7.2, L7).</w:t>
      </w:r>
    </w:p>
    <w:p>
      <w:pPr>
        <w:pStyle w:val="Heading2"/>
        <w:numPr>
          <w:ilvl w:val="1"/>
          <w:numId w:val="1"/>
        </w:numPr>
        <w:tabs>
          <w:tab w:pos="457" w:val="left" w:leader="none"/>
        </w:tabs>
        <w:spacing w:line="240" w:lineRule="auto" w:before="234" w:after="0"/>
        <w:ind w:left="457" w:right="0" w:hanging="358"/>
        <w:jc w:val="left"/>
        <w:rPr>
          <w:i/>
        </w:rPr>
      </w:pPr>
      <w:r>
        <w:rPr>
          <w:i/>
        </w:rPr>
        <w:t>Sobol</w:t>
      </w:r>
      <w:r>
        <w:rPr>
          <w:i/>
          <w:spacing w:val="-13"/>
        </w:rPr>
        <w:t> </w:t>
      </w:r>
      <w:r>
        <w:rPr>
          <w:i/>
        </w:rPr>
        <w:t>Sensitivity</w:t>
      </w:r>
      <w:r>
        <w:rPr>
          <w:i/>
          <w:spacing w:val="-13"/>
        </w:rPr>
        <w:t> </w:t>
      </w:r>
      <w:r>
        <w:rPr>
          <w:i/>
        </w:rPr>
        <w:t>(Table</w:t>
      </w:r>
      <w:r>
        <w:rPr>
          <w:i/>
          <w:spacing w:val="-12"/>
        </w:rPr>
        <w:t> </w:t>
      </w:r>
      <w:r>
        <w:rPr>
          <w:i/>
          <w:spacing w:val="-5"/>
        </w:rPr>
        <w:t>6)</w:t>
      </w:r>
    </w:p>
    <w:p>
      <w:pPr>
        <w:pStyle w:val="BodyText"/>
        <w:spacing w:before="78"/>
        <w:ind w:left="0"/>
        <w:rPr>
          <w:b/>
          <w:i/>
        </w:rPr>
      </w:pPr>
    </w:p>
    <w:p>
      <w:pPr>
        <w:pStyle w:val="BodyText"/>
        <w:spacing w:line="480" w:lineRule="auto"/>
        <w:ind w:right="380"/>
        <w:jc w:val="both"/>
      </w:pPr>
      <w:r>
        <w:rPr/>
        <w:t>Global sensitivity is assessed using the variance-based Sobol method with Saltelli sampling (Saltelli 2002), implemented via SALib; total-order indices S_T attribute output variance in P(Fail) to each input parameter, including interaction effects.</w:t>
      </w:r>
    </w:p>
    <w:p>
      <w:pPr>
        <w:pStyle w:val="BodyText"/>
        <w:spacing w:after="0" w:line="480" w:lineRule="auto"/>
        <w:jc w:val="both"/>
        <w:sectPr>
          <w:pgSz w:w="11900" w:h="16820"/>
          <w:pgMar w:header="714" w:footer="0" w:top="1340" w:bottom="280" w:left="1700" w:right="1417"/>
        </w:sectPr>
      </w:pPr>
    </w:p>
    <w:p>
      <w:pPr>
        <w:pStyle w:val="BodyText"/>
        <w:spacing w:before="43"/>
        <w:ind w:left="0"/>
      </w:pPr>
    </w:p>
    <w:p>
      <w:pPr>
        <w:spacing w:before="0"/>
        <w:ind w:left="0" w:right="202" w:firstLine="0"/>
        <w:jc w:val="center"/>
        <w:rPr>
          <w:b/>
          <w:sz w:val="24"/>
        </w:rPr>
      </w:pPr>
      <w:r>
        <w:rPr>
          <w:b/>
          <w:sz w:val="24"/>
        </w:rPr>
        <w:t>Table6.</w:t>
      </w:r>
      <w:r>
        <w:rPr>
          <w:b/>
          <w:spacing w:val="-10"/>
          <w:sz w:val="24"/>
        </w:rPr>
        <w:t> </w:t>
      </w:r>
      <w:r>
        <w:rPr>
          <w:b/>
          <w:sz w:val="24"/>
        </w:rPr>
        <w:t>Sobol</w:t>
      </w:r>
      <w:r>
        <w:rPr>
          <w:b/>
          <w:spacing w:val="-10"/>
          <w:sz w:val="24"/>
        </w:rPr>
        <w:t> </w:t>
      </w:r>
      <w:r>
        <w:rPr>
          <w:b/>
          <w:sz w:val="24"/>
        </w:rPr>
        <w:t>Sensitivity</w:t>
      </w:r>
      <w:r>
        <w:rPr>
          <w:b/>
          <w:spacing w:val="-10"/>
          <w:sz w:val="24"/>
        </w:rPr>
        <w:t> </w:t>
      </w:r>
      <w:r>
        <w:rPr>
          <w:b/>
          <w:sz w:val="24"/>
        </w:rPr>
        <w:t>(SALib</w:t>
      </w:r>
      <w:r>
        <w:rPr>
          <w:b/>
          <w:spacing w:val="-10"/>
          <w:sz w:val="24"/>
        </w:rPr>
        <w:t> </w:t>
      </w:r>
      <w:r>
        <w:rPr>
          <w:b/>
          <w:sz w:val="24"/>
        </w:rPr>
        <w:t>1.5,</w:t>
      </w:r>
      <w:r>
        <w:rPr>
          <w:b/>
          <w:spacing w:val="-11"/>
          <w:sz w:val="24"/>
        </w:rPr>
        <w:t> </w:t>
      </w:r>
      <w:r>
        <w:rPr>
          <w:b/>
          <w:sz w:val="24"/>
        </w:rPr>
        <w:t>N=512,</w:t>
      </w:r>
      <w:r>
        <w:rPr>
          <w:b/>
          <w:spacing w:val="-11"/>
          <w:sz w:val="24"/>
        </w:rPr>
        <w:t> </w:t>
      </w:r>
      <w:r>
        <w:rPr>
          <w:b/>
          <w:spacing w:val="-2"/>
          <w:sz w:val="24"/>
        </w:rPr>
        <w:t>run_id=7c25c6c82a3c17de)</w:t>
      </w:r>
    </w:p>
    <w:p>
      <w:pPr>
        <w:pStyle w:val="BodyText"/>
        <w:spacing w:before="11"/>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0"/>
        <w:gridCol w:w="1158"/>
        <w:gridCol w:w="1160"/>
        <w:gridCol w:w="2638"/>
      </w:tblGrid>
      <w:tr>
        <w:trPr>
          <w:trHeight w:val="280" w:hRule="atLeast"/>
        </w:trPr>
        <w:tc>
          <w:tcPr>
            <w:tcW w:w="3310" w:type="dxa"/>
          </w:tcPr>
          <w:p>
            <w:pPr>
              <w:pStyle w:val="TableParagraph"/>
              <w:spacing w:line="246" w:lineRule="exact"/>
              <w:ind w:left="9"/>
              <w:jc w:val="center"/>
              <w:rPr>
                <w:b/>
                <w:sz w:val="22"/>
              </w:rPr>
            </w:pPr>
            <w:r>
              <w:rPr>
                <w:b/>
                <w:spacing w:val="-2"/>
                <w:sz w:val="22"/>
              </w:rPr>
              <w:t>Parameter</w:t>
            </w:r>
          </w:p>
        </w:tc>
        <w:tc>
          <w:tcPr>
            <w:tcW w:w="1158" w:type="dxa"/>
          </w:tcPr>
          <w:p>
            <w:pPr>
              <w:pStyle w:val="TableParagraph"/>
              <w:spacing w:line="246" w:lineRule="exact"/>
              <w:ind w:left="9"/>
              <w:jc w:val="center"/>
              <w:rPr>
                <w:b/>
                <w:sz w:val="22"/>
              </w:rPr>
            </w:pPr>
            <w:r>
              <w:rPr>
                <w:b/>
                <w:spacing w:val="-5"/>
                <w:sz w:val="22"/>
              </w:rPr>
              <w:t>S₁</w:t>
            </w:r>
          </w:p>
        </w:tc>
        <w:tc>
          <w:tcPr>
            <w:tcW w:w="1160" w:type="dxa"/>
          </w:tcPr>
          <w:p>
            <w:pPr>
              <w:pStyle w:val="TableParagraph"/>
              <w:spacing w:line="246" w:lineRule="exact"/>
              <w:ind w:left="391"/>
              <w:rPr>
                <w:b/>
                <w:sz w:val="22"/>
              </w:rPr>
            </w:pPr>
            <w:r>
              <w:rPr>
                <w:b/>
                <w:spacing w:val="-5"/>
                <w:sz w:val="22"/>
              </w:rPr>
              <w:t>S_T</w:t>
            </w:r>
          </w:p>
        </w:tc>
        <w:tc>
          <w:tcPr>
            <w:tcW w:w="2638" w:type="dxa"/>
          </w:tcPr>
          <w:p>
            <w:pPr>
              <w:pStyle w:val="TableParagraph"/>
              <w:spacing w:line="246" w:lineRule="exact"/>
              <w:ind w:left="493"/>
              <w:rPr>
                <w:b/>
                <w:sz w:val="22"/>
              </w:rPr>
            </w:pPr>
            <w:r>
              <w:rPr>
                <w:b/>
                <w:sz w:val="22"/>
              </w:rPr>
              <w:t>Interaction</w:t>
            </w:r>
            <w:r>
              <w:rPr>
                <w:b/>
                <w:spacing w:val="-10"/>
                <w:sz w:val="22"/>
              </w:rPr>
              <w:t> </w:t>
            </w:r>
            <w:r>
              <w:rPr>
                <w:b/>
                <w:spacing w:val="-2"/>
                <w:sz w:val="22"/>
              </w:rPr>
              <w:t>Share</w:t>
            </w:r>
          </w:p>
        </w:tc>
      </w:tr>
      <w:tr>
        <w:trPr>
          <w:trHeight w:val="280" w:hRule="atLeast"/>
        </w:trPr>
        <w:tc>
          <w:tcPr>
            <w:tcW w:w="3310" w:type="dxa"/>
          </w:tcPr>
          <w:p>
            <w:pPr>
              <w:pStyle w:val="TableParagraph"/>
              <w:spacing w:line="249" w:lineRule="exact"/>
              <w:rPr>
                <w:sz w:val="22"/>
              </w:rPr>
            </w:pPr>
            <w:r>
              <w:rPr>
                <w:sz w:val="22"/>
              </w:rPr>
              <w:t>Cap</w:t>
            </w:r>
            <w:r>
              <w:rPr>
                <w:spacing w:val="-3"/>
                <w:sz w:val="22"/>
              </w:rPr>
              <w:t> </w:t>
            </w:r>
            <w:r>
              <w:rPr>
                <w:sz w:val="22"/>
              </w:rPr>
              <w:t>(holding</w:t>
            </w:r>
            <w:r>
              <w:rPr>
                <w:spacing w:val="-4"/>
                <w:sz w:val="22"/>
              </w:rPr>
              <w:t> </w:t>
            </w:r>
            <w:r>
              <w:rPr>
                <w:spacing w:val="-2"/>
                <w:sz w:val="22"/>
              </w:rPr>
              <w:t>limit)</w:t>
            </w:r>
          </w:p>
        </w:tc>
        <w:tc>
          <w:tcPr>
            <w:tcW w:w="1158" w:type="dxa"/>
          </w:tcPr>
          <w:p>
            <w:pPr>
              <w:pStyle w:val="TableParagraph"/>
              <w:spacing w:line="249" w:lineRule="exact"/>
              <w:rPr>
                <w:sz w:val="22"/>
              </w:rPr>
            </w:pPr>
            <w:r>
              <w:rPr>
                <w:spacing w:val="-4"/>
                <w:sz w:val="22"/>
              </w:rPr>
              <w:t>0.27</w:t>
            </w:r>
          </w:p>
        </w:tc>
        <w:tc>
          <w:tcPr>
            <w:tcW w:w="1160" w:type="dxa"/>
          </w:tcPr>
          <w:p>
            <w:pPr>
              <w:pStyle w:val="TableParagraph"/>
              <w:spacing w:line="249" w:lineRule="exact"/>
              <w:ind w:left="108"/>
              <w:rPr>
                <w:sz w:val="22"/>
              </w:rPr>
            </w:pPr>
            <w:r>
              <w:rPr>
                <w:spacing w:val="-4"/>
                <w:sz w:val="22"/>
              </w:rPr>
              <w:t>0.44</w:t>
            </w:r>
          </w:p>
        </w:tc>
        <w:tc>
          <w:tcPr>
            <w:tcW w:w="2638" w:type="dxa"/>
          </w:tcPr>
          <w:p>
            <w:pPr>
              <w:pStyle w:val="TableParagraph"/>
              <w:spacing w:line="249" w:lineRule="exact"/>
              <w:ind w:left="109"/>
              <w:rPr>
                <w:sz w:val="22"/>
              </w:rPr>
            </w:pPr>
            <w:r>
              <w:rPr>
                <w:spacing w:val="-5"/>
                <w:sz w:val="22"/>
              </w:rPr>
              <w:t>38%</w:t>
            </w:r>
          </w:p>
        </w:tc>
      </w:tr>
      <w:tr>
        <w:trPr>
          <w:trHeight w:val="280" w:hRule="atLeast"/>
        </w:trPr>
        <w:tc>
          <w:tcPr>
            <w:tcW w:w="3310" w:type="dxa"/>
          </w:tcPr>
          <w:p>
            <w:pPr>
              <w:pStyle w:val="TableParagraph"/>
              <w:spacing w:line="249" w:lineRule="exact"/>
              <w:rPr>
                <w:sz w:val="22"/>
              </w:rPr>
            </w:pPr>
            <w:r>
              <w:rPr>
                <w:sz w:val="22"/>
              </w:rPr>
              <w:t>Shock</w:t>
            </w:r>
            <w:r>
              <w:rPr>
                <w:spacing w:val="-3"/>
                <w:sz w:val="22"/>
              </w:rPr>
              <w:t> </w:t>
            </w:r>
            <w:r>
              <w:rPr>
                <w:spacing w:val="-10"/>
                <w:sz w:val="22"/>
              </w:rPr>
              <w:t>S</w:t>
            </w:r>
          </w:p>
        </w:tc>
        <w:tc>
          <w:tcPr>
            <w:tcW w:w="1158" w:type="dxa"/>
          </w:tcPr>
          <w:p>
            <w:pPr>
              <w:pStyle w:val="TableParagraph"/>
              <w:spacing w:line="249" w:lineRule="exact"/>
              <w:rPr>
                <w:sz w:val="22"/>
              </w:rPr>
            </w:pPr>
            <w:r>
              <w:rPr>
                <w:spacing w:val="-4"/>
                <w:sz w:val="22"/>
              </w:rPr>
              <w:t>0.19</w:t>
            </w:r>
          </w:p>
        </w:tc>
        <w:tc>
          <w:tcPr>
            <w:tcW w:w="1160" w:type="dxa"/>
          </w:tcPr>
          <w:p>
            <w:pPr>
              <w:pStyle w:val="TableParagraph"/>
              <w:spacing w:line="249" w:lineRule="exact"/>
              <w:ind w:left="108"/>
              <w:rPr>
                <w:sz w:val="22"/>
              </w:rPr>
            </w:pPr>
            <w:r>
              <w:rPr>
                <w:spacing w:val="-4"/>
                <w:sz w:val="22"/>
              </w:rPr>
              <w:t>0.31</w:t>
            </w:r>
          </w:p>
        </w:tc>
        <w:tc>
          <w:tcPr>
            <w:tcW w:w="2638" w:type="dxa"/>
          </w:tcPr>
          <w:p>
            <w:pPr>
              <w:pStyle w:val="TableParagraph"/>
              <w:spacing w:line="249" w:lineRule="exact"/>
              <w:ind w:left="109"/>
              <w:rPr>
                <w:sz w:val="22"/>
              </w:rPr>
            </w:pPr>
            <w:r>
              <w:rPr>
                <w:spacing w:val="-5"/>
                <w:sz w:val="22"/>
              </w:rPr>
              <w:t>39%</w:t>
            </w:r>
          </w:p>
        </w:tc>
      </w:tr>
      <w:tr>
        <w:trPr>
          <w:trHeight w:val="280" w:hRule="atLeast"/>
        </w:trPr>
        <w:tc>
          <w:tcPr>
            <w:tcW w:w="3310" w:type="dxa"/>
          </w:tcPr>
          <w:p>
            <w:pPr>
              <w:pStyle w:val="TableParagraph"/>
              <w:spacing w:line="249" w:lineRule="exact"/>
              <w:rPr>
                <w:sz w:val="22"/>
              </w:rPr>
            </w:pPr>
            <w:r>
              <w:rPr>
                <w:sz w:val="22"/>
              </w:rPr>
              <w:t>Digital</w:t>
            </w:r>
            <w:r>
              <w:rPr>
                <w:spacing w:val="-7"/>
                <w:sz w:val="22"/>
              </w:rPr>
              <w:t> </w:t>
            </w:r>
            <w:r>
              <w:rPr>
                <w:spacing w:val="-10"/>
                <w:sz w:val="22"/>
              </w:rPr>
              <w:t>D</w:t>
            </w:r>
          </w:p>
        </w:tc>
        <w:tc>
          <w:tcPr>
            <w:tcW w:w="1158" w:type="dxa"/>
          </w:tcPr>
          <w:p>
            <w:pPr>
              <w:pStyle w:val="TableParagraph"/>
              <w:spacing w:line="249" w:lineRule="exact"/>
              <w:rPr>
                <w:sz w:val="22"/>
              </w:rPr>
            </w:pPr>
            <w:r>
              <w:rPr>
                <w:spacing w:val="-4"/>
                <w:sz w:val="22"/>
              </w:rPr>
              <w:t>0.09</w:t>
            </w:r>
          </w:p>
        </w:tc>
        <w:tc>
          <w:tcPr>
            <w:tcW w:w="1160" w:type="dxa"/>
          </w:tcPr>
          <w:p>
            <w:pPr>
              <w:pStyle w:val="TableParagraph"/>
              <w:spacing w:line="249" w:lineRule="exact"/>
              <w:ind w:left="108"/>
              <w:rPr>
                <w:sz w:val="22"/>
              </w:rPr>
            </w:pPr>
            <w:r>
              <w:rPr>
                <w:spacing w:val="-4"/>
                <w:sz w:val="22"/>
              </w:rPr>
              <w:t>0.17</w:t>
            </w:r>
          </w:p>
        </w:tc>
        <w:tc>
          <w:tcPr>
            <w:tcW w:w="2638" w:type="dxa"/>
          </w:tcPr>
          <w:p>
            <w:pPr>
              <w:pStyle w:val="TableParagraph"/>
              <w:spacing w:line="249" w:lineRule="exact"/>
              <w:ind w:left="109"/>
              <w:rPr>
                <w:sz w:val="22"/>
              </w:rPr>
            </w:pPr>
            <w:r>
              <w:rPr>
                <w:spacing w:val="-5"/>
                <w:sz w:val="22"/>
              </w:rPr>
              <w:t>47%</w:t>
            </w:r>
          </w:p>
        </w:tc>
      </w:tr>
      <w:tr>
        <w:trPr>
          <w:trHeight w:val="282" w:hRule="atLeast"/>
        </w:trPr>
        <w:tc>
          <w:tcPr>
            <w:tcW w:w="3310" w:type="dxa"/>
          </w:tcPr>
          <w:p>
            <w:pPr>
              <w:pStyle w:val="TableParagraph"/>
              <w:spacing w:line="249" w:lineRule="exact"/>
              <w:rPr>
                <w:sz w:val="22"/>
              </w:rPr>
            </w:pPr>
            <w:r>
              <w:rPr>
                <w:sz w:val="22"/>
              </w:rPr>
              <w:t>Concentration</w:t>
            </w:r>
            <w:r>
              <w:rPr>
                <w:spacing w:val="-8"/>
                <w:sz w:val="22"/>
              </w:rPr>
              <w:t> </w:t>
            </w:r>
            <w:r>
              <w:rPr>
                <w:spacing w:val="-10"/>
                <w:sz w:val="22"/>
              </w:rPr>
              <w:t>C</w:t>
            </w:r>
          </w:p>
        </w:tc>
        <w:tc>
          <w:tcPr>
            <w:tcW w:w="1158" w:type="dxa"/>
          </w:tcPr>
          <w:p>
            <w:pPr>
              <w:pStyle w:val="TableParagraph"/>
              <w:spacing w:line="249" w:lineRule="exact"/>
              <w:rPr>
                <w:sz w:val="22"/>
              </w:rPr>
            </w:pPr>
            <w:r>
              <w:rPr>
                <w:spacing w:val="-4"/>
                <w:sz w:val="22"/>
              </w:rPr>
              <w:t>0.05</w:t>
            </w:r>
          </w:p>
        </w:tc>
        <w:tc>
          <w:tcPr>
            <w:tcW w:w="1160" w:type="dxa"/>
          </w:tcPr>
          <w:p>
            <w:pPr>
              <w:pStyle w:val="TableParagraph"/>
              <w:spacing w:line="249" w:lineRule="exact"/>
              <w:ind w:left="108"/>
              <w:rPr>
                <w:sz w:val="22"/>
              </w:rPr>
            </w:pPr>
            <w:r>
              <w:rPr>
                <w:spacing w:val="-4"/>
                <w:sz w:val="22"/>
              </w:rPr>
              <w:t>0.12</w:t>
            </w:r>
          </w:p>
        </w:tc>
        <w:tc>
          <w:tcPr>
            <w:tcW w:w="2638" w:type="dxa"/>
          </w:tcPr>
          <w:p>
            <w:pPr>
              <w:pStyle w:val="TableParagraph"/>
              <w:spacing w:line="249" w:lineRule="exact"/>
              <w:ind w:left="109"/>
              <w:rPr>
                <w:sz w:val="22"/>
              </w:rPr>
            </w:pPr>
            <w:r>
              <w:rPr>
                <w:spacing w:val="-5"/>
                <w:sz w:val="22"/>
              </w:rPr>
              <w:t>58%</w:t>
            </w:r>
          </w:p>
        </w:tc>
      </w:tr>
      <w:tr>
        <w:trPr>
          <w:trHeight w:val="280" w:hRule="atLeast"/>
        </w:trPr>
        <w:tc>
          <w:tcPr>
            <w:tcW w:w="3310" w:type="dxa"/>
          </w:tcPr>
          <w:p>
            <w:pPr>
              <w:pStyle w:val="TableParagraph"/>
              <w:spacing w:line="246" w:lineRule="exact"/>
              <w:rPr>
                <w:sz w:val="22"/>
              </w:rPr>
            </w:pPr>
            <w:r>
              <w:rPr>
                <w:sz w:val="22"/>
              </w:rPr>
              <w:t>Tier-2</w:t>
            </w:r>
            <w:r>
              <w:rPr>
                <w:spacing w:val="-4"/>
                <w:sz w:val="22"/>
              </w:rPr>
              <w:t> rate</w:t>
            </w:r>
          </w:p>
        </w:tc>
        <w:tc>
          <w:tcPr>
            <w:tcW w:w="1158" w:type="dxa"/>
          </w:tcPr>
          <w:p>
            <w:pPr>
              <w:pStyle w:val="TableParagraph"/>
              <w:spacing w:line="246" w:lineRule="exact"/>
              <w:rPr>
                <w:sz w:val="22"/>
              </w:rPr>
            </w:pPr>
            <w:r>
              <w:rPr>
                <w:spacing w:val="-4"/>
                <w:sz w:val="22"/>
              </w:rPr>
              <w:t>0.02</w:t>
            </w:r>
          </w:p>
        </w:tc>
        <w:tc>
          <w:tcPr>
            <w:tcW w:w="1160" w:type="dxa"/>
          </w:tcPr>
          <w:p>
            <w:pPr>
              <w:pStyle w:val="TableParagraph"/>
              <w:spacing w:line="246" w:lineRule="exact"/>
              <w:ind w:left="108"/>
              <w:rPr>
                <w:sz w:val="22"/>
              </w:rPr>
            </w:pPr>
            <w:r>
              <w:rPr>
                <w:spacing w:val="-4"/>
                <w:sz w:val="22"/>
              </w:rPr>
              <w:t>0.08</w:t>
            </w:r>
          </w:p>
        </w:tc>
        <w:tc>
          <w:tcPr>
            <w:tcW w:w="2638" w:type="dxa"/>
          </w:tcPr>
          <w:p>
            <w:pPr>
              <w:pStyle w:val="TableParagraph"/>
              <w:spacing w:line="246" w:lineRule="exact"/>
              <w:ind w:left="109"/>
              <w:rPr>
                <w:sz w:val="22"/>
              </w:rPr>
            </w:pPr>
            <w:r>
              <w:rPr>
                <w:spacing w:val="-5"/>
                <w:sz w:val="22"/>
              </w:rPr>
              <w:t>75%</w:t>
            </w:r>
          </w:p>
        </w:tc>
      </w:tr>
      <w:tr>
        <w:trPr>
          <w:trHeight w:val="280" w:hRule="atLeast"/>
        </w:trPr>
        <w:tc>
          <w:tcPr>
            <w:tcW w:w="3310" w:type="dxa"/>
          </w:tcPr>
          <w:p>
            <w:pPr>
              <w:pStyle w:val="TableParagraph"/>
              <w:spacing w:line="246" w:lineRule="exact"/>
              <w:rPr>
                <w:sz w:val="22"/>
              </w:rPr>
            </w:pPr>
            <w:r>
              <w:rPr>
                <w:spacing w:val="-4"/>
                <w:sz w:val="22"/>
              </w:rPr>
              <w:t>LOLR</w:t>
            </w:r>
          </w:p>
        </w:tc>
        <w:tc>
          <w:tcPr>
            <w:tcW w:w="1158" w:type="dxa"/>
          </w:tcPr>
          <w:p>
            <w:pPr>
              <w:pStyle w:val="TableParagraph"/>
              <w:spacing w:line="246" w:lineRule="exact"/>
              <w:rPr>
                <w:sz w:val="22"/>
              </w:rPr>
            </w:pPr>
            <w:r>
              <w:rPr>
                <w:spacing w:val="-4"/>
                <w:sz w:val="22"/>
              </w:rPr>
              <w:t>0.04</w:t>
            </w:r>
          </w:p>
        </w:tc>
        <w:tc>
          <w:tcPr>
            <w:tcW w:w="1160" w:type="dxa"/>
          </w:tcPr>
          <w:p>
            <w:pPr>
              <w:pStyle w:val="TableParagraph"/>
              <w:spacing w:line="246" w:lineRule="exact"/>
              <w:ind w:left="108"/>
              <w:rPr>
                <w:sz w:val="22"/>
              </w:rPr>
            </w:pPr>
            <w:r>
              <w:rPr>
                <w:spacing w:val="-4"/>
                <w:sz w:val="22"/>
              </w:rPr>
              <w:t>0.19</w:t>
            </w:r>
          </w:p>
        </w:tc>
        <w:tc>
          <w:tcPr>
            <w:tcW w:w="2638" w:type="dxa"/>
          </w:tcPr>
          <w:p>
            <w:pPr>
              <w:pStyle w:val="TableParagraph"/>
              <w:spacing w:line="246" w:lineRule="exact"/>
              <w:ind w:left="109"/>
              <w:rPr>
                <w:sz w:val="22"/>
              </w:rPr>
            </w:pPr>
            <w:r>
              <w:rPr>
                <w:spacing w:val="-5"/>
                <w:sz w:val="22"/>
              </w:rPr>
              <w:t>79%</w:t>
            </w:r>
          </w:p>
        </w:tc>
      </w:tr>
      <w:tr>
        <w:trPr>
          <w:trHeight w:val="280" w:hRule="atLeast"/>
        </w:trPr>
        <w:tc>
          <w:tcPr>
            <w:tcW w:w="3310" w:type="dxa"/>
          </w:tcPr>
          <w:p>
            <w:pPr>
              <w:pStyle w:val="TableParagraph"/>
              <w:spacing w:line="249" w:lineRule="exact"/>
              <w:rPr>
                <w:sz w:val="22"/>
              </w:rPr>
            </w:pPr>
            <w:r>
              <w:rPr>
                <w:sz w:val="22"/>
              </w:rPr>
              <w:t>Dynamic</w:t>
            </w:r>
            <w:r>
              <w:rPr>
                <w:spacing w:val="-7"/>
                <w:sz w:val="22"/>
              </w:rPr>
              <w:t> </w:t>
            </w:r>
            <w:r>
              <w:rPr>
                <w:spacing w:val="-5"/>
                <w:sz w:val="22"/>
              </w:rPr>
              <w:t>Cap</w:t>
            </w:r>
          </w:p>
        </w:tc>
        <w:tc>
          <w:tcPr>
            <w:tcW w:w="1158" w:type="dxa"/>
          </w:tcPr>
          <w:p>
            <w:pPr>
              <w:pStyle w:val="TableParagraph"/>
              <w:spacing w:line="249" w:lineRule="exact"/>
              <w:rPr>
                <w:sz w:val="22"/>
              </w:rPr>
            </w:pPr>
            <w:r>
              <w:rPr>
                <w:spacing w:val="-4"/>
                <w:sz w:val="22"/>
              </w:rPr>
              <w:t>0.03</w:t>
            </w:r>
          </w:p>
        </w:tc>
        <w:tc>
          <w:tcPr>
            <w:tcW w:w="1160" w:type="dxa"/>
          </w:tcPr>
          <w:p>
            <w:pPr>
              <w:pStyle w:val="TableParagraph"/>
              <w:spacing w:line="249" w:lineRule="exact"/>
              <w:ind w:left="108"/>
              <w:rPr>
                <w:sz w:val="22"/>
              </w:rPr>
            </w:pPr>
            <w:r>
              <w:rPr>
                <w:spacing w:val="-4"/>
                <w:sz w:val="22"/>
              </w:rPr>
              <w:t>0.13</w:t>
            </w:r>
          </w:p>
        </w:tc>
        <w:tc>
          <w:tcPr>
            <w:tcW w:w="2638" w:type="dxa"/>
          </w:tcPr>
          <w:p>
            <w:pPr>
              <w:pStyle w:val="TableParagraph"/>
              <w:spacing w:line="249" w:lineRule="exact"/>
              <w:ind w:left="109"/>
              <w:rPr>
                <w:sz w:val="22"/>
              </w:rPr>
            </w:pPr>
            <w:r>
              <w:rPr>
                <w:spacing w:val="-5"/>
                <w:sz w:val="22"/>
              </w:rPr>
              <w:t>77%</w:t>
            </w:r>
          </w:p>
        </w:tc>
      </w:tr>
      <w:tr>
        <w:trPr>
          <w:trHeight w:val="280" w:hRule="atLeast"/>
        </w:trPr>
        <w:tc>
          <w:tcPr>
            <w:tcW w:w="3310" w:type="dxa"/>
          </w:tcPr>
          <w:p>
            <w:pPr>
              <w:pStyle w:val="TableParagraph"/>
              <w:spacing w:line="249" w:lineRule="exact"/>
              <w:rPr>
                <w:sz w:val="22"/>
              </w:rPr>
            </w:pPr>
            <w:r>
              <w:rPr>
                <w:sz w:val="22"/>
              </w:rPr>
              <w:t>Capital</w:t>
            </w:r>
            <w:r>
              <w:rPr>
                <w:spacing w:val="-7"/>
                <w:sz w:val="22"/>
              </w:rPr>
              <w:t> </w:t>
            </w:r>
            <w:r>
              <w:rPr>
                <w:spacing w:val="-2"/>
                <w:sz w:val="22"/>
              </w:rPr>
              <w:t>buffer</w:t>
            </w:r>
          </w:p>
        </w:tc>
        <w:tc>
          <w:tcPr>
            <w:tcW w:w="1158" w:type="dxa"/>
          </w:tcPr>
          <w:p>
            <w:pPr>
              <w:pStyle w:val="TableParagraph"/>
              <w:spacing w:line="249" w:lineRule="exact"/>
              <w:rPr>
                <w:sz w:val="22"/>
              </w:rPr>
            </w:pPr>
            <w:r>
              <w:rPr>
                <w:spacing w:val="-4"/>
                <w:sz w:val="22"/>
              </w:rPr>
              <w:t>0.02</w:t>
            </w:r>
          </w:p>
        </w:tc>
        <w:tc>
          <w:tcPr>
            <w:tcW w:w="1160" w:type="dxa"/>
          </w:tcPr>
          <w:p>
            <w:pPr>
              <w:pStyle w:val="TableParagraph"/>
              <w:spacing w:line="249" w:lineRule="exact"/>
              <w:ind w:left="108"/>
              <w:rPr>
                <w:sz w:val="22"/>
              </w:rPr>
            </w:pPr>
            <w:r>
              <w:rPr>
                <w:spacing w:val="-4"/>
                <w:sz w:val="22"/>
              </w:rPr>
              <w:t>0.07</w:t>
            </w:r>
          </w:p>
        </w:tc>
        <w:tc>
          <w:tcPr>
            <w:tcW w:w="2638" w:type="dxa"/>
          </w:tcPr>
          <w:p>
            <w:pPr>
              <w:pStyle w:val="TableParagraph"/>
              <w:spacing w:line="249" w:lineRule="exact"/>
              <w:ind w:left="109"/>
              <w:rPr>
                <w:sz w:val="22"/>
              </w:rPr>
            </w:pPr>
            <w:r>
              <w:rPr>
                <w:spacing w:val="-5"/>
                <w:sz w:val="22"/>
              </w:rPr>
              <w:t>71%</w:t>
            </w:r>
          </w:p>
        </w:tc>
      </w:tr>
    </w:tbl>
    <w:p>
      <w:pPr>
        <w:pStyle w:val="BodyText"/>
        <w:ind w:right="380"/>
        <w:jc w:val="both"/>
      </w:pPr>
      <w:r>
        <w:rPr>
          <w:b/>
        </w:rPr>
        <w:t>Notes: </w:t>
      </w:r>
      <w:r>
        <w:rPr/>
        <w:t>ΣS₁=0.71; ΣS_T=1.51. LOLR effectiveness (S_T=0.19) is 79% conditional on cap and D.</w:t>
      </w:r>
    </w:p>
    <w:p>
      <w:pPr>
        <w:pStyle w:val="BodyText"/>
        <w:spacing w:before="80"/>
        <w:ind w:left="0"/>
      </w:pPr>
    </w:p>
    <w:p>
      <w:pPr>
        <w:pStyle w:val="Heading1"/>
        <w:numPr>
          <w:ilvl w:val="0"/>
          <w:numId w:val="1"/>
        </w:numPr>
        <w:tabs>
          <w:tab w:pos="337" w:val="left" w:leader="none"/>
        </w:tabs>
        <w:spacing w:line="240" w:lineRule="auto" w:before="0" w:after="0"/>
        <w:ind w:left="337" w:right="0" w:hanging="238"/>
        <w:jc w:val="left"/>
      </w:pPr>
      <w:r>
        <w:rPr/>
        <w:t>Partial</w:t>
      </w:r>
      <w:r>
        <w:rPr>
          <w:spacing w:val="-11"/>
        </w:rPr>
        <w:t> </w:t>
      </w:r>
      <w:r>
        <w:rPr/>
        <w:t>Model</w:t>
      </w:r>
      <w:r>
        <w:rPr>
          <w:spacing w:val="-11"/>
        </w:rPr>
        <w:t> </w:t>
      </w:r>
      <w:r>
        <w:rPr>
          <w:spacing w:val="-2"/>
        </w:rPr>
        <w:t>Validation</w:t>
      </w:r>
    </w:p>
    <w:p>
      <w:pPr>
        <w:pStyle w:val="BodyText"/>
        <w:ind w:left="0"/>
        <w:rPr>
          <w:b/>
        </w:rPr>
      </w:pPr>
    </w:p>
    <w:p>
      <w:pPr>
        <w:pStyle w:val="BodyText"/>
        <w:spacing w:before="83"/>
        <w:ind w:left="0"/>
        <w:rPr>
          <w:b/>
        </w:rPr>
      </w:pPr>
    </w:p>
    <w:p>
      <w:pPr>
        <w:pStyle w:val="Heading2"/>
        <w:numPr>
          <w:ilvl w:val="1"/>
          <w:numId w:val="1"/>
        </w:numPr>
        <w:tabs>
          <w:tab w:pos="457" w:val="left" w:leader="none"/>
        </w:tabs>
        <w:spacing w:line="240" w:lineRule="auto" w:before="0" w:after="0"/>
        <w:ind w:left="457" w:right="0" w:hanging="358"/>
        <w:jc w:val="left"/>
        <w:rPr>
          <w:i/>
        </w:rPr>
      </w:pPr>
      <w:r>
        <w:rPr>
          <w:i/>
          <w:spacing w:val="-2"/>
        </w:rPr>
        <w:t>Calibration</w:t>
      </w:r>
      <w:r>
        <w:rPr>
          <w:i/>
          <w:spacing w:val="3"/>
        </w:rPr>
        <w:t> </w:t>
      </w:r>
      <w:r>
        <w:rPr>
          <w:i/>
          <w:spacing w:val="-5"/>
        </w:rPr>
        <w:t>Fit</w:t>
      </w:r>
    </w:p>
    <w:p>
      <w:pPr>
        <w:pStyle w:val="BodyText"/>
        <w:spacing w:before="78"/>
        <w:ind w:left="0"/>
        <w:rPr>
          <w:b/>
          <w:i/>
        </w:rPr>
      </w:pPr>
    </w:p>
    <w:p>
      <w:pPr>
        <w:pStyle w:val="BodyText"/>
        <w:spacing w:line="480" w:lineRule="auto" w:before="1"/>
        <w:ind w:right="383"/>
        <w:jc w:val="both"/>
      </w:pPr>
      <w:r>
        <w:rPr/>
        <w:t>Eq. 2: R²=0.577, RMSE=0.032 (n=81). The six-variable OLS upper bound achieves R²=0.751, indicating that non-linearities account for approximately 17pp of residual variance addressed by the simulation structure. These results constitute partial validation evidence.</w:t>
      </w:r>
    </w:p>
    <w:p>
      <w:pPr>
        <w:pStyle w:val="Heading2"/>
        <w:numPr>
          <w:ilvl w:val="1"/>
          <w:numId w:val="1"/>
        </w:numPr>
        <w:tabs>
          <w:tab w:pos="457" w:val="left" w:leader="none"/>
        </w:tabs>
        <w:spacing w:line="240" w:lineRule="auto" w:before="240" w:after="0"/>
        <w:ind w:left="457" w:right="0" w:hanging="358"/>
        <w:jc w:val="both"/>
        <w:rPr>
          <w:i/>
        </w:rPr>
      </w:pPr>
      <w:r>
        <w:rPr>
          <w:i/>
        </w:rPr>
        <w:t>Partial</w:t>
      </w:r>
      <w:r>
        <w:rPr>
          <w:i/>
          <w:spacing w:val="-13"/>
        </w:rPr>
        <w:t> </w:t>
      </w:r>
      <w:r>
        <w:rPr>
          <w:i/>
        </w:rPr>
        <w:t>Validation</w:t>
      </w:r>
      <w:r>
        <w:rPr>
          <w:i/>
          <w:spacing w:val="-11"/>
        </w:rPr>
        <w:t> </w:t>
      </w:r>
      <w:r>
        <w:rPr>
          <w:i/>
        </w:rPr>
        <w:t>Battery</w:t>
      </w:r>
      <w:r>
        <w:rPr>
          <w:i/>
          <w:spacing w:val="-14"/>
        </w:rPr>
        <w:t> </w:t>
      </w:r>
      <w:r>
        <w:rPr>
          <w:i/>
        </w:rPr>
        <w:t>(Table</w:t>
      </w:r>
      <w:r>
        <w:rPr>
          <w:i/>
          <w:spacing w:val="-13"/>
        </w:rPr>
        <w:t> </w:t>
      </w:r>
      <w:r>
        <w:rPr>
          <w:i/>
          <w:spacing w:val="-5"/>
        </w:rPr>
        <w:t>7)</w:t>
      </w:r>
    </w:p>
    <w:p>
      <w:pPr>
        <w:pStyle w:val="BodyText"/>
        <w:ind w:left="0"/>
        <w:rPr>
          <w:b/>
          <w:i/>
        </w:rPr>
      </w:pPr>
    </w:p>
    <w:p>
      <w:pPr>
        <w:pStyle w:val="BodyText"/>
        <w:spacing w:before="42"/>
        <w:ind w:left="0"/>
        <w:rPr>
          <w:b/>
          <w:i/>
        </w:rPr>
      </w:pPr>
    </w:p>
    <w:p>
      <w:pPr>
        <w:spacing w:before="0"/>
        <w:ind w:left="0" w:right="201" w:firstLine="0"/>
        <w:jc w:val="center"/>
        <w:rPr>
          <w:b/>
          <w:sz w:val="24"/>
        </w:rPr>
      </w:pPr>
      <w:r>
        <w:rPr>
          <w:b/>
          <w:spacing w:val="-2"/>
          <w:sz w:val="24"/>
        </w:rPr>
        <w:t>Table7.</w:t>
      </w:r>
      <w:r>
        <w:rPr>
          <w:b/>
          <w:spacing w:val="4"/>
          <w:sz w:val="24"/>
        </w:rPr>
        <w:t> </w:t>
      </w:r>
      <w:r>
        <w:rPr>
          <w:b/>
          <w:spacing w:val="-2"/>
          <w:sz w:val="24"/>
        </w:rPr>
        <w:t>Partial</w:t>
      </w:r>
      <w:r>
        <w:rPr>
          <w:b/>
          <w:spacing w:val="7"/>
          <w:sz w:val="24"/>
        </w:rPr>
        <w:t> </w:t>
      </w:r>
      <w:r>
        <w:rPr>
          <w:b/>
          <w:spacing w:val="-2"/>
          <w:sz w:val="24"/>
        </w:rPr>
        <w:t>Validation</w:t>
      </w:r>
      <w:r>
        <w:rPr>
          <w:b/>
          <w:spacing w:val="5"/>
          <w:sz w:val="24"/>
        </w:rPr>
        <w:t> </w:t>
      </w:r>
      <w:r>
        <w:rPr>
          <w:b/>
          <w:spacing w:val="-2"/>
          <w:sz w:val="24"/>
        </w:rPr>
        <w:t>Battery</w:t>
      </w:r>
      <w:r>
        <w:rPr>
          <w:b/>
          <w:spacing w:val="3"/>
          <w:sz w:val="24"/>
        </w:rPr>
        <w:t> </w:t>
      </w:r>
      <w:r>
        <w:rPr>
          <w:b/>
          <w:spacing w:val="-2"/>
          <w:sz w:val="24"/>
        </w:rPr>
        <w:t>(n=81,</w:t>
      </w:r>
      <w:r>
        <w:rPr>
          <w:b/>
          <w:spacing w:val="6"/>
          <w:sz w:val="24"/>
        </w:rPr>
        <w:t> </w:t>
      </w:r>
      <w:r>
        <w:rPr>
          <w:b/>
          <w:spacing w:val="-2"/>
          <w:sz w:val="24"/>
        </w:rPr>
        <w:t>python-mt19937-v6.0)</w:t>
      </w:r>
    </w:p>
    <w:p>
      <w:pPr>
        <w:pStyle w:val="BodyText"/>
        <w:spacing w:before="8" w:after="1"/>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4"/>
        <w:gridCol w:w="1293"/>
        <w:gridCol w:w="1406"/>
        <w:gridCol w:w="3898"/>
      </w:tblGrid>
      <w:tr>
        <w:trPr>
          <w:trHeight w:val="282" w:hRule="atLeast"/>
        </w:trPr>
        <w:tc>
          <w:tcPr>
            <w:tcW w:w="1674" w:type="dxa"/>
          </w:tcPr>
          <w:p>
            <w:pPr>
              <w:pStyle w:val="TableParagraph"/>
              <w:spacing w:line="249" w:lineRule="exact"/>
              <w:ind w:left="520"/>
              <w:rPr>
                <w:b/>
                <w:sz w:val="22"/>
              </w:rPr>
            </w:pPr>
            <w:r>
              <w:rPr>
                <w:b/>
                <w:spacing w:val="-2"/>
                <w:sz w:val="22"/>
              </w:rPr>
              <w:t>Metric</w:t>
            </w:r>
          </w:p>
        </w:tc>
        <w:tc>
          <w:tcPr>
            <w:tcW w:w="1293" w:type="dxa"/>
          </w:tcPr>
          <w:p>
            <w:pPr>
              <w:pStyle w:val="TableParagraph"/>
              <w:spacing w:line="249" w:lineRule="exact"/>
              <w:ind w:left="371"/>
              <w:rPr>
                <w:b/>
                <w:sz w:val="22"/>
              </w:rPr>
            </w:pPr>
            <w:r>
              <w:rPr>
                <w:b/>
                <w:spacing w:val="-2"/>
                <w:sz w:val="22"/>
              </w:rPr>
              <w:t>Value</w:t>
            </w:r>
          </w:p>
        </w:tc>
        <w:tc>
          <w:tcPr>
            <w:tcW w:w="1406" w:type="dxa"/>
          </w:tcPr>
          <w:p>
            <w:pPr>
              <w:pStyle w:val="TableParagraph"/>
              <w:spacing w:line="249" w:lineRule="exact"/>
              <w:ind w:left="153"/>
              <w:rPr>
                <w:b/>
                <w:sz w:val="22"/>
              </w:rPr>
            </w:pPr>
            <w:r>
              <w:rPr>
                <w:b/>
                <w:spacing w:val="-2"/>
                <w:sz w:val="22"/>
              </w:rPr>
              <w:t>Benchmark</w:t>
            </w:r>
          </w:p>
        </w:tc>
        <w:tc>
          <w:tcPr>
            <w:tcW w:w="3898" w:type="dxa"/>
          </w:tcPr>
          <w:p>
            <w:pPr>
              <w:pStyle w:val="TableParagraph"/>
              <w:spacing w:line="249" w:lineRule="exact"/>
              <w:ind w:left="10"/>
              <w:jc w:val="center"/>
              <w:rPr>
                <w:b/>
                <w:sz w:val="22"/>
              </w:rPr>
            </w:pPr>
            <w:r>
              <w:rPr>
                <w:b/>
                <w:spacing w:val="-2"/>
                <w:sz w:val="22"/>
              </w:rPr>
              <w:t>Assessment</w:t>
            </w:r>
          </w:p>
        </w:tc>
      </w:tr>
      <w:tr>
        <w:trPr>
          <w:trHeight w:val="570" w:hRule="atLeast"/>
        </w:trPr>
        <w:tc>
          <w:tcPr>
            <w:tcW w:w="1674" w:type="dxa"/>
          </w:tcPr>
          <w:p>
            <w:pPr>
              <w:pStyle w:val="TableParagraph"/>
              <w:spacing w:line="246" w:lineRule="exact"/>
              <w:rPr>
                <w:sz w:val="22"/>
              </w:rPr>
            </w:pPr>
            <w:r>
              <w:rPr>
                <w:spacing w:val="-2"/>
                <w:sz w:val="22"/>
              </w:rPr>
              <w:t>AUC-</w:t>
            </w:r>
            <w:r>
              <w:rPr>
                <w:spacing w:val="-5"/>
                <w:sz w:val="22"/>
              </w:rPr>
              <w:t>ROC</w:t>
            </w:r>
          </w:p>
          <w:p>
            <w:pPr>
              <w:pStyle w:val="TableParagraph"/>
              <w:spacing w:before="37"/>
              <w:rPr>
                <w:sz w:val="22"/>
              </w:rPr>
            </w:pPr>
            <w:r>
              <w:rPr>
                <w:sz w:val="22"/>
              </w:rPr>
              <w:t>(n=81</w:t>
            </w:r>
            <w:r>
              <w:rPr>
                <w:spacing w:val="-6"/>
                <w:sz w:val="22"/>
              </w:rPr>
              <w:t> </w:t>
            </w:r>
            <w:r>
              <w:rPr>
                <w:spacing w:val="-2"/>
                <w:sz w:val="22"/>
              </w:rPr>
              <w:t>panel)</w:t>
            </w:r>
          </w:p>
        </w:tc>
        <w:tc>
          <w:tcPr>
            <w:tcW w:w="1293" w:type="dxa"/>
          </w:tcPr>
          <w:p>
            <w:pPr>
              <w:pStyle w:val="TableParagraph"/>
              <w:spacing w:before="139"/>
              <w:ind w:left="108"/>
              <w:rPr>
                <w:sz w:val="22"/>
              </w:rPr>
            </w:pPr>
            <w:r>
              <w:rPr>
                <w:spacing w:val="-2"/>
                <w:sz w:val="22"/>
              </w:rPr>
              <w:t>0.636</w:t>
            </w:r>
          </w:p>
        </w:tc>
        <w:tc>
          <w:tcPr>
            <w:tcW w:w="1406" w:type="dxa"/>
          </w:tcPr>
          <w:p>
            <w:pPr>
              <w:pStyle w:val="TableParagraph"/>
              <w:spacing w:before="139"/>
              <w:rPr>
                <w:sz w:val="22"/>
              </w:rPr>
            </w:pPr>
            <w:r>
              <w:rPr>
                <w:spacing w:val="-2"/>
                <w:sz w:val="22"/>
              </w:rPr>
              <w:t>0.5=random</w:t>
            </w:r>
          </w:p>
        </w:tc>
        <w:tc>
          <w:tcPr>
            <w:tcW w:w="3898" w:type="dxa"/>
          </w:tcPr>
          <w:p>
            <w:pPr>
              <w:pStyle w:val="TableParagraph"/>
              <w:spacing w:line="246" w:lineRule="exact"/>
              <w:rPr>
                <w:sz w:val="22"/>
              </w:rPr>
            </w:pPr>
            <w:r>
              <w:rPr>
                <w:sz w:val="22"/>
              </w:rPr>
              <w:t>Non-trivial;</w:t>
            </w:r>
            <w:r>
              <w:rPr>
                <w:spacing w:val="-4"/>
                <w:sz w:val="22"/>
              </w:rPr>
              <w:t> </w:t>
            </w:r>
            <w:r>
              <w:rPr>
                <w:sz w:val="22"/>
              </w:rPr>
              <w:t>13.6pp</w:t>
            </w:r>
            <w:r>
              <w:rPr>
                <w:spacing w:val="-3"/>
                <w:sz w:val="22"/>
              </w:rPr>
              <w:t> </w:t>
            </w:r>
            <w:r>
              <w:rPr>
                <w:sz w:val="22"/>
              </w:rPr>
              <w:t>above</w:t>
            </w:r>
            <w:r>
              <w:rPr>
                <w:spacing w:val="-2"/>
                <w:sz w:val="22"/>
              </w:rPr>
              <w:t> </w:t>
            </w:r>
            <w:r>
              <w:rPr>
                <w:sz w:val="22"/>
              </w:rPr>
              <w:t>random,</w:t>
            </w:r>
            <w:r>
              <w:rPr>
                <w:spacing w:val="-4"/>
                <w:sz w:val="22"/>
              </w:rPr>
              <w:t> full</w:t>
            </w:r>
          </w:p>
          <w:p>
            <w:pPr>
              <w:pStyle w:val="TableParagraph"/>
              <w:spacing w:before="37"/>
              <w:rPr>
                <w:sz w:val="22"/>
              </w:rPr>
            </w:pPr>
            <w:r>
              <w:rPr>
                <w:sz w:val="22"/>
              </w:rPr>
              <w:t>reconciled</w:t>
            </w:r>
            <w:r>
              <w:rPr>
                <w:spacing w:val="-7"/>
                <w:sz w:val="22"/>
              </w:rPr>
              <w:t> </w:t>
            </w:r>
            <w:r>
              <w:rPr>
                <w:spacing w:val="-2"/>
                <w:sz w:val="22"/>
              </w:rPr>
              <w:t>panel</w:t>
            </w:r>
          </w:p>
        </w:tc>
      </w:tr>
      <w:tr>
        <w:trPr>
          <w:trHeight w:val="570" w:hRule="atLeast"/>
        </w:trPr>
        <w:tc>
          <w:tcPr>
            <w:tcW w:w="1674" w:type="dxa"/>
          </w:tcPr>
          <w:p>
            <w:pPr>
              <w:pStyle w:val="TableParagraph"/>
              <w:spacing w:line="249" w:lineRule="exact"/>
              <w:rPr>
                <w:sz w:val="22"/>
              </w:rPr>
            </w:pPr>
            <w:r>
              <w:rPr>
                <w:sz w:val="22"/>
              </w:rPr>
              <w:t>AUC-PR</w:t>
            </w:r>
            <w:r>
              <w:rPr>
                <w:spacing w:val="-6"/>
                <w:sz w:val="22"/>
              </w:rPr>
              <w:t> </w:t>
            </w:r>
            <w:r>
              <w:rPr>
                <w:spacing w:val="-2"/>
                <w:sz w:val="22"/>
              </w:rPr>
              <w:t>(n=81</w:t>
            </w:r>
          </w:p>
          <w:p>
            <w:pPr>
              <w:pStyle w:val="TableParagraph"/>
              <w:spacing w:before="37"/>
              <w:rPr>
                <w:sz w:val="22"/>
              </w:rPr>
            </w:pPr>
            <w:r>
              <w:rPr>
                <w:spacing w:val="-2"/>
                <w:sz w:val="22"/>
              </w:rPr>
              <w:t>panel)</w:t>
            </w:r>
          </w:p>
        </w:tc>
        <w:tc>
          <w:tcPr>
            <w:tcW w:w="1293" w:type="dxa"/>
          </w:tcPr>
          <w:p>
            <w:pPr>
              <w:pStyle w:val="TableParagraph"/>
              <w:spacing w:before="139"/>
              <w:ind w:left="108"/>
              <w:rPr>
                <w:sz w:val="22"/>
              </w:rPr>
            </w:pPr>
            <w:r>
              <w:rPr>
                <w:spacing w:val="-2"/>
                <w:sz w:val="22"/>
              </w:rPr>
              <w:t>0.867</w:t>
            </w:r>
          </w:p>
        </w:tc>
        <w:tc>
          <w:tcPr>
            <w:tcW w:w="1406" w:type="dxa"/>
          </w:tcPr>
          <w:p>
            <w:pPr>
              <w:pStyle w:val="TableParagraph"/>
              <w:spacing w:line="249" w:lineRule="exact"/>
              <w:rPr>
                <w:sz w:val="22"/>
              </w:rPr>
            </w:pPr>
            <w:r>
              <w:rPr>
                <w:spacing w:val="-2"/>
                <w:sz w:val="22"/>
              </w:rPr>
              <w:t>0.772=base</w:t>
            </w:r>
          </w:p>
          <w:p>
            <w:pPr>
              <w:pStyle w:val="TableParagraph"/>
              <w:spacing w:before="37"/>
              <w:rPr>
                <w:sz w:val="22"/>
              </w:rPr>
            </w:pPr>
            <w:r>
              <w:rPr>
                <w:sz w:val="22"/>
              </w:rPr>
              <w:t>rate</w:t>
            </w:r>
            <w:r>
              <w:rPr>
                <w:spacing w:val="-5"/>
                <w:sz w:val="22"/>
              </w:rPr>
              <w:t> </w:t>
            </w:r>
            <w:r>
              <w:rPr>
                <w:spacing w:val="-2"/>
                <w:sz w:val="22"/>
              </w:rPr>
              <w:t>(61/79)</w:t>
            </w:r>
          </w:p>
        </w:tc>
        <w:tc>
          <w:tcPr>
            <w:tcW w:w="3898" w:type="dxa"/>
          </w:tcPr>
          <w:p>
            <w:pPr>
              <w:pStyle w:val="TableParagraph"/>
              <w:spacing w:line="249" w:lineRule="exact"/>
              <w:rPr>
                <w:sz w:val="22"/>
              </w:rPr>
            </w:pPr>
            <w:r>
              <w:rPr>
                <w:sz w:val="22"/>
              </w:rPr>
              <w:t>Above</w:t>
            </w:r>
            <w:r>
              <w:rPr>
                <w:spacing w:val="-3"/>
                <w:sz w:val="22"/>
              </w:rPr>
              <w:t> </w:t>
            </w:r>
            <w:r>
              <w:rPr>
                <w:sz w:val="22"/>
              </w:rPr>
              <w:t>base</w:t>
            </w:r>
            <w:r>
              <w:rPr>
                <w:spacing w:val="-3"/>
                <w:sz w:val="22"/>
              </w:rPr>
              <w:t> </w:t>
            </w:r>
            <w:r>
              <w:rPr>
                <w:sz w:val="22"/>
              </w:rPr>
              <w:t>rate</w:t>
            </w:r>
            <w:r>
              <w:rPr>
                <w:spacing w:val="-1"/>
                <w:sz w:val="22"/>
              </w:rPr>
              <w:t> </w:t>
            </w:r>
            <w:r>
              <w:rPr>
                <w:sz w:val="22"/>
              </w:rPr>
              <w:t>by</w:t>
            </w:r>
            <w:r>
              <w:rPr>
                <w:spacing w:val="-1"/>
                <w:sz w:val="22"/>
              </w:rPr>
              <w:t> </w:t>
            </w:r>
            <w:r>
              <w:rPr>
                <w:sz w:val="22"/>
              </w:rPr>
              <w:t>9.5pp</w:t>
            </w:r>
            <w:r>
              <w:rPr>
                <w:spacing w:val="51"/>
                <w:sz w:val="22"/>
              </w:rPr>
              <w:t> </w:t>
            </w:r>
            <w:r>
              <w:rPr>
                <w:spacing w:val="-10"/>
                <w:sz w:val="22"/>
              </w:rPr>
              <w:t>—</w:t>
            </w:r>
          </w:p>
          <w:p>
            <w:pPr>
              <w:pStyle w:val="TableParagraph"/>
              <w:spacing w:before="37"/>
              <w:rPr>
                <w:sz w:val="22"/>
              </w:rPr>
            </w:pPr>
            <w:r>
              <w:rPr>
                <w:sz w:val="22"/>
              </w:rPr>
              <w:t>positive-class</w:t>
            </w:r>
            <w:r>
              <w:rPr>
                <w:spacing w:val="-11"/>
                <w:sz w:val="22"/>
              </w:rPr>
              <w:t> </w:t>
            </w:r>
            <w:r>
              <w:rPr>
                <w:sz w:val="22"/>
              </w:rPr>
              <w:t>discrimination</w:t>
            </w:r>
            <w:r>
              <w:rPr>
                <w:spacing w:val="-9"/>
                <w:sz w:val="22"/>
              </w:rPr>
              <w:t> </w:t>
            </w:r>
            <w:r>
              <w:rPr>
                <w:spacing w:val="-2"/>
                <w:sz w:val="22"/>
              </w:rPr>
              <w:t>confirmed</w:t>
            </w:r>
          </w:p>
        </w:tc>
      </w:tr>
      <w:tr>
        <w:trPr>
          <w:trHeight w:val="862" w:hRule="atLeast"/>
        </w:trPr>
        <w:tc>
          <w:tcPr>
            <w:tcW w:w="1674" w:type="dxa"/>
          </w:tcPr>
          <w:p>
            <w:pPr>
              <w:pStyle w:val="TableParagraph"/>
              <w:spacing w:line="276" w:lineRule="auto"/>
              <w:ind w:right="262"/>
              <w:rPr>
                <w:sz w:val="22"/>
              </w:rPr>
            </w:pPr>
            <w:r>
              <w:rPr>
                <w:sz w:val="22"/>
              </w:rPr>
              <w:t>LOO</w:t>
            </w:r>
            <w:r>
              <w:rPr>
                <w:spacing w:val="-14"/>
                <w:sz w:val="22"/>
              </w:rPr>
              <w:t> </w:t>
            </w:r>
            <w:r>
              <w:rPr>
                <w:sz w:val="22"/>
              </w:rPr>
              <w:t>accuracy </w:t>
            </w:r>
            <w:r>
              <w:rPr>
                <w:spacing w:val="-2"/>
                <w:sz w:val="22"/>
              </w:rPr>
              <w:t>(validation</w:t>
            </w:r>
          </w:p>
          <w:p>
            <w:pPr>
              <w:pStyle w:val="TableParagraph"/>
              <w:spacing w:line="251" w:lineRule="exact"/>
              <w:rPr>
                <w:sz w:val="22"/>
              </w:rPr>
            </w:pPr>
            <w:r>
              <w:rPr>
                <w:sz w:val="22"/>
              </w:rPr>
              <w:t>subset</w:t>
            </w:r>
            <w:r>
              <w:rPr>
                <w:spacing w:val="-6"/>
                <w:sz w:val="22"/>
              </w:rPr>
              <w:t> </w:t>
            </w:r>
            <w:r>
              <w:rPr>
                <w:spacing w:val="-2"/>
                <w:sz w:val="22"/>
              </w:rPr>
              <w:t>n=26)</w:t>
            </w:r>
          </w:p>
        </w:tc>
        <w:tc>
          <w:tcPr>
            <w:tcW w:w="1293" w:type="dxa"/>
          </w:tcPr>
          <w:p>
            <w:pPr>
              <w:pStyle w:val="TableParagraph"/>
              <w:spacing w:line="276" w:lineRule="auto" w:before="142"/>
              <w:ind w:left="108" w:right="521"/>
              <w:rPr>
                <w:sz w:val="22"/>
              </w:rPr>
            </w:pPr>
            <w:r>
              <w:rPr>
                <w:spacing w:val="-2"/>
                <w:sz w:val="22"/>
              </w:rPr>
              <w:t>73.1% (19/26)</w:t>
            </w:r>
          </w:p>
        </w:tc>
        <w:tc>
          <w:tcPr>
            <w:tcW w:w="1406" w:type="dxa"/>
          </w:tcPr>
          <w:p>
            <w:pPr>
              <w:pStyle w:val="TableParagraph"/>
              <w:spacing w:line="276" w:lineRule="auto" w:before="142"/>
              <w:rPr>
                <w:sz w:val="22"/>
              </w:rPr>
            </w:pPr>
            <w:r>
              <w:rPr>
                <w:spacing w:val="-2"/>
                <w:sz w:val="22"/>
              </w:rPr>
              <w:t>85.0%=base </w:t>
            </w:r>
            <w:r>
              <w:rPr>
                <w:spacing w:val="-4"/>
                <w:sz w:val="22"/>
              </w:rPr>
              <w:t>rate</w:t>
            </w:r>
          </w:p>
        </w:tc>
        <w:tc>
          <w:tcPr>
            <w:tcW w:w="3898" w:type="dxa"/>
          </w:tcPr>
          <w:p>
            <w:pPr>
              <w:pStyle w:val="TableParagraph"/>
              <w:spacing w:line="276" w:lineRule="auto" w:before="142"/>
              <w:ind w:right="165"/>
              <w:rPr>
                <w:sz w:val="22"/>
              </w:rPr>
            </w:pPr>
            <w:r>
              <w:rPr>
                <w:sz w:val="22"/>
              </w:rPr>
              <w:t>BELOW</w:t>
            </w:r>
            <w:r>
              <w:rPr>
                <w:spacing w:val="-7"/>
                <w:sz w:val="22"/>
              </w:rPr>
              <w:t> </w:t>
            </w:r>
            <w:r>
              <w:rPr>
                <w:sz w:val="22"/>
              </w:rPr>
              <w:t>BASE</w:t>
            </w:r>
            <w:r>
              <w:rPr>
                <w:spacing w:val="-6"/>
                <w:sz w:val="22"/>
              </w:rPr>
              <w:t> </w:t>
            </w:r>
            <w:r>
              <w:rPr>
                <w:sz w:val="22"/>
              </w:rPr>
              <w:t>RATE</w:t>
            </w:r>
            <w:r>
              <w:rPr>
                <w:spacing w:val="40"/>
                <w:sz w:val="22"/>
              </w:rPr>
              <w:t> </w:t>
            </w:r>
            <w:r>
              <w:rPr>
                <w:sz w:val="22"/>
              </w:rPr>
              <w:t>—</w:t>
            </w:r>
            <w:r>
              <w:rPr>
                <w:spacing w:val="40"/>
                <w:sz w:val="22"/>
              </w:rPr>
              <w:t> </w:t>
            </w:r>
            <w:r>
              <w:rPr>
                <w:sz w:val="22"/>
              </w:rPr>
              <w:t>platform LOO subset; partial validation only</w:t>
            </w:r>
          </w:p>
        </w:tc>
      </w:tr>
      <w:tr>
        <w:trPr>
          <w:trHeight w:val="2022" w:hRule="atLeast"/>
        </w:trPr>
        <w:tc>
          <w:tcPr>
            <w:tcW w:w="1674" w:type="dxa"/>
          </w:tcPr>
          <w:p>
            <w:pPr>
              <w:pStyle w:val="TableParagraph"/>
              <w:spacing w:before="32"/>
              <w:ind w:left="0"/>
              <w:rPr>
                <w:b/>
                <w:sz w:val="22"/>
              </w:rPr>
            </w:pPr>
          </w:p>
          <w:p>
            <w:pPr>
              <w:pStyle w:val="TableParagraph"/>
              <w:spacing w:before="1"/>
              <w:rPr>
                <w:sz w:val="22"/>
              </w:rPr>
            </w:pPr>
            <w:r>
              <w:rPr>
                <w:spacing w:val="-5"/>
                <w:sz w:val="22"/>
              </w:rPr>
              <w:t>LOO</w:t>
            </w:r>
          </w:p>
          <w:p>
            <w:pPr>
              <w:pStyle w:val="TableParagraph"/>
              <w:spacing w:line="276" w:lineRule="auto" w:before="37"/>
              <w:rPr>
                <w:sz w:val="22"/>
              </w:rPr>
            </w:pPr>
            <w:r>
              <w:rPr>
                <w:spacing w:val="-2"/>
                <w:sz w:val="22"/>
              </w:rPr>
              <w:t>R²_full-</w:t>
            </w:r>
            <w:r>
              <w:rPr>
                <w:spacing w:val="-2"/>
                <w:sz w:val="22"/>
              </w:rPr>
              <w:t>panel (n=81,</w:t>
            </w:r>
          </w:p>
          <w:p>
            <w:pPr>
              <w:pStyle w:val="TableParagraph"/>
              <w:spacing w:line="276" w:lineRule="auto"/>
              <w:ind w:right="262"/>
              <w:rPr>
                <w:sz w:val="22"/>
              </w:rPr>
            </w:pPr>
            <w:r>
              <w:rPr>
                <w:spacing w:val="-2"/>
                <w:sz w:val="22"/>
              </w:rPr>
              <w:t>leave-one-</w:t>
            </w:r>
            <w:r>
              <w:rPr>
                <w:spacing w:val="-2"/>
                <w:sz w:val="22"/>
              </w:rPr>
              <w:t>out </w:t>
            </w:r>
            <w:r>
              <w:rPr>
                <w:sz w:val="22"/>
              </w:rPr>
              <w:t>on Eq. 2)</w:t>
            </w:r>
          </w:p>
        </w:tc>
        <w:tc>
          <w:tcPr>
            <w:tcW w:w="1293" w:type="dxa"/>
          </w:tcPr>
          <w:p>
            <w:pPr>
              <w:pStyle w:val="TableParagraph"/>
              <w:ind w:left="0"/>
              <w:rPr>
                <w:b/>
                <w:sz w:val="22"/>
              </w:rPr>
            </w:pPr>
          </w:p>
          <w:p>
            <w:pPr>
              <w:pStyle w:val="TableParagraph"/>
              <w:ind w:left="0"/>
              <w:rPr>
                <w:b/>
                <w:sz w:val="22"/>
              </w:rPr>
            </w:pPr>
          </w:p>
          <w:p>
            <w:pPr>
              <w:pStyle w:val="TableParagraph"/>
              <w:spacing w:before="107"/>
              <w:ind w:left="0"/>
              <w:rPr>
                <w:b/>
                <w:sz w:val="22"/>
              </w:rPr>
            </w:pPr>
          </w:p>
          <w:p>
            <w:pPr>
              <w:pStyle w:val="TableParagraph"/>
              <w:ind w:left="108"/>
              <w:rPr>
                <w:sz w:val="22"/>
              </w:rPr>
            </w:pPr>
            <w:r>
              <w:rPr>
                <w:spacing w:val="-2"/>
                <w:sz w:val="22"/>
              </w:rPr>
              <w:t>0.523</w:t>
            </w:r>
          </w:p>
        </w:tc>
        <w:tc>
          <w:tcPr>
            <w:tcW w:w="1406" w:type="dxa"/>
          </w:tcPr>
          <w:p>
            <w:pPr>
              <w:pStyle w:val="TableParagraph"/>
              <w:ind w:left="0"/>
              <w:rPr>
                <w:b/>
                <w:sz w:val="22"/>
              </w:rPr>
            </w:pPr>
          </w:p>
          <w:p>
            <w:pPr>
              <w:pStyle w:val="TableParagraph"/>
              <w:ind w:left="0"/>
              <w:rPr>
                <w:b/>
                <w:sz w:val="22"/>
              </w:rPr>
            </w:pPr>
          </w:p>
          <w:p>
            <w:pPr>
              <w:pStyle w:val="TableParagraph"/>
              <w:spacing w:before="107"/>
              <w:ind w:left="0"/>
              <w:rPr>
                <w:b/>
                <w:sz w:val="22"/>
              </w:rPr>
            </w:pPr>
          </w:p>
          <w:p>
            <w:pPr>
              <w:pStyle w:val="TableParagraph"/>
              <w:rPr>
                <w:sz w:val="22"/>
              </w:rPr>
            </w:pPr>
            <w:r>
              <w:rPr>
                <w:sz w:val="22"/>
              </w:rPr>
              <w:t>0=no</w:t>
            </w:r>
            <w:r>
              <w:rPr>
                <w:spacing w:val="-3"/>
                <w:sz w:val="22"/>
              </w:rPr>
              <w:t> </w:t>
            </w:r>
            <w:r>
              <w:rPr>
                <w:spacing w:val="-2"/>
                <w:sz w:val="22"/>
              </w:rPr>
              <w:t>skill</w:t>
            </w:r>
          </w:p>
        </w:tc>
        <w:tc>
          <w:tcPr>
            <w:tcW w:w="3898" w:type="dxa"/>
          </w:tcPr>
          <w:p>
            <w:pPr>
              <w:pStyle w:val="TableParagraph"/>
              <w:spacing w:line="276" w:lineRule="auto"/>
              <w:ind w:right="99"/>
              <w:rPr>
                <w:sz w:val="22"/>
              </w:rPr>
            </w:pPr>
            <w:r>
              <w:rPr>
                <w:sz w:val="22"/>
              </w:rPr>
              <w:t>Positive</w:t>
            </w:r>
            <w:r>
              <w:rPr>
                <w:spacing w:val="-6"/>
                <w:sz w:val="22"/>
              </w:rPr>
              <w:t> </w:t>
            </w:r>
            <w:r>
              <w:rPr>
                <w:sz w:val="22"/>
              </w:rPr>
              <w:t>on</w:t>
            </w:r>
            <w:r>
              <w:rPr>
                <w:spacing w:val="-6"/>
                <w:sz w:val="22"/>
              </w:rPr>
              <w:t> </w:t>
            </w:r>
            <w:r>
              <w:rPr>
                <w:sz w:val="22"/>
              </w:rPr>
              <w:t>the</w:t>
            </w:r>
            <w:r>
              <w:rPr>
                <w:spacing w:val="-6"/>
                <w:sz w:val="22"/>
              </w:rPr>
              <w:t> </w:t>
            </w:r>
            <w:r>
              <w:rPr>
                <w:sz w:val="22"/>
              </w:rPr>
              <w:t>full</w:t>
            </w:r>
            <w:r>
              <w:rPr>
                <w:spacing w:val="-8"/>
                <w:sz w:val="22"/>
              </w:rPr>
              <w:t> </w:t>
            </w:r>
            <w:r>
              <w:rPr>
                <w:sz w:val="22"/>
              </w:rPr>
              <w:t>n=81</w:t>
            </w:r>
            <w:r>
              <w:rPr>
                <w:spacing w:val="-6"/>
                <w:sz w:val="22"/>
              </w:rPr>
              <w:t> </w:t>
            </w:r>
            <w:r>
              <w:rPr>
                <w:sz w:val="22"/>
              </w:rPr>
              <w:t>panel;</w:t>
            </w:r>
            <w:r>
              <w:rPr>
                <w:spacing w:val="-5"/>
                <w:sz w:val="22"/>
              </w:rPr>
              <w:t> </w:t>
            </w:r>
            <w:r>
              <w:rPr>
                <w:sz w:val="22"/>
              </w:rPr>
              <w:t>measures Eq. 2 out-of-sample outflow fit. Distinct from the n=26 platform LOO subset below,</w:t>
            </w:r>
            <w:r>
              <w:rPr>
                <w:spacing w:val="-5"/>
                <w:sz w:val="22"/>
              </w:rPr>
              <w:t> </w:t>
            </w:r>
            <w:r>
              <w:rPr>
                <w:sz w:val="22"/>
              </w:rPr>
              <w:t>which</w:t>
            </w:r>
            <w:r>
              <w:rPr>
                <w:spacing w:val="-5"/>
                <w:sz w:val="22"/>
              </w:rPr>
              <w:t> </w:t>
            </w:r>
            <w:r>
              <w:rPr>
                <w:sz w:val="22"/>
              </w:rPr>
              <w:t>uses</w:t>
            </w:r>
            <w:r>
              <w:rPr>
                <w:spacing w:val="-5"/>
                <w:sz w:val="22"/>
              </w:rPr>
              <w:t> </w:t>
            </w:r>
            <w:r>
              <w:rPr>
                <w:sz w:val="22"/>
              </w:rPr>
              <w:t>a</w:t>
            </w:r>
            <w:r>
              <w:rPr>
                <w:spacing w:val="-5"/>
                <w:sz w:val="22"/>
              </w:rPr>
              <w:t> </w:t>
            </w:r>
            <w:r>
              <w:rPr>
                <w:sz w:val="22"/>
              </w:rPr>
              <w:t>different</w:t>
            </w:r>
            <w:r>
              <w:rPr>
                <w:spacing w:val="-4"/>
                <w:sz w:val="22"/>
              </w:rPr>
              <w:t> </w:t>
            </w:r>
            <w:r>
              <w:rPr>
                <w:sz w:val="22"/>
              </w:rPr>
              <w:t>sample</w:t>
            </w:r>
            <w:r>
              <w:rPr>
                <w:spacing w:val="-7"/>
                <w:sz w:val="22"/>
              </w:rPr>
              <w:t> </w:t>
            </w:r>
            <w:r>
              <w:rPr>
                <w:sz w:val="22"/>
              </w:rPr>
              <w:t>and a classification</w:t>
            </w:r>
            <w:r>
              <w:rPr>
                <w:spacing w:val="-3"/>
                <w:sz w:val="22"/>
              </w:rPr>
              <w:t> </w:t>
            </w:r>
            <w:r>
              <w:rPr>
                <w:sz w:val="22"/>
              </w:rPr>
              <w:t>split</w:t>
            </w:r>
            <w:r>
              <w:rPr>
                <w:spacing w:val="40"/>
                <w:sz w:val="22"/>
              </w:rPr>
              <w:t> </w:t>
            </w:r>
            <w:r>
              <w:rPr>
                <w:sz w:val="22"/>
              </w:rPr>
              <w:t>—</w:t>
            </w:r>
            <w:r>
              <w:rPr>
                <w:spacing w:val="40"/>
                <w:sz w:val="22"/>
              </w:rPr>
              <w:t> </w:t>
            </w:r>
            <w:r>
              <w:rPr>
                <w:sz w:val="22"/>
              </w:rPr>
              <w:t>the</w:t>
            </w:r>
            <w:r>
              <w:rPr>
                <w:spacing w:val="-2"/>
                <w:sz w:val="22"/>
              </w:rPr>
              <w:t> </w:t>
            </w:r>
            <w:r>
              <w:rPr>
                <w:sz w:val="22"/>
              </w:rPr>
              <w:t>two LOO</w:t>
            </w:r>
            <w:r>
              <w:rPr>
                <w:spacing w:val="-1"/>
                <w:sz w:val="22"/>
              </w:rPr>
              <w:t> </w:t>
            </w:r>
            <w:r>
              <w:rPr>
                <w:sz w:val="22"/>
              </w:rPr>
              <w:t>R² figures are not comparable and are</w:t>
            </w:r>
          </w:p>
          <w:p>
            <w:pPr>
              <w:pStyle w:val="TableParagraph"/>
              <w:spacing w:line="250" w:lineRule="exact"/>
              <w:rPr>
                <w:sz w:val="22"/>
              </w:rPr>
            </w:pPr>
            <w:r>
              <w:rPr>
                <w:sz w:val="22"/>
              </w:rPr>
              <w:t>labelled</w:t>
            </w:r>
            <w:r>
              <w:rPr>
                <w:spacing w:val="-6"/>
                <w:sz w:val="22"/>
              </w:rPr>
              <w:t> </w:t>
            </w:r>
            <w:r>
              <w:rPr>
                <w:spacing w:val="-2"/>
                <w:sz w:val="22"/>
              </w:rPr>
              <w:t>separately</w:t>
            </w:r>
          </w:p>
        </w:tc>
      </w:tr>
    </w:tbl>
    <w:p>
      <w:pPr>
        <w:pStyle w:val="TableParagraph"/>
        <w:spacing w:after="0" w:line="250" w:lineRule="exact"/>
        <w:rPr>
          <w:sz w:val="22"/>
        </w:rPr>
        <w:sectPr>
          <w:pgSz w:w="11900" w:h="16820"/>
          <w:pgMar w:header="714" w:footer="0" w:top="1340" w:bottom="280" w:left="1700" w:right="1417"/>
        </w:sectPr>
      </w:pPr>
    </w:p>
    <w:p>
      <w:pPr>
        <w:pStyle w:val="BodyText"/>
        <w:spacing w:before="6"/>
        <w:ind w:left="0"/>
        <w:rPr>
          <w:b/>
          <w:sz w:val="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4"/>
        <w:gridCol w:w="1293"/>
        <w:gridCol w:w="1406"/>
        <w:gridCol w:w="3898"/>
      </w:tblGrid>
      <w:tr>
        <w:trPr>
          <w:trHeight w:val="280" w:hRule="atLeast"/>
        </w:trPr>
        <w:tc>
          <w:tcPr>
            <w:tcW w:w="1674" w:type="dxa"/>
          </w:tcPr>
          <w:p>
            <w:pPr>
              <w:pStyle w:val="TableParagraph"/>
              <w:spacing w:line="249" w:lineRule="exact"/>
              <w:ind w:left="520"/>
              <w:rPr>
                <w:b/>
                <w:sz w:val="22"/>
              </w:rPr>
            </w:pPr>
            <w:r>
              <w:rPr>
                <w:b/>
                <w:spacing w:val="-2"/>
                <w:sz w:val="22"/>
              </w:rPr>
              <w:t>Metric</w:t>
            </w:r>
          </w:p>
        </w:tc>
        <w:tc>
          <w:tcPr>
            <w:tcW w:w="1293" w:type="dxa"/>
          </w:tcPr>
          <w:p>
            <w:pPr>
              <w:pStyle w:val="TableParagraph"/>
              <w:spacing w:line="249" w:lineRule="exact"/>
              <w:ind w:left="371"/>
              <w:rPr>
                <w:b/>
                <w:sz w:val="22"/>
              </w:rPr>
            </w:pPr>
            <w:r>
              <w:rPr>
                <w:b/>
                <w:spacing w:val="-2"/>
                <w:sz w:val="22"/>
              </w:rPr>
              <w:t>Value</w:t>
            </w:r>
          </w:p>
        </w:tc>
        <w:tc>
          <w:tcPr>
            <w:tcW w:w="1406" w:type="dxa"/>
          </w:tcPr>
          <w:p>
            <w:pPr>
              <w:pStyle w:val="TableParagraph"/>
              <w:spacing w:line="249" w:lineRule="exact"/>
              <w:ind w:left="153"/>
              <w:rPr>
                <w:b/>
                <w:sz w:val="22"/>
              </w:rPr>
            </w:pPr>
            <w:r>
              <w:rPr>
                <w:b/>
                <w:spacing w:val="-2"/>
                <w:sz w:val="22"/>
              </w:rPr>
              <w:t>Benchmark</w:t>
            </w:r>
          </w:p>
        </w:tc>
        <w:tc>
          <w:tcPr>
            <w:tcW w:w="3898" w:type="dxa"/>
          </w:tcPr>
          <w:p>
            <w:pPr>
              <w:pStyle w:val="TableParagraph"/>
              <w:spacing w:line="249" w:lineRule="exact"/>
              <w:ind w:left="10"/>
              <w:jc w:val="center"/>
              <w:rPr>
                <w:b/>
                <w:sz w:val="22"/>
              </w:rPr>
            </w:pPr>
            <w:r>
              <w:rPr>
                <w:b/>
                <w:spacing w:val="-2"/>
                <w:sz w:val="22"/>
              </w:rPr>
              <w:t>Assessment</w:t>
            </w:r>
          </w:p>
        </w:tc>
      </w:tr>
      <w:tr>
        <w:trPr>
          <w:trHeight w:val="572" w:hRule="atLeast"/>
        </w:trPr>
        <w:tc>
          <w:tcPr>
            <w:tcW w:w="1674" w:type="dxa"/>
          </w:tcPr>
          <w:p>
            <w:pPr>
              <w:pStyle w:val="TableParagraph"/>
              <w:spacing w:line="249" w:lineRule="exact"/>
              <w:rPr>
                <w:sz w:val="22"/>
              </w:rPr>
            </w:pPr>
            <w:r>
              <w:rPr>
                <w:sz w:val="22"/>
              </w:rPr>
              <w:t>k-fold</w:t>
            </w:r>
            <w:r>
              <w:rPr>
                <w:spacing w:val="-5"/>
                <w:sz w:val="22"/>
              </w:rPr>
              <w:t> </w:t>
            </w:r>
            <w:r>
              <w:rPr>
                <w:spacing w:val="-4"/>
                <w:sz w:val="22"/>
              </w:rPr>
              <w:t>RMSE</w:t>
            </w:r>
          </w:p>
          <w:p>
            <w:pPr>
              <w:pStyle w:val="TableParagraph"/>
              <w:spacing w:before="37"/>
              <w:rPr>
                <w:sz w:val="22"/>
              </w:rPr>
            </w:pPr>
            <w:r>
              <w:rPr>
                <w:sz w:val="22"/>
              </w:rPr>
              <w:t>(k=5,</w:t>
            </w:r>
            <w:r>
              <w:rPr>
                <w:spacing w:val="-4"/>
                <w:sz w:val="22"/>
              </w:rPr>
              <w:t> </w:t>
            </w:r>
            <w:r>
              <w:rPr>
                <w:spacing w:val="-2"/>
                <w:sz w:val="22"/>
              </w:rPr>
              <w:t>n=81)</w:t>
            </w:r>
          </w:p>
        </w:tc>
        <w:tc>
          <w:tcPr>
            <w:tcW w:w="1293" w:type="dxa"/>
          </w:tcPr>
          <w:p>
            <w:pPr>
              <w:pStyle w:val="TableParagraph"/>
              <w:spacing w:line="249" w:lineRule="exact"/>
              <w:ind w:left="108"/>
              <w:rPr>
                <w:sz w:val="22"/>
              </w:rPr>
            </w:pPr>
            <w:r>
              <w:rPr>
                <w:spacing w:val="-2"/>
                <w:sz w:val="22"/>
              </w:rPr>
              <w:t>0.131±0.01</w:t>
            </w:r>
          </w:p>
          <w:p>
            <w:pPr>
              <w:pStyle w:val="TableParagraph"/>
              <w:spacing w:before="37"/>
              <w:ind w:left="108"/>
              <w:rPr>
                <w:sz w:val="22"/>
              </w:rPr>
            </w:pPr>
            <w:r>
              <w:rPr>
                <w:spacing w:val="-10"/>
                <w:sz w:val="22"/>
              </w:rPr>
              <w:t>8</w:t>
            </w:r>
          </w:p>
        </w:tc>
        <w:tc>
          <w:tcPr>
            <w:tcW w:w="1406" w:type="dxa"/>
          </w:tcPr>
          <w:p>
            <w:pPr>
              <w:pStyle w:val="TableParagraph"/>
              <w:spacing w:before="139"/>
              <w:rPr>
                <w:sz w:val="22"/>
              </w:rPr>
            </w:pPr>
            <w:r>
              <w:rPr>
                <w:spacing w:val="-10"/>
                <w:sz w:val="22"/>
              </w:rPr>
              <w:t>—</w:t>
            </w:r>
          </w:p>
        </w:tc>
        <w:tc>
          <w:tcPr>
            <w:tcW w:w="3898" w:type="dxa"/>
          </w:tcPr>
          <w:p>
            <w:pPr>
              <w:pStyle w:val="TableParagraph"/>
              <w:spacing w:line="249" w:lineRule="exact"/>
              <w:rPr>
                <w:sz w:val="22"/>
              </w:rPr>
            </w:pPr>
            <w:r>
              <w:rPr>
                <w:sz w:val="22"/>
              </w:rPr>
              <w:t>Computed</w:t>
            </w:r>
            <w:r>
              <w:rPr>
                <w:spacing w:val="-6"/>
                <w:sz w:val="22"/>
              </w:rPr>
              <w:t> </w:t>
            </w:r>
            <w:r>
              <w:rPr>
                <w:sz w:val="22"/>
              </w:rPr>
              <w:t>via</w:t>
            </w:r>
            <w:r>
              <w:rPr>
                <w:spacing w:val="-5"/>
                <w:sz w:val="22"/>
              </w:rPr>
              <w:t> </w:t>
            </w:r>
            <w:r>
              <w:rPr>
                <w:sz w:val="22"/>
              </w:rPr>
              <w:t>engines/validation.py</w:t>
            </w:r>
            <w:r>
              <w:rPr>
                <w:spacing w:val="-7"/>
                <w:sz w:val="22"/>
              </w:rPr>
              <w:t> </w:t>
            </w:r>
            <w:r>
              <w:rPr>
                <w:spacing w:val="-5"/>
                <w:sz w:val="22"/>
              </w:rPr>
              <w:t>on</w:t>
            </w:r>
          </w:p>
          <w:p>
            <w:pPr>
              <w:pStyle w:val="TableParagraph"/>
              <w:spacing w:before="37"/>
              <w:rPr>
                <w:sz w:val="22"/>
              </w:rPr>
            </w:pPr>
            <w:r>
              <w:rPr>
                <w:sz w:val="22"/>
              </w:rPr>
              <w:t>the</w:t>
            </w:r>
            <w:r>
              <w:rPr>
                <w:spacing w:val="-7"/>
                <w:sz w:val="22"/>
              </w:rPr>
              <w:t> </w:t>
            </w:r>
            <w:r>
              <w:rPr>
                <w:sz w:val="22"/>
              </w:rPr>
              <w:t>reconciled</w:t>
            </w:r>
            <w:r>
              <w:rPr>
                <w:spacing w:val="-4"/>
                <w:sz w:val="22"/>
              </w:rPr>
              <w:t> panel</w:t>
            </w:r>
          </w:p>
        </w:tc>
      </w:tr>
      <w:tr>
        <w:trPr>
          <w:trHeight w:val="570" w:hRule="atLeast"/>
        </w:trPr>
        <w:tc>
          <w:tcPr>
            <w:tcW w:w="1674" w:type="dxa"/>
          </w:tcPr>
          <w:p>
            <w:pPr>
              <w:pStyle w:val="TableParagraph"/>
              <w:spacing w:line="246" w:lineRule="exact"/>
              <w:rPr>
                <w:sz w:val="22"/>
              </w:rPr>
            </w:pPr>
            <w:r>
              <w:rPr>
                <w:sz w:val="22"/>
              </w:rPr>
              <w:t>Hold-out</w:t>
            </w:r>
            <w:r>
              <w:rPr>
                <w:spacing w:val="-7"/>
                <w:sz w:val="22"/>
              </w:rPr>
              <w:t> </w:t>
            </w:r>
            <w:r>
              <w:rPr>
                <w:spacing w:val="-4"/>
                <w:sz w:val="22"/>
              </w:rPr>
              <w:t>RMSE</w:t>
            </w:r>
          </w:p>
          <w:p>
            <w:pPr>
              <w:pStyle w:val="TableParagraph"/>
              <w:spacing w:before="37"/>
              <w:rPr>
                <w:sz w:val="22"/>
              </w:rPr>
            </w:pPr>
            <w:r>
              <w:rPr>
                <w:spacing w:val="-2"/>
                <w:sz w:val="22"/>
              </w:rPr>
              <w:t>(×20)</w:t>
            </w:r>
          </w:p>
        </w:tc>
        <w:tc>
          <w:tcPr>
            <w:tcW w:w="1293" w:type="dxa"/>
          </w:tcPr>
          <w:p>
            <w:pPr>
              <w:pStyle w:val="TableParagraph"/>
              <w:spacing w:before="139"/>
              <w:ind w:left="108"/>
              <w:rPr>
                <w:sz w:val="22"/>
              </w:rPr>
            </w:pPr>
            <w:r>
              <w:rPr>
                <w:spacing w:val="-2"/>
                <w:sz w:val="22"/>
              </w:rPr>
              <w:t>0.035</w:t>
            </w:r>
          </w:p>
        </w:tc>
        <w:tc>
          <w:tcPr>
            <w:tcW w:w="1406" w:type="dxa"/>
          </w:tcPr>
          <w:p>
            <w:pPr>
              <w:pStyle w:val="TableParagraph"/>
              <w:spacing w:before="139"/>
              <w:rPr>
                <w:sz w:val="22"/>
              </w:rPr>
            </w:pPr>
            <w:r>
              <w:rPr>
                <w:spacing w:val="-10"/>
                <w:sz w:val="22"/>
              </w:rPr>
              <w:t>—</w:t>
            </w:r>
          </w:p>
        </w:tc>
        <w:tc>
          <w:tcPr>
            <w:tcW w:w="3898" w:type="dxa"/>
          </w:tcPr>
          <w:p>
            <w:pPr>
              <w:pStyle w:val="TableParagraph"/>
              <w:spacing w:line="246" w:lineRule="exact"/>
              <w:rPr>
                <w:sz w:val="22"/>
              </w:rPr>
            </w:pPr>
            <w:r>
              <w:rPr>
                <w:sz w:val="22"/>
              </w:rPr>
              <w:t>Consistent</w:t>
            </w:r>
            <w:r>
              <w:rPr>
                <w:spacing w:val="-5"/>
                <w:sz w:val="22"/>
              </w:rPr>
              <w:t> </w:t>
            </w:r>
            <w:r>
              <w:rPr>
                <w:sz w:val="22"/>
              </w:rPr>
              <w:t>with</w:t>
            </w:r>
            <w:r>
              <w:rPr>
                <w:spacing w:val="-5"/>
                <w:sz w:val="22"/>
              </w:rPr>
              <w:t> </w:t>
            </w:r>
            <w:r>
              <w:rPr>
                <w:sz w:val="22"/>
              </w:rPr>
              <w:t>k-fold</w:t>
            </w:r>
            <w:r>
              <w:rPr>
                <w:spacing w:val="-4"/>
                <w:sz w:val="22"/>
              </w:rPr>
              <w:t> </w:t>
            </w:r>
            <w:r>
              <w:rPr>
                <w:sz w:val="22"/>
              </w:rPr>
              <w:t>(legacy</w:t>
            </w:r>
            <w:r>
              <w:rPr>
                <w:spacing w:val="-6"/>
                <w:sz w:val="22"/>
              </w:rPr>
              <w:t> </w:t>
            </w:r>
            <w:r>
              <w:rPr>
                <w:spacing w:val="-4"/>
                <w:sz w:val="22"/>
              </w:rPr>
              <w:t>n=26</w:t>
            </w:r>
          </w:p>
          <w:p>
            <w:pPr>
              <w:pStyle w:val="TableParagraph"/>
              <w:spacing w:before="37"/>
              <w:rPr>
                <w:sz w:val="22"/>
              </w:rPr>
            </w:pPr>
            <w:r>
              <w:rPr>
                <w:sz w:val="22"/>
              </w:rPr>
              <w:t>platform</w:t>
            </w:r>
            <w:r>
              <w:rPr>
                <w:spacing w:val="-4"/>
                <w:sz w:val="22"/>
              </w:rPr>
              <w:t> </w:t>
            </w:r>
            <w:r>
              <w:rPr>
                <w:spacing w:val="-2"/>
                <w:sz w:val="22"/>
              </w:rPr>
              <w:t>subset)</w:t>
            </w:r>
          </w:p>
        </w:tc>
      </w:tr>
      <w:tr>
        <w:trPr>
          <w:trHeight w:val="570" w:hRule="atLeast"/>
        </w:trPr>
        <w:tc>
          <w:tcPr>
            <w:tcW w:w="1674" w:type="dxa"/>
          </w:tcPr>
          <w:p>
            <w:pPr>
              <w:pStyle w:val="TableParagraph"/>
              <w:spacing w:line="249" w:lineRule="exact"/>
              <w:rPr>
                <w:sz w:val="22"/>
              </w:rPr>
            </w:pPr>
            <w:r>
              <w:rPr>
                <w:spacing w:val="-2"/>
                <w:sz w:val="22"/>
              </w:rPr>
              <w:t>Hold-</w:t>
            </w:r>
            <w:r>
              <w:rPr>
                <w:spacing w:val="-5"/>
                <w:sz w:val="22"/>
              </w:rPr>
              <w:t>out</w:t>
            </w:r>
          </w:p>
          <w:p>
            <w:pPr>
              <w:pStyle w:val="TableParagraph"/>
              <w:spacing w:before="37"/>
              <w:rPr>
                <w:sz w:val="22"/>
              </w:rPr>
            </w:pPr>
            <w:r>
              <w:rPr>
                <w:spacing w:val="-2"/>
                <w:sz w:val="22"/>
              </w:rPr>
              <w:t>AUC-</w:t>
            </w:r>
            <w:r>
              <w:rPr>
                <w:spacing w:val="-5"/>
                <w:sz w:val="22"/>
              </w:rPr>
              <w:t>ROC</w:t>
            </w:r>
          </w:p>
        </w:tc>
        <w:tc>
          <w:tcPr>
            <w:tcW w:w="1293" w:type="dxa"/>
          </w:tcPr>
          <w:p>
            <w:pPr>
              <w:pStyle w:val="TableParagraph"/>
              <w:spacing w:before="139"/>
              <w:ind w:left="108"/>
              <w:rPr>
                <w:sz w:val="22"/>
              </w:rPr>
            </w:pPr>
            <w:r>
              <w:rPr>
                <w:spacing w:val="-2"/>
                <w:sz w:val="22"/>
              </w:rPr>
              <w:t>0.602</w:t>
            </w:r>
          </w:p>
        </w:tc>
        <w:tc>
          <w:tcPr>
            <w:tcW w:w="1406" w:type="dxa"/>
          </w:tcPr>
          <w:p>
            <w:pPr>
              <w:pStyle w:val="TableParagraph"/>
              <w:spacing w:before="139"/>
              <w:rPr>
                <w:sz w:val="22"/>
              </w:rPr>
            </w:pPr>
            <w:r>
              <w:rPr>
                <w:spacing w:val="-2"/>
                <w:sz w:val="22"/>
              </w:rPr>
              <w:t>0.5=random</w:t>
            </w:r>
          </w:p>
        </w:tc>
        <w:tc>
          <w:tcPr>
            <w:tcW w:w="3898" w:type="dxa"/>
          </w:tcPr>
          <w:p>
            <w:pPr>
              <w:pStyle w:val="TableParagraph"/>
              <w:spacing w:line="249" w:lineRule="exact"/>
              <w:rPr>
                <w:sz w:val="22"/>
              </w:rPr>
            </w:pPr>
            <w:r>
              <w:rPr>
                <w:sz w:val="22"/>
              </w:rPr>
              <w:t>Stable</w:t>
            </w:r>
            <w:r>
              <w:rPr>
                <w:spacing w:val="-6"/>
                <w:sz w:val="22"/>
              </w:rPr>
              <w:t> </w:t>
            </w:r>
            <w:r>
              <w:rPr>
                <w:sz w:val="22"/>
              </w:rPr>
              <w:t>out-of-sample</w:t>
            </w:r>
            <w:r>
              <w:rPr>
                <w:spacing w:val="-6"/>
                <w:sz w:val="22"/>
              </w:rPr>
              <w:t> </w:t>
            </w:r>
            <w:r>
              <w:rPr>
                <w:sz w:val="22"/>
              </w:rPr>
              <w:t>(legacy</w:t>
            </w:r>
            <w:r>
              <w:rPr>
                <w:spacing w:val="-6"/>
                <w:sz w:val="22"/>
              </w:rPr>
              <w:t> </w:t>
            </w:r>
            <w:r>
              <w:rPr>
                <w:spacing w:val="-4"/>
                <w:sz w:val="22"/>
              </w:rPr>
              <w:t>n=26</w:t>
            </w:r>
          </w:p>
          <w:p>
            <w:pPr>
              <w:pStyle w:val="TableParagraph"/>
              <w:spacing w:before="37"/>
              <w:rPr>
                <w:sz w:val="22"/>
              </w:rPr>
            </w:pPr>
            <w:r>
              <w:rPr>
                <w:sz w:val="22"/>
              </w:rPr>
              <w:t>platform</w:t>
            </w:r>
            <w:r>
              <w:rPr>
                <w:spacing w:val="-4"/>
                <w:sz w:val="22"/>
              </w:rPr>
              <w:t> </w:t>
            </w:r>
            <w:r>
              <w:rPr>
                <w:spacing w:val="-2"/>
                <w:sz w:val="22"/>
              </w:rPr>
              <w:t>subset)</w:t>
            </w:r>
          </w:p>
        </w:tc>
      </w:tr>
      <w:tr>
        <w:trPr>
          <w:trHeight w:val="862" w:hRule="atLeast"/>
        </w:trPr>
        <w:tc>
          <w:tcPr>
            <w:tcW w:w="1674" w:type="dxa"/>
          </w:tcPr>
          <w:p>
            <w:pPr>
              <w:pStyle w:val="TableParagraph"/>
              <w:spacing w:line="278" w:lineRule="auto" w:before="139"/>
              <w:ind w:right="262"/>
              <w:rPr>
                <w:sz w:val="22"/>
              </w:rPr>
            </w:pPr>
            <w:r>
              <w:rPr>
                <w:spacing w:val="-2"/>
                <w:sz w:val="22"/>
              </w:rPr>
              <w:t>Generalisation </w:t>
            </w:r>
            <w:r>
              <w:rPr>
                <w:spacing w:val="-4"/>
                <w:sz w:val="22"/>
              </w:rPr>
              <w:t>gap</w:t>
            </w:r>
          </w:p>
        </w:tc>
        <w:tc>
          <w:tcPr>
            <w:tcW w:w="1293" w:type="dxa"/>
          </w:tcPr>
          <w:p>
            <w:pPr>
              <w:pStyle w:val="TableParagraph"/>
              <w:spacing w:before="32"/>
              <w:ind w:left="0"/>
              <w:rPr>
                <w:b/>
                <w:sz w:val="22"/>
              </w:rPr>
            </w:pPr>
          </w:p>
          <w:p>
            <w:pPr>
              <w:pStyle w:val="TableParagraph"/>
              <w:spacing w:before="1"/>
              <w:ind w:left="108"/>
              <w:rPr>
                <w:sz w:val="22"/>
              </w:rPr>
            </w:pPr>
            <w:r>
              <w:rPr>
                <w:spacing w:val="-2"/>
                <w:sz w:val="22"/>
              </w:rPr>
              <w:t>0.034</w:t>
            </w:r>
          </w:p>
        </w:tc>
        <w:tc>
          <w:tcPr>
            <w:tcW w:w="1406" w:type="dxa"/>
          </w:tcPr>
          <w:p>
            <w:pPr>
              <w:pStyle w:val="TableParagraph"/>
              <w:spacing w:before="32"/>
              <w:ind w:left="0"/>
              <w:rPr>
                <w:b/>
                <w:sz w:val="22"/>
              </w:rPr>
            </w:pPr>
          </w:p>
          <w:p>
            <w:pPr>
              <w:pStyle w:val="TableParagraph"/>
              <w:spacing w:before="1"/>
              <w:rPr>
                <w:sz w:val="22"/>
              </w:rPr>
            </w:pPr>
            <w:r>
              <w:rPr>
                <w:spacing w:val="-2"/>
                <w:sz w:val="22"/>
              </w:rPr>
              <w:t>&lt;0.02=good</w:t>
            </w:r>
          </w:p>
        </w:tc>
        <w:tc>
          <w:tcPr>
            <w:tcW w:w="3898" w:type="dxa"/>
          </w:tcPr>
          <w:p>
            <w:pPr>
              <w:pStyle w:val="TableParagraph"/>
              <w:spacing w:line="249" w:lineRule="exact"/>
              <w:rPr>
                <w:sz w:val="22"/>
              </w:rPr>
            </w:pPr>
            <w:r>
              <w:rPr>
                <w:spacing w:val="-2"/>
                <w:sz w:val="22"/>
              </w:rPr>
              <w:t>AUC-ROC(n=81)−</w:t>
            </w:r>
          </w:p>
          <w:p>
            <w:pPr>
              <w:pStyle w:val="TableParagraph"/>
              <w:spacing w:before="37"/>
              <w:rPr>
                <w:sz w:val="22"/>
              </w:rPr>
            </w:pPr>
            <w:r>
              <w:rPr>
                <w:spacing w:val="-2"/>
                <w:sz w:val="22"/>
              </w:rPr>
              <w:t>AUC-ROC(holdout)=0.636−0.602;</w:t>
            </w:r>
          </w:p>
          <w:p>
            <w:pPr>
              <w:pStyle w:val="TableParagraph"/>
              <w:spacing w:before="37"/>
              <w:rPr>
                <w:sz w:val="22"/>
              </w:rPr>
            </w:pPr>
            <w:r>
              <w:rPr>
                <w:sz w:val="22"/>
              </w:rPr>
              <w:t>moderate,</w:t>
            </w:r>
            <w:r>
              <w:rPr>
                <w:spacing w:val="-3"/>
                <w:sz w:val="22"/>
              </w:rPr>
              <w:t> </w:t>
            </w:r>
            <w:r>
              <w:rPr>
                <w:sz w:val="22"/>
              </w:rPr>
              <w:t>flagged</w:t>
            </w:r>
            <w:r>
              <w:rPr>
                <w:spacing w:val="-5"/>
                <w:sz w:val="22"/>
              </w:rPr>
              <w:t> </w:t>
            </w:r>
            <w:r>
              <w:rPr>
                <w:sz w:val="22"/>
              </w:rPr>
              <w:t>not</w:t>
            </w:r>
            <w:r>
              <w:rPr>
                <w:spacing w:val="-5"/>
                <w:sz w:val="22"/>
              </w:rPr>
              <w:t> </w:t>
            </w:r>
            <w:r>
              <w:rPr>
                <w:spacing w:val="-2"/>
                <w:sz w:val="22"/>
              </w:rPr>
              <w:t>minimised</w:t>
            </w:r>
          </w:p>
        </w:tc>
      </w:tr>
      <w:tr>
        <w:trPr>
          <w:trHeight w:val="1150" w:hRule="atLeast"/>
        </w:trPr>
        <w:tc>
          <w:tcPr>
            <w:tcW w:w="1674" w:type="dxa"/>
          </w:tcPr>
          <w:p>
            <w:pPr>
              <w:pStyle w:val="TableParagraph"/>
              <w:spacing w:line="278" w:lineRule="auto"/>
              <w:ind w:right="139"/>
              <w:rPr>
                <w:sz w:val="22"/>
              </w:rPr>
            </w:pPr>
            <w:r>
              <w:rPr>
                <w:spacing w:val="-2"/>
                <w:sz w:val="22"/>
              </w:rPr>
              <w:t>External </w:t>
            </w:r>
            <w:r>
              <w:rPr>
                <w:sz w:val="22"/>
              </w:rPr>
              <w:t>validation</w:t>
            </w:r>
            <w:r>
              <w:rPr>
                <w:spacing w:val="-14"/>
                <w:sz w:val="22"/>
              </w:rPr>
              <w:t> </w:t>
            </w:r>
            <w:r>
              <w:rPr>
                <w:sz w:val="22"/>
              </w:rPr>
              <w:t>(train</w:t>
            </w:r>
          </w:p>
          <w:p>
            <w:pPr>
              <w:pStyle w:val="TableParagraph"/>
              <w:spacing w:line="249" w:lineRule="exact"/>
              <w:rPr>
                <w:sz w:val="22"/>
              </w:rPr>
            </w:pPr>
            <w:r>
              <w:rPr>
                <w:spacing w:val="-2"/>
                <w:sz w:val="22"/>
              </w:rPr>
              <w:t>≤2008,</w:t>
            </w:r>
          </w:p>
          <w:p>
            <w:pPr>
              <w:pStyle w:val="TableParagraph"/>
              <w:spacing w:before="30"/>
              <w:rPr>
                <w:sz w:val="22"/>
              </w:rPr>
            </w:pPr>
            <w:r>
              <w:rPr>
                <w:sz w:val="22"/>
              </w:rPr>
              <w:t>test&gt;2008,</w:t>
            </w:r>
            <w:r>
              <w:rPr>
                <w:spacing w:val="-3"/>
                <w:sz w:val="22"/>
              </w:rPr>
              <w:t> </w:t>
            </w:r>
            <w:r>
              <w:rPr>
                <w:spacing w:val="-2"/>
                <w:sz w:val="22"/>
              </w:rPr>
              <w:t>n=81)</w:t>
            </w:r>
          </w:p>
        </w:tc>
        <w:tc>
          <w:tcPr>
            <w:tcW w:w="1293" w:type="dxa"/>
          </w:tcPr>
          <w:p>
            <w:pPr>
              <w:pStyle w:val="TableParagraph"/>
              <w:spacing w:line="278" w:lineRule="auto"/>
              <w:ind w:left="108" w:right="172"/>
              <w:rPr>
                <w:sz w:val="22"/>
              </w:rPr>
            </w:pPr>
            <w:r>
              <w:rPr>
                <w:spacing w:val="-2"/>
                <w:sz w:val="22"/>
              </w:rPr>
              <w:t>RMSE=0.1 </w:t>
            </w:r>
            <w:r>
              <w:rPr>
                <w:spacing w:val="-4"/>
                <w:sz w:val="22"/>
              </w:rPr>
              <w:t>44,</w:t>
            </w:r>
          </w:p>
          <w:p>
            <w:pPr>
              <w:pStyle w:val="TableParagraph"/>
              <w:spacing w:line="249" w:lineRule="exact"/>
              <w:ind w:left="108"/>
              <w:rPr>
                <w:sz w:val="22"/>
              </w:rPr>
            </w:pPr>
            <w:r>
              <w:rPr>
                <w:spacing w:val="-2"/>
                <w:sz w:val="22"/>
              </w:rPr>
              <w:t>fail_acc=35.</w:t>
            </w:r>
          </w:p>
          <w:p>
            <w:pPr>
              <w:pStyle w:val="TableParagraph"/>
              <w:spacing w:before="30"/>
              <w:ind w:left="108"/>
              <w:rPr>
                <w:sz w:val="22"/>
              </w:rPr>
            </w:pPr>
            <w:r>
              <w:rPr>
                <w:spacing w:val="-5"/>
                <w:sz w:val="22"/>
              </w:rPr>
              <w:t>9%</w:t>
            </w:r>
          </w:p>
        </w:tc>
        <w:tc>
          <w:tcPr>
            <w:tcW w:w="1406" w:type="dxa"/>
          </w:tcPr>
          <w:p>
            <w:pPr>
              <w:pStyle w:val="TableParagraph"/>
              <w:spacing w:before="176"/>
              <w:ind w:left="0"/>
              <w:rPr>
                <w:b/>
                <w:sz w:val="22"/>
              </w:rPr>
            </w:pPr>
          </w:p>
          <w:p>
            <w:pPr>
              <w:pStyle w:val="TableParagraph"/>
              <w:rPr>
                <w:sz w:val="22"/>
              </w:rPr>
            </w:pPr>
            <w:r>
              <w:rPr>
                <w:spacing w:val="-10"/>
                <w:sz w:val="22"/>
              </w:rPr>
              <w:t>—</w:t>
            </w:r>
          </w:p>
        </w:tc>
        <w:tc>
          <w:tcPr>
            <w:tcW w:w="3898" w:type="dxa"/>
          </w:tcPr>
          <w:p>
            <w:pPr>
              <w:pStyle w:val="TableParagraph"/>
              <w:spacing w:line="276" w:lineRule="auto" w:before="139"/>
              <w:ind w:right="165"/>
              <w:rPr>
                <w:sz w:val="22"/>
              </w:rPr>
            </w:pPr>
            <w:r>
              <w:rPr>
                <w:sz w:val="22"/>
              </w:rPr>
              <w:t>Below base rate out-of-sample; consistent</w:t>
            </w:r>
            <w:r>
              <w:rPr>
                <w:spacing w:val="-10"/>
                <w:sz w:val="22"/>
              </w:rPr>
              <w:t> </w:t>
            </w:r>
            <w:r>
              <w:rPr>
                <w:sz w:val="22"/>
              </w:rPr>
              <w:t>with</w:t>
            </w:r>
            <w:r>
              <w:rPr>
                <w:spacing w:val="36"/>
                <w:sz w:val="22"/>
              </w:rPr>
              <w:t> </w:t>
            </w:r>
            <w:r>
              <w:rPr>
                <w:sz w:val="22"/>
              </w:rPr>
              <w:t>§5</w:t>
            </w:r>
            <w:r>
              <w:rPr>
                <w:spacing w:val="-10"/>
                <w:sz w:val="22"/>
              </w:rPr>
              <w:t> </w:t>
            </w:r>
            <w:r>
              <w:rPr>
                <w:sz w:val="22"/>
              </w:rPr>
              <w:t>partial-validation </w:t>
            </w:r>
            <w:r>
              <w:rPr>
                <w:spacing w:val="-2"/>
                <w:sz w:val="22"/>
              </w:rPr>
              <w:t>framing</w:t>
            </w:r>
          </w:p>
        </w:tc>
      </w:tr>
    </w:tbl>
    <w:p>
      <w:pPr>
        <w:spacing w:before="0"/>
        <w:ind w:left="99" w:right="379" w:firstLine="0"/>
        <w:jc w:val="both"/>
        <w:rPr>
          <w:b/>
          <w:sz w:val="24"/>
        </w:rPr>
      </w:pPr>
      <w:r>
        <w:rPr>
          <w:b/>
          <w:sz w:val="24"/>
        </w:rPr>
        <w:t>Notes: Partial validation: the framework is calibrated and stress-tested for CBDC design ranking only, not validated for crisis prediction or outflow magnitude forecasting. The LOO accuracy entry uses the</w:t>
      </w:r>
      <w:r>
        <w:rPr>
          <w:b/>
          <w:spacing w:val="-1"/>
          <w:sz w:val="24"/>
        </w:rPr>
        <w:t> </w:t>
      </w:r>
      <w:r>
        <w:rPr>
          <w:b/>
          <w:sz w:val="24"/>
        </w:rPr>
        <w:t>platform</w:t>
      </w:r>
      <w:r>
        <w:rPr>
          <w:b/>
          <w:spacing w:val="-1"/>
          <w:sz w:val="24"/>
        </w:rPr>
        <w:t> </w:t>
      </w:r>
      <w:r>
        <w:rPr>
          <w:b/>
          <w:sz w:val="24"/>
        </w:rPr>
        <w:t>leave-one-out validation subset (n=26), not the full n=81 calibration panel; it is therefore reported only as a partial diagnostic and not as a full-panel classifier. "Partial validation" is the intended characterisation throughout; the term "validated" is not used as a standalone claim in this paper.</w:t>
      </w:r>
    </w:p>
    <w:p>
      <w:pPr>
        <w:pStyle w:val="Heading2"/>
        <w:numPr>
          <w:ilvl w:val="1"/>
          <w:numId w:val="1"/>
        </w:numPr>
        <w:tabs>
          <w:tab w:pos="457" w:val="left" w:leader="none"/>
        </w:tabs>
        <w:spacing w:line="240" w:lineRule="auto" w:before="236" w:after="0"/>
        <w:ind w:left="457" w:right="0" w:hanging="358"/>
        <w:jc w:val="left"/>
        <w:rPr>
          <w:i/>
        </w:rPr>
      </w:pPr>
      <w:r>
        <w:rPr>
          <w:i/>
        </w:rPr>
        <w:t>Scope</w:t>
      </w:r>
      <w:r>
        <w:rPr>
          <w:i/>
          <w:spacing w:val="-9"/>
        </w:rPr>
        <w:t> </w:t>
      </w:r>
      <w:r>
        <w:rPr>
          <w:i/>
        </w:rPr>
        <w:t>of</w:t>
      </w:r>
      <w:r>
        <w:rPr>
          <w:i/>
          <w:spacing w:val="-9"/>
        </w:rPr>
        <w:t> </w:t>
      </w:r>
      <w:r>
        <w:rPr>
          <w:i/>
        </w:rPr>
        <w:t>the</w:t>
      </w:r>
      <w:r>
        <w:rPr>
          <w:i/>
          <w:spacing w:val="-9"/>
        </w:rPr>
        <w:t> </w:t>
      </w:r>
      <w:r>
        <w:rPr>
          <w:i/>
        </w:rPr>
        <w:t>Validation</w:t>
      </w:r>
      <w:r>
        <w:rPr>
          <w:i/>
          <w:spacing w:val="-7"/>
        </w:rPr>
        <w:t> </w:t>
      </w:r>
      <w:r>
        <w:rPr>
          <w:i/>
          <w:spacing w:val="-2"/>
        </w:rPr>
        <w:t>Claim</w:t>
      </w:r>
    </w:p>
    <w:p>
      <w:pPr>
        <w:pStyle w:val="BodyText"/>
        <w:spacing w:before="81"/>
        <w:ind w:left="0"/>
        <w:rPr>
          <w:b/>
          <w:i/>
        </w:rPr>
      </w:pPr>
    </w:p>
    <w:p>
      <w:pPr>
        <w:pStyle w:val="BodyText"/>
        <w:spacing w:line="480" w:lineRule="auto"/>
        <w:ind w:right="313"/>
        <w:jc w:val="both"/>
      </w:pPr>
      <w:r>
        <w:rPr/>
        <w:t>AUC-ROC=0.636 (full n=81 panel) exceeds the random benchmark (0.5) by 13.6pp; LOO accuracy=73.1% on the n=26 platform validation subset falls below that subset’s 85%</w:t>
      </w:r>
      <w:r>
        <w:rPr>
          <w:spacing w:val="80"/>
        </w:rPr>
        <w:t> </w:t>
      </w:r>
      <w:r>
        <w:rPr/>
        <w:t>majority-class</w:t>
      </w:r>
      <w:r>
        <w:rPr>
          <w:spacing w:val="80"/>
        </w:rPr>
        <w:t> </w:t>
      </w:r>
      <w:r>
        <w:rPr/>
        <w:t>benchmark.</w:t>
      </w:r>
      <w:r>
        <w:rPr>
          <w:spacing w:val="80"/>
        </w:rPr>
        <w:t> </w:t>
      </w:r>
      <w:r>
        <w:rPr/>
        <w:t>These</w:t>
      </w:r>
      <w:r>
        <w:rPr>
          <w:spacing w:val="80"/>
        </w:rPr>
        <w:t> </w:t>
      </w:r>
      <w:r>
        <w:rPr/>
        <w:t>two</w:t>
      </w:r>
      <w:r>
        <w:rPr>
          <w:spacing w:val="80"/>
        </w:rPr>
        <w:t> </w:t>
      </w:r>
      <w:r>
        <w:rPr/>
        <w:t>metrics</w:t>
      </w:r>
      <w:r>
        <w:rPr>
          <w:spacing w:val="80"/>
        </w:rPr>
        <w:t> </w:t>
      </w:r>
      <w:r>
        <w:rPr/>
        <w:t>address</w:t>
      </w:r>
      <w:r>
        <w:rPr>
          <w:spacing w:val="80"/>
        </w:rPr>
        <w:t> </w:t>
      </w:r>
      <w:r>
        <w:rPr/>
        <w:t>different</w:t>
      </w:r>
      <w:r>
        <w:rPr>
          <w:spacing w:val="80"/>
        </w:rPr>
        <w:t> </w:t>
      </w:r>
      <w:r>
        <w:rPr/>
        <w:t>things: AUC-ROC measures rank discrimination (is the model better than random at ordering episodes by predicted failure probability?) while LOO accuracy measures binary classification against the modal-outcome benchmark. Together they disqualify the framework</w:t>
      </w:r>
      <w:r>
        <w:rPr>
          <w:spacing w:val="-1"/>
        </w:rPr>
        <w:t> </w:t>
      </w:r>
      <w:r>
        <w:rPr/>
        <w:t>as</w:t>
      </w:r>
      <w:r>
        <w:rPr>
          <w:spacing w:val="-1"/>
        </w:rPr>
        <w:t> </w:t>
      </w:r>
      <w:r>
        <w:rPr/>
        <w:t>a</w:t>
      </w:r>
      <w:r>
        <w:rPr>
          <w:spacing w:val="-2"/>
        </w:rPr>
        <w:t> </w:t>
      </w:r>
      <w:r>
        <w:rPr/>
        <w:t>crisis</w:t>
      </w:r>
      <w:r>
        <w:rPr>
          <w:spacing w:val="-1"/>
        </w:rPr>
        <w:t> </w:t>
      </w:r>
      <w:r>
        <w:rPr/>
        <w:t>early-warning</w:t>
      </w:r>
      <w:r>
        <w:rPr>
          <w:spacing w:val="-4"/>
        </w:rPr>
        <w:t> </w:t>
      </w:r>
      <w:r>
        <w:rPr/>
        <w:t>classifier.</w:t>
      </w:r>
      <w:r>
        <w:rPr>
          <w:spacing w:val="-1"/>
        </w:rPr>
        <w:t> </w:t>
      </w:r>
      <w:r>
        <w:rPr/>
        <w:t>This</w:t>
      </w:r>
      <w:r>
        <w:rPr>
          <w:spacing w:val="-1"/>
        </w:rPr>
        <w:t> </w:t>
      </w:r>
      <w:r>
        <w:rPr/>
        <w:t>is</w:t>
      </w:r>
      <w:r>
        <w:rPr>
          <w:spacing w:val="-1"/>
        </w:rPr>
        <w:t> </w:t>
      </w:r>
      <w:r>
        <w:rPr/>
        <w:t>a</w:t>
      </w:r>
      <w:r>
        <w:rPr>
          <w:spacing w:val="-2"/>
        </w:rPr>
        <w:t> </w:t>
      </w:r>
      <w:r>
        <w:rPr/>
        <w:t>deliberate</w:t>
      </w:r>
      <w:r>
        <w:rPr>
          <w:spacing w:val="-2"/>
        </w:rPr>
        <w:t> </w:t>
      </w:r>
      <w:r>
        <w:rPr/>
        <w:t>scope</w:t>
      </w:r>
      <w:r>
        <w:rPr>
          <w:spacing w:val="-2"/>
        </w:rPr>
        <w:t> </w:t>
      </w:r>
      <w:r>
        <w:rPr/>
        <w:t>boundary: Eq. 2 is designed to identify a single structural channel (concentration×shock) with an interpretable coefficient, not to maximise classification accuracy. The claimed contribution is strictly comparative</w:t>
      </w:r>
      <w:r>
        <w:rPr>
          <w:spacing w:val="40"/>
        </w:rPr>
        <w:t> </w:t>
      </w:r>
      <w:r>
        <w:rPr/>
        <w:t>—</w:t>
      </w:r>
      <w:r>
        <w:rPr>
          <w:spacing w:val="40"/>
        </w:rPr>
        <w:t> </w:t>
      </w:r>
      <w:r>
        <w:rPr/>
        <w:t>ranking CBDC designs under a common, empirically anchored outflow channel</w:t>
      </w:r>
      <w:r>
        <w:rPr>
          <w:spacing w:val="40"/>
        </w:rPr>
        <w:t> </w:t>
      </w:r>
      <w:r>
        <w:rPr/>
        <w:t>—</w:t>
      </w:r>
      <w:r>
        <w:rPr>
          <w:spacing w:val="40"/>
        </w:rPr>
        <w:t> </w:t>
      </w:r>
      <w:r>
        <w:rPr/>
        <w:t>consistent with the evaluation standard of Diks and Vrugt (2010). Section 5.4 develops the conditions under which the ordinal ranking survives despite below-base-rate classification performance.</w:t>
      </w:r>
    </w:p>
    <w:p>
      <w:pPr>
        <w:pStyle w:val="BodyText"/>
        <w:spacing w:after="0" w:line="480" w:lineRule="auto"/>
        <w:jc w:val="both"/>
        <w:sectPr>
          <w:pgSz w:w="11900" w:h="16820"/>
          <w:pgMar w:header="714" w:footer="0" w:top="1340" w:bottom="280" w:left="1700" w:right="1417"/>
        </w:sectPr>
      </w:pPr>
    </w:p>
    <w:p>
      <w:pPr>
        <w:pStyle w:val="Heading2"/>
        <w:numPr>
          <w:ilvl w:val="1"/>
          <w:numId w:val="1"/>
        </w:numPr>
        <w:tabs>
          <w:tab w:pos="457" w:val="left" w:leader="none"/>
        </w:tabs>
        <w:spacing w:line="240" w:lineRule="auto" w:before="79" w:after="0"/>
        <w:ind w:left="457" w:right="0" w:hanging="358"/>
        <w:jc w:val="left"/>
        <w:rPr>
          <w:i/>
        </w:rPr>
      </w:pPr>
      <w:r>
        <w:rPr>
          <w:i/>
        </w:rPr>
        <w:t>Implications</w:t>
      </w:r>
      <w:r>
        <w:rPr>
          <w:i/>
          <w:spacing w:val="-15"/>
        </w:rPr>
        <w:t> </w:t>
      </w:r>
      <w:r>
        <w:rPr>
          <w:i/>
        </w:rPr>
        <w:t>of</w:t>
      </w:r>
      <w:r>
        <w:rPr>
          <w:i/>
          <w:spacing w:val="-14"/>
        </w:rPr>
        <w:t> </w:t>
      </w:r>
      <w:r>
        <w:rPr>
          <w:i/>
        </w:rPr>
        <w:t>Below-Base-Rate</w:t>
      </w:r>
      <w:r>
        <w:rPr>
          <w:i/>
          <w:spacing w:val="-15"/>
        </w:rPr>
        <w:t> </w:t>
      </w:r>
      <w:r>
        <w:rPr>
          <w:i/>
        </w:rPr>
        <w:t>Performance</w:t>
      </w:r>
      <w:r>
        <w:rPr>
          <w:i/>
          <w:spacing w:val="-15"/>
        </w:rPr>
        <w:t> </w:t>
      </w:r>
      <w:r>
        <w:rPr>
          <w:i/>
        </w:rPr>
        <w:t>for</w:t>
      </w:r>
      <w:r>
        <w:rPr>
          <w:i/>
          <w:spacing w:val="-14"/>
        </w:rPr>
        <w:t> </w:t>
      </w:r>
      <w:r>
        <w:rPr>
          <w:i/>
        </w:rPr>
        <w:t>the</w:t>
      </w:r>
      <w:r>
        <w:rPr>
          <w:i/>
          <w:spacing w:val="-15"/>
        </w:rPr>
        <w:t> </w:t>
      </w:r>
      <w:r>
        <w:rPr>
          <w:i/>
        </w:rPr>
        <w:t>Design-Ranking</w:t>
      </w:r>
      <w:r>
        <w:rPr>
          <w:i/>
          <w:spacing w:val="-14"/>
        </w:rPr>
        <w:t> </w:t>
      </w:r>
      <w:r>
        <w:rPr>
          <w:i/>
          <w:spacing w:val="-2"/>
        </w:rPr>
        <w:t>Claim</w:t>
      </w:r>
    </w:p>
    <w:p>
      <w:pPr>
        <w:pStyle w:val="BodyText"/>
        <w:spacing w:before="81"/>
        <w:ind w:left="0"/>
        <w:rPr>
          <w:b/>
          <w:i/>
        </w:rPr>
      </w:pPr>
    </w:p>
    <w:p>
      <w:pPr>
        <w:pStyle w:val="BodyText"/>
        <w:spacing w:line="480" w:lineRule="auto"/>
        <w:ind w:right="379"/>
        <w:jc w:val="both"/>
      </w:pPr>
      <w:r>
        <w:rPr/>
        <w:t>The k-fold failure-classification accuracy on the n=81 panel (41.8%, well below the 74.7% majority-class base rate; computed via engines/validation.py) and the external temporal validation result (35.9% failure-classification accuracy on post-2008 episodes, n=39) represent the most consequential limitation on the design-ranking contribution. These figures are disclosed rather than downweighted, and their implications must be confronted directly.</w:t>
      </w:r>
    </w:p>
    <w:p>
      <w:pPr>
        <w:pStyle w:val="BodyText"/>
        <w:spacing w:line="480" w:lineRule="auto"/>
        <w:ind w:right="379"/>
        <w:jc w:val="both"/>
      </w:pPr>
      <w:r>
        <w:rPr/>
        <w:t>Below-base-rate</w:t>
      </w:r>
      <w:r>
        <w:rPr>
          <w:spacing w:val="-8"/>
        </w:rPr>
        <w:t> </w:t>
      </w:r>
      <w:r>
        <w:rPr/>
        <w:t>accuracy</w:t>
      </w:r>
      <w:r>
        <w:rPr>
          <w:spacing w:val="-11"/>
        </w:rPr>
        <w:t> </w:t>
      </w:r>
      <w:r>
        <w:rPr/>
        <w:t>means</w:t>
      </w:r>
      <w:r>
        <w:rPr>
          <w:spacing w:val="-7"/>
        </w:rPr>
        <w:t> </w:t>
      </w:r>
      <w:r>
        <w:rPr/>
        <w:t>the</w:t>
      </w:r>
      <w:r>
        <w:rPr>
          <w:spacing w:val="-8"/>
        </w:rPr>
        <w:t> </w:t>
      </w:r>
      <w:r>
        <w:rPr/>
        <w:t>model,</w:t>
      </w:r>
      <w:r>
        <w:rPr>
          <w:spacing w:val="-7"/>
        </w:rPr>
        <w:t> </w:t>
      </w:r>
      <w:r>
        <w:rPr/>
        <w:t>as</w:t>
      </w:r>
      <w:r>
        <w:rPr>
          <w:spacing w:val="-7"/>
        </w:rPr>
        <w:t> </w:t>
      </w:r>
      <w:r>
        <w:rPr/>
        <w:t>a</w:t>
      </w:r>
      <w:r>
        <w:rPr>
          <w:spacing w:val="-8"/>
        </w:rPr>
        <w:t> </w:t>
      </w:r>
      <w:r>
        <w:rPr/>
        <w:t>binary</w:t>
      </w:r>
      <w:r>
        <w:rPr>
          <w:spacing w:val="-11"/>
        </w:rPr>
        <w:t> </w:t>
      </w:r>
      <w:r>
        <w:rPr/>
        <w:t>classifier,</w:t>
      </w:r>
      <w:r>
        <w:rPr>
          <w:spacing w:val="-7"/>
        </w:rPr>
        <w:t> </w:t>
      </w:r>
      <w:r>
        <w:rPr/>
        <w:t>performs</w:t>
      </w:r>
      <w:r>
        <w:rPr>
          <w:spacing w:val="-7"/>
        </w:rPr>
        <w:t> </w:t>
      </w:r>
      <w:r>
        <w:rPr/>
        <w:t>worse</w:t>
      </w:r>
      <w:r>
        <w:rPr>
          <w:spacing w:val="-8"/>
        </w:rPr>
        <w:t> </w:t>
      </w:r>
      <w:r>
        <w:rPr/>
        <w:t>than </w:t>
      </w:r>
      <w:r>
        <w:rPr>
          <w:spacing w:val="-2"/>
        </w:rPr>
        <w:t>always</w:t>
      </w:r>
      <w:r>
        <w:rPr>
          <w:spacing w:val="-7"/>
        </w:rPr>
        <w:t> </w:t>
      </w:r>
      <w:r>
        <w:rPr>
          <w:spacing w:val="-2"/>
        </w:rPr>
        <w:t>predicting</w:t>
      </w:r>
      <w:r>
        <w:rPr>
          <w:spacing w:val="-10"/>
        </w:rPr>
        <w:t> </w:t>
      </w:r>
      <w:r>
        <w:rPr>
          <w:spacing w:val="-2"/>
        </w:rPr>
        <w:t>the</w:t>
      </w:r>
      <w:r>
        <w:rPr>
          <w:spacing w:val="-8"/>
        </w:rPr>
        <w:t> </w:t>
      </w:r>
      <w:r>
        <w:rPr>
          <w:spacing w:val="-2"/>
        </w:rPr>
        <w:t>modal</w:t>
      </w:r>
      <w:r>
        <w:rPr>
          <w:spacing w:val="-7"/>
        </w:rPr>
        <w:t> </w:t>
      </w:r>
      <w:r>
        <w:rPr>
          <w:spacing w:val="-2"/>
        </w:rPr>
        <w:t>outcome.</w:t>
      </w:r>
      <w:r>
        <w:rPr>
          <w:spacing w:val="-6"/>
        </w:rPr>
        <w:t> </w:t>
      </w:r>
      <w:r>
        <w:rPr>
          <w:spacing w:val="-2"/>
        </w:rPr>
        <w:t>For</w:t>
      </w:r>
      <w:r>
        <w:rPr>
          <w:spacing w:val="-8"/>
        </w:rPr>
        <w:t> </w:t>
      </w:r>
      <w:r>
        <w:rPr>
          <w:spacing w:val="-2"/>
        </w:rPr>
        <w:t>the</w:t>
      </w:r>
      <w:r>
        <w:rPr>
          <w:spacing w:val="-11"/>
        </w:rPr>
        <w:t> </w:t>
      </w:r>
      <w:r>
        <w:rPr>
          <w:spacing w:val="-2"/>
        </w:rPr>
        <w:t>design-ranking</w:t>
      </w:r>
      <w:r>
        <w:rPr>
          <w:spacing w:val="-10"/>
        </w:rPr>
        <w:t> </w:t>
      </w:r>
      <w:r>
        <w:rPr>
          <w:spacing w:val="-2"/>
        </w:rPr>
        <w:t>claim</w:t>
      </w:r>
      <w:r>
        <w:rPr>
          <w:spacing w:val="-9"/>
        </w:rPr>
        <w:t> </w:t>
      </w:r>
      <w:r>
        <w:rPr>
          <w:spacing w:val="-2"/>
        </w:rPr>
        <w:t>to</w:t>
      </w:r>
      <w:r>
        <w:rPr>
          <w:spacing w:val="-10"/>
        </w:rPr>
        <w:t> </w:t>
      </w:r>
      <w:r>
        <w:rPr>
          <w:spacing w:val="-2"/>
        </w:rPr>
        <w:t>survive</w:t>
      </w:r>
      <w:r>
        <w:rPr>
          <w:spacing w:val="-11"/>
        </w:rPr>
        <w:t> </w:t>
      </w:r>
      <w:r>
        <w:rPr>
          <w:spacing w:val="-2"/>
        </w:rPr>
        <w:t>this,</w:t>
      </w:r>
      <w:r>
        <w:rPr>
          <w:spacing w:val="-8"/>
        </w:rPr>
        <w:t> </w:t>
      </w:r>
      <w:r>
        <w:rPr>
          <w:spacing w:val="-2"/>
        </w:rPr>
        <w:t>three conditions</w:t>
      </w:r>
      <w:r>
        <w:rPr>
          <w:spacing w:val="-11"/>
        </w:rPr>
        <w:t> </w:t>
      </w:r>
      <w:r>
        <w:rPr>
          <w:spacing w:val="-2"/>
        </w:rPr>
        <w:t>must</w:t>
      </w:r>
      <w:r>
        <w:rPr>
          <w:spacing w:val="-8"/>
        </w:rPr>
        <w:t> </w:t>
      </w:r>
      <w:r>
        <w:rPr>
          <w:spacing w:val="-2"/>
        </w:rPr>
        <w:t>hold.</w:t>
      </w:r>
      <w:r>
        <w:rPr>
          <w:spacing w:val="-9"/>
        </w:rPr>
        <w:t> </w:t>
      </w:r>
      <w:r>
        <w:rPr>
          <w:spacing w:val="-2"/>
        </w:rPr>
        <w:t>First,</w:t>
      </w:r>
      <w:r>
        <w:rPr>
          <w:spacing w:val="-7"/>
        </w:rPr>
        <w:t> </w:t>
      </w:r>
      <w:r>
        <w:rPr>
          <w:spacing w:val="-2"/>
        </w:rPr>
        <w:t>the</w:t>
      </w:r>
      <w:r>
        <w:rPr>
          <w:spacing w:val="-9"/>
        </w:rPr>
        <w:t> </w:t>
      </w:r>
      <w:r>
        <w:rPr>
          <w:spacing w:val="-2"/>
        </w:rPr>
        <w:t>ordinal</w:t>
      </w:r>
      <w:r>
        <w:rPr>
          <w:spacing w:val="-8"/>
        </w:rPr>
        <w:t> </w:t>
      </w:r>
      <w:r>
        <w:rPr>
          <w:spacing w:val="-2"/>
        </w:rPr>
        <w:t>ranking</w:t>
      </w:r>
      <w:r>
        <w:rPr>
          <w:spacing w:val="-11"/>
        </w:rPr>
        <w:t> </w:t>
      </w:r>
      <w:r>
        <w:rPr>
          <w:spacing w:val="-2"/>
        </w:rPr>
        <w:t>(DynCap</w:t>
      </w:r>
      <w:r>
        <w:rPr>
          <w:spacing w:val="-11"/>
        </w:rPr>
        <w:t> </w:t>
      </w:r>
      <w:r>
        <w:rPr>
          <w:spacing w:val="-2"/>
        </w:rPr>
        <w:t>&lt;</w:t>
      </w:r>
      <w:r>
        <w:rPr>
          <w:spacing w:val="-12"/>
        </w:rPr>
        <w:t> </w:t>
      </w:r>
      <w:r>
        <w:rPr>
          <w:spacing w:val="-2"/>
        </w:rPr>
        <w:t>Fixed</w:t>
      </w:r>
      <w:r>
        <w:rPr>
          <w:spacing w:val="-9"/>
        </w:rPr>
        <w:t> </w:t>
      </w:r>
      <w:r>
        <w:rPr>
          <w:spacing w:val="-2"/>
        </w:rPr>
        <w:t>&lt;</w:t>
      </w:r>
      <w:r>
        <w:rPr>
          <w:spacing w:val="-12"/>
        </w:rPr>
        <w:t> </w:t>
      </w:r>
      <w:r>
        <w:rPr>
          <w:spacing w:val="-2"/>
        </w:rPr>
        <w:t>Unconstrained)</w:t>
      </w:r>
      <w:r>
        <w:rPr>
          <w:spacing w:val="-9"/>
        </w:rPr>
        <w:t> </w:t>
      </w:r>
      <w:r>
        <w:rPr>
          <w:spacing w:val="-2"/>
        </w:rPr>
        <w:t>must </w:t>
      </w:r>
      <w:r>
        <w:rPr/>
        <w:t>be stable under the same outflow coefficient θ₂</w:t>
      </w:r>
      <w:r>
        <w:rPr>
          <w:spacing w:val="40"/>
        </w:rPr>
        <w:t> </w:t>
      </w:r>
      <w:r>
        <w:rPr/>
        <w:t>regardless of whether that coefficient produces well-calibrated point forecasts of P(Fail). This is confirmed by the bootstrap and</w:t>
      </w:r>
      <w:r>
        <w:rPr>
          <w:spacing w:val="-15"/>
        </w:rPr>
        <w:t> </w:t>
      </w:r>
      <w:r>
        <w:rPr/>
        <w:t>27-combination</w:t>
      </w:r>
      <w:r>
        <w:rPr>
          <w:spacing w:val="-15"/>
        </w:rPr>
        <w:t> </w:t>
      </w:r>
      <w:r>
        <w:rPr/>
        <w:t>perturbation</w:t>
      </w:r>
      <w:r>
        <w:rPr>
          <w:spacing w:val="-15"/>
        </w:rPr>
        <w:t> </w:t>
      </w:r>
      <w:r>
        <w:rPr/>
        <w:t>checks</w:t>
      </w:r>
      <w:r>
        <w:rPr>
          <w:spacing w:val="-15"/>
        </w:rPr>
        <w:t> </w:t>
      </w:r>
      <w:r>
        <w:rPr/>
        <w:t>in</w:t>
      </w:r>
      <w:r>
        <w:rPr>
          <w:spacing w:val="-15"/>
        </w:rPr>
        <w:t> </w:t>
      </w:r>
      <w:r>
        <w:rPr/>
        <w:t>Table</w:t>
      </w:r>
      <w:r>
        <w:rPr>
          <w:spacing w:val="-15"/>
        </w:rPr>
        <w:t> </w:t>
      </w:r>
      <w:r>
        <w:rPr/>
        <w:t>F3</w:t>
      </w:r>
      <w:r>
        <w:rPr>
          <w:spacing w:val="-15"/>
        </w:rPr>
        <w:t> </w:t>
      </w:r>
      <w:r>
        <w:rPr/>
        <w:t>(Appendix</w:t>
      </w:r>
      <w:r>
        <w:rPr>
          <w:spacing w:val="-15"/>
        </w:rPr>
        <w:t> </w:t>
      </w:r>
      <w:r>
        <w:rPr/>
        <w:t>F).</w:t>
      </w:r>
      <w:r>
        <w:rPr>
          <w:spacing w:val="-15"/>
        </w:rPr>
        <w:t> </w:t>
      </w:r>
      <w:r>
        <w:rPr/>
        <w:t>Second,</w:t>
      </w:r>
      <w:r>
        <w:rPr>
          <w:spacing w:val="-15"/>
        </w:rPr>
        <w:t> </w:t>
      </w:r>
      <w:r>
        <w:rPr/>
        <w:t>the</w:t>
      </w:r>
      <w:r>
        <w:rPr>
          <w:spacing w:val="-15"/>
        </w:rPr>
        <w:t> </w:t>
      </w:r>
      <w:r>
        <w:rPr/>
        <w:t>outflow channel</w:t>
      </w:r>
      <w:r>
        <w:rPr>
          <w:spacing w:val="-4"/>
        </w:rPr>
        <w:t> </w:t>
      </w:r>
      <w:r>
        <w:rPr/>
        <w:t>itself</w:t>
      </w:r>
      <w:r>
        <w:rPr>
          <w:spacing w:val="-3"/>
        </w:rPr>
        <w:t> </w:t>
      </w:r>
      <w:r>
        <w:rPr/>
        <w:t>(θ₂&gt;0)</w:t>
      </w:r>
      <w:r>
        <w:rPr>
          <w:spacing w:val="-3"/>
        </w:rPr>
        <w:t> </w:t>
      </w:r>
      <w:r>
        <w:rPr/>
        <w:t>must</w:t>
      </w:r>
      <w:r>
        <w:rPr>
          <w:spacing w:val="-4"/>
        </w:rPr>
        <w:t> </w:t>
      </w:r>
      <w:r>
        <w:rPr/>
        <w:t>be</w:t>
      </w:r>
      <w:r>
        <w:rPr>
          <w:spacing w:val="-5"/>
        </w:rPr>
        <w:t> </w:t>
      </w:r>
      <w:r>
        <w:rPr/>
        <w:t>a</w:t>
      </w:r>
      <w:r>
        <w:rPr>
          <w:spacing w:val="-3"/>
        </w:rPr>
        <w:t> </w:t>
      </w:r>
      <w:r>
        <w:rPr/>
        <w:t>genuine</w:t>
      </w:r>
      <w:r>
        <w:rPr>
          <w:spacing w:val="-3"/>
        </w:rPr>
        <w:t> </w:t>
      </w:r>
      <w:r>
        <w:rPr/>
        <w:t>structural</w:t>
      </w:r>
      <w:r>
        <w:rPr>
          <w:spacing w:val="-3"/>
        </w:rPr>
        <w:t> </w:t>
      </w:r>
      <w:r>
        <w:rPr/>
        <w:t>feature,</w:t>
      </w:r>
      <w:r>
        <w:rPr>
          <w:spacing w:val="-3"/>
        </w:rPr>
        <w:t> </w:t>
      </w:r>
      <w:r>
        <w:rPr/>
        <w:t>not</w:t>
      </w:r>
      <w:r>
        <w:rPr>
          <w:spacing w:val="-3"/>
        </w:rPr>
        <w:t> </w:t>
      </w:r>
      <w:r>
        <w:rPr/>
        <w:t>a</w:t>
      </w:r>
      <w:r>
        <w:rPr>
          <w:spacing w:val="-5"/>
        </w:rPr>
        <w:t> </w:t>
      </w:r>
      <w:r>
        <w:rPr/>
        <w:t>dataset</w:t>
      </w:r>
      <w:r>
        <w:rPr>
          <w:spacing w:val="-3"/>
        </w:rPr>
        <w:t> </w:t>
      </w:r>
      <w:r>
        <w:rPr/>
        <w:t>artefact.</w:t>
      </w:r>
      <w:r>
        <w:rPr>
          <w:spacing w:val="-3"/>
        </w:rPr>
        <w:t> </w:t>
      </w:r>
      <w:r>
        <w:rPr/>
        <w:t>This</w:t>
      </w:r>
      <w:r>
        <w:rPr>
          <w:spacing w:val="-3"/>
        </w:rPr>
        <w:t> </w:t>
      </w:r>
      <w:r>
        <w:rPr/>
        <w:t>is supported by sign stability across all robustness checks (Appendix E, F). Third, the comparisons in Table 4 must be conducted under a common, controlled simulation environment</w:t>
      </w:r>
      <w:r>
        <w:rPr>
          <w:spacing w:val="-8"/>
        </w:rPr>
        <w:t> </w:t>
      </w:r>
      <w:r>
        <w:rPr/>
        <w:t>(same</w:t>
      </w:r>
      <w:r>
        <w:rPr>
          <w:spacing w:val="-9"/>
        </w:rPr>
        <w:t> </w:t>
      </w:r>
      <w:r>
        <w:rPr/>
        <w:t>engine,</w:t>
      </w:r>
      <w:r>
        <w:rPr>
          <w:spacing w:val="-9"/>
        </w:rPr>
        <w:t> </w:t>
      </w:r>
      <w:r>
        <w:rPr/>
        <w:t>seed,</w:t>
      </w:r>
      <w:r>
        <w:rPr>
          <w:spacing w:val="-9"/>
        </w:rPr>
        <w:t> </w:t>
      </w:r>
      <w:r>
        <w:rPr/>
        <w:t>shock,</w:t>
      </w:r>
      <w:r>
        <w:rPr>
          <w:spacing w:val="-9"/>
        </w:rPr>
        <w:t> </w:t>
      </w:r>
      <w:r>
        <w:rPr/>
        <w:t>and</w:t>
      </w:r>
      <w:r>
        <w:rPr>
          <w:spacing w:val="-9"/>
        </w:rPr>
        <w:t> </w:t>
      </w:r>
      <w:r>
        <w:rPr/>
        <w:t>LOLR</w:t>
      </w:r>
      <w:r>
        <w:rPr>
          <w:spacing w:val="-8"/>
        </w:rPr>
        <w:t> </w:t>
      </w:r>
      <w:r>
        <w:rPr/>
        <w:t>setting),</w:t>
      </w:r>
      <w:r>
        <w:rPr>
          <w:spacing w:val="-9"/>
        </w:rPr>
        <w:t> </w:t>
      </w:r>
      <w:r>
        <w:rPr/>
        <w:t>so</w:t>
      </w:r>
      <w:r>
        <w:rPr>
          <w:spacing w:val="-11"/>
        </w:rPr>
        <w:t> </w:t>
      </w:r>
      <w:r>
        <w:rPr/>
        <w:t>that</w:t>
      </w:r>
      <w:r>
        <w:rPr>
          <w:spacing w:val="-8"/>
        </w:rPr>
        <w:t> </w:t>
      </w:r>
      <w:r>
        <w:rPr/>
        <w:t>the</w:t>
      </w:r>
      <w:r>
        <w:rPr>
          <w:spacing w:val="-11"/>
        </w:rPr>
        <w:t> </w:t>
      </w:r>
      <w:r>
        <w:rPr/>
        <w:t>ranking</w:t>
      </w:r>
      <w:r>
        <w:rPr>
          <w:spacing w:val="-11"/>
        </w:rPr>
        <w:t> </w:t>
      </w:r>
      <w:r>
        <w:rPr/>
        <w:t>reflects design</w:t>
      </w:r>
      <w:r>
        <w:rPr>
          <w:spacing w:val="-15"/>
        </w:rPr>
        <w:t> </w:t>
      </w:r>
      <w:r>
        <w:rPr/>
        <w:t>differences</w:t>
      </w:r>
      <w:r>
        <w:rPr>
          <w:spacing w:val="-12"/>
        </w:rPr>
        <w:t> </w:t>
      </w:r>
      <w:r>
        <w:rPr/>
        <w:t>rather</w:t>
      </w:r>
      <w:r>
        <w:rPr>
          <w:spacing w:val="-13"/>
        </w:rPr>
        <w:t> </w:t>
      </w:r>
      <w:r>
        <w:rPr/>
        <w:t>than</w:t>
      </w:r>
      <w:r>
        <w:rPr>
          <w:spacing w:val="-12"/>
        </w:rPr>
        <w:t> </w:t>
      </w:r>
      <w:r>
        <w:rPr/>
        <w:t>specification</w:t>
      </w:r>
      <w:r>
        <w:rPr>
          <w:spacing w:val="-15"/>
        </w:rPr>
        <w:t> </w:t>
      </w:r>
      <w:r>
        <w:rPr/>
        <w:t>noise.</w:t>
      </w:r>
      <w:r>
        <w:rPr>
          <w:spacing w:val="-10"/>
        </w:rPr>
        <w:t> </w:t>
      </w:r>
      <w:r>
        <w:rPr/>
        <w:t>All</w:t>
      </w:r>
      <w:r>
        <w:rPr>
          <w:spacing w:val="-12"/>
        </w:rPr>
        <w:t> </w:t>
      </w:r>
      <w:r>
        <w:rPr/>
        <w:t>three</w:t>
      </w:r>
      <w:r>
        <w:rPr>
          <w:spacing w:val="-13"/>
        </w:rPr>
        <w:t> </w:t>
      </w:r>
      <w:r>
        <w:rPr/>
        <w:t>conditions</w:t>
      </w:r>
      <w:r>
        <w:rPr>
          <w:spacing w:val="-12"/>
        </w:rPr>
        <w:t> </w:t>
      </w:r>
      <w:r>
        <w:rPr/>
        <w:t>are</w:t>
      </w:r>
      <w:r>
        <w:rPr>
          <w:spacing w:val="-11"/>
        </w:rPr>
        <w:t> </w:t>
      </w:r>
      <w:r>
        <w:rPr/>
        <w:t>satisfied.</w:t>
      </w:r>
    </w:p>
    <w:p>
      <w:pPr>
        <w:pStyle w:val="BodyText"/>
        <w:spacing w:line="480" w:lineRule="auto"/>
        <w:ind w:right="379"/>
        <w:jc w:val="both"/>
      </w:pPr>
      <w:r>
        <w:rPr/>
        <w:t>This</w:t>
      </w:r>
      <w:r>
        <w:rPr>
          <w:spacing w:val="-5"/>
        </w:rPr>
        <w:t> </w:t>
      </w:r>
      <w:r>
        <w:rPr/>
        <w:t>criterion</w:t>
      </w:r>
      <w:r>
        <w:rPr>
          <w:spacing w:val="-6"/>
        </w:rPr>
        <w:t> </w:t>
      </w:r>
      <w:r>
        <w:rPr/>
        <w:t>reflects</w:t>
      </w:r>
      <w:r>
        <w:rPr>
          <w:spacing w:val="-5"/>
        </w:rPr>
        <w:t> </w:t>
      </w:r>
      <w:r>
        <w:rPr/>
        <w:t>a</w:t>
      </w:r>
      <w:r>
        <w:rPr>
          <w:spacing w:val="-4"/>
        </w:rPr>
        <w:t> </w:t>
      </w:r>
      <w:r>
        <w:rPr/>
        <w:t>standard</w:t>
      </w:r>
      <w:r>
        <w:rPr>
          <w:spacing w:val="-5"/>
        </w:rPr>
        <w:t> </w:t>
      </w:r>
      <w:r>
        <w:rPr/>
        <w:t>decision-theoretic</w:t>
      </w:r>
      <w:r>
        <w:rPr>
          <w:spacing w:val="-6"/>
        </w:rPr>
        <w:t> </w:t>
      </w:r>
      <w:r>
        <w:rPr/>
        <w:t>distinction</w:t>
      </w:r>
      <w:r>
        <w:rPr>
          <w:spacing w:val="-5"/>
        </w:rPr>
        <w:t> </w:t>
      </w:r>
      <w:r>
        <w:rPr/>
        <w:t>between</w:t>
      </w:r>
      <w:r>
        <w:rPr>
          <w:spacing w:val="-5"/>
        </w:rPr>
        <w:t> </w:t>
      </w:r>
      <w:r>
        <w:rPr/>
        <w:t>calibration</w:t>
      </w:r>
      <w:r>
        <w:rPr>
          <w:spacing w:val="-6"/>
        </w:rPr>
        <w:t> </w:t>
      </w:r>
      <w:r>
        <w:rPr/>
        <w:t>and choice under a fixed alternative set. A base-rate classifier answers a calibration question</w:t>
      </w:r>
      <w:r>
        <w:rPr>
          <w:spacing w:val="80"/>
        </w:rPr>
        <w:t> </w:t>
      </w:r>
      <w:r>
        <w:rPr/>
        <w:t>—</w:t>
      </w:r>
      <w:r>
        <w:rPr>
          <w:spacing w:val="80"/>
        </w:rPr>
        <w:t> </w:t>
      </w:r>
      <w:r>
        <w:rPr/>
        <w:t>what</w:t>
      </w:r>
      <w:r>
        <w:rPr>
          <w:spacing w:val="40"/>
        </w:rPr>
        <w:t> </w:t>
      </w:r>
      <w:r>
        <w:rPr/>
        <w:t>is</w:t>
      </w:r>
      <w:r>
        <w:rPr>
          <w:spacing w:val="40"/>
        </w:rPr>
        <w:t> </w:t>
      </w:r>
      <w:r>
        <w:rPr/>
        <w:t>the</w:t>
      </w:r>
      <w:r>
        <w:rPr>
          <w:spacing w:val="40"/>
        </w:rPr>
        <w:t> </w:t>
      </w:r>
      <w:r>
        <w:rPr/>
        <w:t>probability</w:t>
      </w:r>
      <w:r>
        <w:rPr>
          <w:spacing w:val="40"/>
        </w:rPr>
        <w:t> </w:t>
      </w:r>
      <w:r>
        <w:rPr/>
        <w:t>this</w:t>
      </w:r>
      <w:r>
        <w:rPr>
          <w:spacing w:val="40"/>
        </w:rPr>
        <w:t> </w:t>
      </w:r>
      <w:r>
        <w:rPr/>
        <w:t>specific</w:t>
      </w:r>
      <w:r>
        <w:rPr>
          <w:spacing w:val="40"/>
        </w:rPr>
        <w:t> </w:t>
      </w:r>
      <w:r>
        <w:rPr/>
        <w:t>bank</w:t>
      </w:r>
      <w:r>
        <w:rPr>
          <w:spacing w:val="40"/>
        </w:rPr>
        <w:t> </w:t>
      </w:r>
      <w:r>
        <w:rPr/>
        <w:t>fails?</w:t>
      </w:r>
      <w:r>
        <w:rPr>
          <w:spacing w:val="80"/>
        </w:rPr>
        <w:t> </w:t>
      </w:r>
      <w:r>
        <w:rPr/>
        <w:t>—</w:t>
      </w:r>
      <w:r>
        <w:rPr>
          <w:spacing w:val="80"/>
        </w:rPr>
        <w:t> </w:t>
      </w:r>
      <w:r>
        <w:rPr/>
        <w:t>for</w:t>
      </w:r>
      <w:r>
        <w:rPr>
          <w:spacing w:val="40"/>
        </w:rPr>
        <w:t> </w:t>
      </w:r>
      <w:r>
        <w:rPr/>
        <w:t>which</w:t>
      </w:r>
      <w:r>
        <w:rPr>
          <w:spacing w:val="80"/>
        </w:rPr>
        <w:t> </w:t>
      </w:r>
      <w:r>
        <w:rPr/>
        <w:t>below-base-rate accuracy is genuinely disqualifying. This paper’s policy question is different in kind: given that a CBDC will be issued, which of a small number of named design</w:t>
      </w:r>
      <w:r>
        <w:rPr>
          <w:spacing w:val="-1"/>
        </w:rPr>
        <w:t> </w:t>
      </w:r>
      <w:r>
        <w:rPr/>
        <w:t>alternatives minimises</w:t>
      </w:r>
      <w:r>
        <w:rPr>
          <w:spacing w:val="-1"/>
        </w:rPr>
        <w:t> </w:t>
      </w:r>
      <w:r>
        <w:rPr/>
        <w:t>P(Fail)</w:t>
      </w:r>
      <w:r>
        <w:rPr>
          <w:spacing w:val="-2"/>
        </w:rPr>
        <w:t> </w:t>
      </w:r>
      <w:r>
        <w:rPr/>
        <w:t>under</w:t>
      </w:r>
      <w:r>
        <w:rPr>
          <w:spacing w:val="-1"/>
        </w:rPr>
        <w:t> </w:t>
      </w:r>
      <w:r>
        <w:rPr/>
        <w:t>a shared</w:t>
      </w:r>
      <w:r>
        <w:rPr>
          <w:spacing w:val="-1"/>
        </w:rPr>
        <w:t> </w:t>
      </w:r>
      <w:r>
        <w:rPr/>
        <w:t>shock? That</w:t>
      </w:r>
      <w:r>
        <w:rPr>
          <w:spacing w:val="-1"/>
        </w:rPr>
        <w:t> </w:t>
      </w:r>
      <w:r>
        <w:rPr/>
        <w:t>only</w:t>
      </w:r>
      <w:r>
        <w:rPr>
          <w:spacing w:val="-3"/>
        </w:rPr>
        <w:t> </w:t>
      </w:r>
      <w:r>
        <w:rPr/>
        <w:t>requires the</w:t>
      </w:r>
      <w:r>
        <w:rPr>
          <w:spacing w:val="11"/>
        </w:rPr>
        <w:t> </w:t>
      </w:r>
      <w:r>
        <w:rPr/>
        <w:t>ranking</w:t>
      </w:r>
      <w:r>
        <w:rPr>
          <w:spacing w:val="12"/>
        </w:rPr>
        <w:t> </w:t>
      </w:r>
      <w:r>
        <w:rPr/>
        <w:t>of</w:t>
      </w:r>
      <w:r>
        <w:rPr>
          <w:spacing w:val="12"/>
        </w:rPr>
        <w:t> </w:t>
      </w:r>
      <w:r>
        <w:rPr/>
        <w:t>outcomes</w:t>
      </w:r>
      <w:r>
        <w:rPr>
          <w:spacing w:val="12"/>
        </w:rPr>
        <w:t> </w:t>
      </w:r>
      <w:r>
        <w:rPr/>
        <w:t>across</w:t>
      </w:r>
      <w:r>
        <w:rPr>
          <w:spacing w:val="12"/>
        </w:rPr>
        <w:t> </w:t>
      </w:r>
      <w:r>
        <w:rPr/>
        <w:t>alternatives</w:t>
      </w:r>
      <w:r>
        <w:rPr>
          <w:spacing w:val="12"/>
        </w:rPr>
        <w:t> </w:t>
      </w:r>
      <w:r>
        <w:rPr/>
        <w:t>to</w:t>
      </w:r>
      <w:r>
        <w:rPr>
          <w:spacing w:val="12"/>
        </w:rPr>
        <w:t> </w:t>
      </w:r>
      <w:r>
        <w:rPr/>
        <w:t>be</w:t>
      </w:r>
      <w:r>
        <w:rPr>
          <w:spacing w:val="13"/>
        </w:rPr>
        <w:t> </w:t>
      </w:r>
      <w:r>
        <w:rPr/>
        <w:t>correctly</w:t>
      </w:r>
      <w:r>
        <w:rPr>
          <w:spacing w:val="9"/>
        </w:rPr>
        <w:t> </w:t>
      </w:r>
      <w:r>
        <w:rPr/>
        <w:t>ordered,</w:t>
      </w:r>
      <w:r>
        <w:rPr>
          <w:spacing w:val="14"/>
        </w:rPr>
        <w:t> </w:t>
      </w:r>
      <w:r>
        <w:rPr/>
        <w:t>not</w:t>
      </w:r>
      <w:r>
        <w:rPr>
          <w:spacing w:val="13"/>
        </w:rPr>
        <w:t> </w:t>
      </w:r>
      <w:r>
        <w:rPr/>
        <w:t>that</w:t>
      </w:r>
      <w:r>
        <w:rPr>
          <w:spacing w:val="12"/>
        </w:rPr>
        <w:t> </w:t>
      </w:r>
      <w:r>
        <w:rPr/>
        <w:t>any</w:t>
      </w:r>
      <w:r>
        <w:rPr>
          <w:spacing w:val="9"/>
        </w:rPr>
        <w:t> </w:t>
      </w:r>
      <w:r>
        <w:rPr>
          <w:spacing w:val="-5"/>
        </w:rPr>
        <w:t>one</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80"/>
        <w:jc w:val="both"/>
      </w:pPr>
      <w:r>
        <w:rPr/>
        <w:t>alternative’s absolute P(Fail) be a calibrated forecast</w:t>
      </w:r>
      <w:r>
        <w:rPr>
          <w:spacing w:val="40"/>
        </w:rPr>
        <w:t> </w:t>
      </w:r>
      <w:r>
        <w:rPr/>
        <w:t>—</w:t>
      </w:r>
      <w:r>
        <w:rPr>
          <w:spacing w:val="40"/>
        </w:rPr>
        <w:t> </w:t>
      </w:r>
      <w:r>
        <w:rPr/>
        <w:t>much as an A/B test can reliably rank treatment B above treatment A without the underlying outcome model being an accurate absolute predictor in a different population. Because miscalibration common to all four designs cancels in the ranking (the stable-θ₂, common-engine argument above), the below-base-rate figure is a genuine limitation on this paper’s crisis-prediction validity, not on its design-ranking validity.</w:t>
      </w:r>
    </w:p>
    <w:p>
      <w:pPr>
        <w:pStyle w:val="BodyText"/>
        <w:spacing w:line="480" w:lineRule="auto"/>
        <w:ind w:right="322"/>
        <w:jc w:val="both"/>
      </w:pPr>
      <w:r>
        <w:rPr/>
        <w:t>The statistical reason these two facts coexist is averaging. Episode-level classification accuracy is a statement about a single draw: whether one specific historical episode is correctly labelled failed or not. The design ranking in Table 4 is instead computed from N=300 independent Monte Carlo simulation runs per design at fixed parameters, and compares the mean P(Fail) across designs, not any single simulated outcome. By the</w:t>
      </w:r>
      <w:r>
        <w:rPr>
          <w:spacing w:val="40"/>
        </w:rPr>
        <w:t> </w:t>
      </w:r>
      <w:r>
        <w:rPr/>
        <w:t>law</w:t>
      </w:r>
      <w:r>
        <w:rPr>
          <w:spacing w:val="40"/>
        </w:rPr>
        <w:t> </w:t>
      </w:r>
      <w:r>
        <w:rPr/>
        <w:t>of</w:t>
      </w:r>
      <w:r>
        <w:rPr>
          <w:spacing w:val="40"/>
        </w:rPr>
        <w:t> </w:t>
      </w:r>
      <w:r>
        <w:rPr/>
        <w:t>large</w:t>
      </w:r>
      <w:r>
        <w:rPr>
          <w:spacing w:val="40"/>
        </w:rPr>
        <w:t> </w:t>
      </w:r>
      <w:r>
        <w:rPr/>
        <w:t>numbers,</w:t>
      </w:r>
      <w:r>
        <w:rPr>
          <w:spacing w:val="40"/>
        </w:rPr>
        <w:t> </w:t>
      </w:r>
      <w:r>
        <w:rPr/>
        <w:t>idiosyncratic</w:t>
      </w:r>
      <w:r>
        <w:rPr>
          <w:spacing w:val="40"/>
        </w:rPr>
        <w:t> </w:t>
      </w:r>
      <w:r>
        <w:rPr/>
        <w:t>episode-level</w:t>
      </w:r>
      <w:r>
        <w:rPr>
          <w:spacing w:val="40"/>
        </w:rPr>
        <w:t> </w:t>
      </w:r>
      <w:r>
        <w:rPr/>
        <w:t>noise</w:t>
      </w:r>
      <w:r>
        <w:rPr>
          <w:spacing w:val="40"/>
        </w:rPr>
        <w:t> </w:t>
      </w:r>
      <w:r>
        <w:rPr/>
        <w:t>that</w:t>
      </w:r>
      <w:r>
        <w:rPr>
          <w:spacing w:val="40"/>
        </w:rPr>
        <w:t> </w:t>
      </w:r>
      <w:r>
        <w:rPr/>
        <w:t>would</w:t>
      </w:r>
      <w:r>
        <w:rPr>
          <w:spacing w:val="40"/>
        </w:rPr>
        <w:t> </w:t>
      </w:r>
      <w:r>
        <w:rPr/>
        <w:t>defeat</w:t>
      </w:r>
      <w:r>
        <w:rPr>
          <w:spacing w:val="40"/>
        </w:rPr>
        <w:t> </w:t>
      </w:r>
      <w:r>
        <w:rPr/>
        <w:t>a per-episode classifier averages out across those 300 runs, leaving the between-design gap</w:t>
      </w:r>
      <w:r>
        <w:rPr>
          <w:spacing w:val="40"/>
        </w:rPr>
        <w:t> </w:t>
      </w:r>
      <w:r>
        <w:rPr/>
        <w:t>—</w:t>
      </w:r>
      <w:r>
        <w:rPr>
          <w:spacing w:val="40"/>
        </w:rPr>
        <w:t> </w:t>
      </w:r>
      <w:r>
        <w:rPr/>
        <w:t>which</w:t>
      </w:r>
      <w:r>
        <w:rPr>
          <w:spacing w:val="40"/>
        </w:rPr>
        <w:t> </w:t>
      </w:r>
      <w:r>
        <w:rPr/>
        <w:t>is</w:t>
      </w:r>
      <w:r>
        <w:rPr>
          <w:spacing w:val="40"/>
        </w:rPr>
        <w:t> </w:t>
      </w:r>
      <w:r>
        <w:rPr/>
        <w:t>driven</w:t>
      </w:r>
      <w:r>
        <w:rPr>
          <w:spacing w:val="40"/>
        </w:rPr>
        <w:t> </w:t>
      </w:r>
      <w:r>
        <w:rPr/>
        <w:t>by</w:t>
      </w:r>
      <w:r>
        <w:rPr>
          <w:spacing w:val="40"/>
        </w:rPr>
        <w:t> </w:t>
      </w:r>
      <w:r>
        <w:rPr/>
        <w:t>the</w:t>
      </w:r>
      <w:r>
        <w:rPr>
          <w:spacing w:val="40"/>
        </w:rPr>
        <w:t> </w:t>
      </w:r>
      <w:r>
        <w:rPr/>
        <w:t>shared,</w:t>
      </w:r>
      <w:r>
        <w:rPr>
          <w:spacing w:val="40"/>
        </w:rPr>
        <w:t> </w:t>
      </w:r>
      <w:r>
        <w:rPr/>
        <w:t>structural</w:t>
      </w:r>
      <w:r>
        <w:rPr>
          <w:spacing w:val="40"/>
        </w:rPr>
        <w:t> </w:t>
      </w:r>
      <w:r>
        <w:rPr/>
        <w:t>θ₂</w:t>
      </w:r>
      <w:r>
        <w:rPr>
          <w:spacing w:val="40"/>
        </w:rPr>
        <w:t> </w:t>
      </w:r>
      <w:r>
        <w:rPr/>
        <w:t>coefficient</w:t>
      </w:r>
      <w:r>
        <w:rPr>
          <w:spacing w:val="40"/>
        </w:rPr>
        <w:t> </w:t>
      </w:r>
      <w:r>
        <w:rPr/>
        <w:t>rather</w:t>
      </w:r>
      <w:r>
        <w:rPr>
          <w:spacing w:val="40"/>
        </w:rPr>
        <w:t> </w:t>
      </w:r>
      <w:r>
        <w:rPr/>
        <w:t>than</w:t>
      </w:r>
      <w:r>
        <w:rPr>
          <w:spacing w:val="40"/>
        </w:rPr>
        <w:t> </w:t>
      </w:r>
      <w:r>
        <w:rPr/>
        <w:t>by episode-specific detail</w:t>
      </w:r>
      <w:r>
        <w:rPr>
          <w:spacing w:val="40"/>
        </w:rPr>
        <w:t> </w:t>
      </w:r>
      <w:r>
        <w:rPr/>
        <w:t>—</w:t>
      </w:r>
      <w:r>
        <w:rPr>
          <w:spacing w:val="40"/>
        </w:rPr>
        <w:t> </w:t>
      </w:r>
      <w:r>
        <w:rPr/>
        <w:t>as the dominant signal in the mean. This is the same logic that lets a randomised controlled trial estimate a reliable average treatment effect from noisy individual-level outcomes: the estimand of interest (a group mean difference) is statistically</w:t>
      </w:r>
      <w:r>
        <w:rPr>
          <w:spacing w:val="40"/>
        </w:rPr>
        <w:t> </w:t>
      </w:r>
      <w:r>
        <w:rPr/>
        <w:t>better-behaved</w:t>
      </w:r>
      <w:r>
        <w:rPr>
          <w:spacing w:val="40"/>
        </w:rPr>
        <w:t> </w:t>
      </w:r>
      <w:r>
        <w:rPr/>
        <w:t>than</w:t>
      </w:r>
      <w:r>
        <w:rPr>
          <w:spacing w:val="40"/>
        </w:rPr>
        <w:t> </w:t>
      </w:r>
      <w:r>
        <w:rPr/>
        <w:t>the</w:t>
      </w:r>
      <w:r>
        <w:rPr>
          <w:spacing w:val="40"/>
        </w:rPr>
        <w:t> </w:t>
      </w:r>
      <w:r>
        <w:rPr/>
        <w:t>estimand</w:t>
      </w:r>
      <w:r>
        <w:rPr>
          <w:spacing w:val="40"/>
        </w:rPr>
        <w:t> </w:t>
      </w:r>
      <w:r>
        <w:rPr/>
        <w:t>a</w:t>
      </w:r>
      <w:r>
        <w:rPr>
          <w:spacing w:val="40"/>
        </w:rPr>
        <w:t> </w:t>
      </w:r>
      <w:r>
        <w:rPr/>
        <w:t>classifier</w:t>
      </w:r>
      <w:r>
        <w:rPr>
          <w:spacing w:val="40"/>
        </w:rPr>
        <w:t> </w:t>
      </w:r>
      <w:r>
        <w:rPr/>
        <w:t>targets</w:t>
      </w:r>
      <w:r>
        <w:rPr>
          <w:spacing w:val="40"/>
        </w:rPr>
        <w:t> </w:t>
      </w:r>
      <w:r>
        <w:rPr/>
        <w:t>(a</w:t>
      </w:r>
      <w:r>
        <w:rPr>
          <w:spacing w:val="40"/>
        </w:rPr>
        <w:t> </w:t>
      </w:r>
      <w:r>
        <w:rPr/>
        <w:t>correct individual-level label). The 27-combination perturbation and 60-bootstrap-refit checks in</w:t>
      </w:r>
      <w:r>
        <w:rPr>
          <w:spacing w:val="40"/>
        </w:rPr>
        <w:t> </w:t>
      </w:r>
      <w:r>
        <w:rPr/>
        <w:t>§5.5 test this averaging argument directly, by repeating the mean-comparison</w:t>
      </w:r>
      <w:r>
        <w:rPr>
          <w:spacing w:val="40"/>
        </w:rPr>
        <w:t> </w:t>
      </w:r>
      <w:r>
        <w:rPr/>
        <w:t>across many resampled parameter draws rather than asserting it analytically.</w:t>
      </w:r>
    </w:p>
    <w:p>
      <w:pPr>
        <w:pStyle w:val="BodyText"/>
        <w:spacing w:line="480" w:lineRule="auto"/>
        <w:ind w:right="377"/>
        <w:jc w:val="both"/>
      </w:pPr>
      <w:r>
        <w:rPr/>
        <w:t>What the below-base-rate classification performance does invalidate are any claims about P(Fail) magnitudes carrying external predictive validity. The statement “Korea P(Fail)=0.1400 under DynCap+Tiered at shock=0.75” should be read as an internally </w:t>
      </w:r>
      <w:r>
        <w:rPr>
          <w:spacing w:val="-4"/>
        </w:rPr>
        <w:t>consistent</w:t>
      </w:r>
      <w:r>
        <w:rPr>
          <w:spacing w:val="-3"/>
        </w:rPr>
        <w:t> </w:t>
      </w:r>
      <w:r>
        <w:rPr>
          <w:spacing w:val="-4"/>
        </w:rPr>
        <w:t>simulation</w:t>
      </w:r>
      <w:r>
        <w:rPr>
          <w:spacing w:val="-6"/>
        </w:rPr>
        <w:t> </w:t>
      </w:r>
      <w:r>
        <w:rPr>
          <w:spacing w:val="-4"/>
        </w:rPr>
        <w:t>output</w:t>
      </w:r>
      <w:r>
        <w:rPr>
          <w:spacing w:val="-2"/>
        </w:rPr>
        <w:t> </w:t>
      </w:r>
      <w:r>
        <w:rPr>
          <w:spacing w:val="-4"/>
        </w:rPr>
        <w:t>under</w:t>
      </w:r>
      <w:r>
        <w:rPr>
          <w:spacing w:val="-5"/>
        </w:rPr>
        <w:t> </w:t>
      </w:r>
      <w:r>
        <w:rPr>
          <w:spacing w:val="-4"/>
        </w:rPr>
        <w:t>calibrated</w:t>
      </w:r>
      <w:r>
        <w:rPr>
          <w:spacing w:val="-3"/>
        </w:rPr>
        <w:t> </w:t>
      </w:r>
      <w:r>
        <w:rPr>
          <w:spacing w:val="-4"/>
        </w:rPr>
        <w:t>parameters,</w:t>
      </w:r>
      <w:r>
        <w:rPr>
          <w:spacing w:val="-2"/>
        </w:rPr>
        <w:t> </w:t>
      </w:r>
      <w:r>
        <w:rPr>
          <w:spacing w:val="-4"/>
        </w:rPr>
        <w:t>not</w:t>
      </w:r>
      <w:r>
        <w:rPr>
          <w:spacing w:val="-2"/>
        </w:rPr>
        <w:t> </w:t>
      </w:r>
      <w:r>
        <w:rPr>
          <w:spacing w:val="-4"/>
        </w:rPr>
        <w:t>as a calibrated probabilistic</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295"/>
      </w:pPr>
      <w:r>
        <w:rPr/>
        <w:t>forecast</w:t>
      </w:r>
      <w:r>
        <w:rPr>
          <w:spacing w:val="40"/>
        </w:rPr>
        <w:t> </w:t>
      </w:r>
      <w:r>
        <w:rPr/>
        <w:t>of</w:t>
      </w:r>
      <w:r>
        <w:rPr>
          <w:spacing w:val="40"/>
        </w:rPr>
        <w:t> </w:t>
      </w:r>
      <w:r>
        <w:rPr/>
        <w:t>actual</w:t>
      </w:r>
      <w:r>
        <w:rPr>
          <w:spacing w:val="40"/>
        </w:rPr>
        <w:t> </w:t>
      </w:r>
      <w:r>
        <w:rPr/>
        <w:t>Korean</w:t>
      </w:r>
      <w:r>
        <w:rPr>
          <w:spacing w:val="40"/>
        </w:rPr>
        <w:t> </w:t>
      </w:r>
      <w:r>
        <w:rPr/>
        <w:t>banking</w:t>
      </w:r>
      <w:r>
        <w:rPr>
          <w:spacing w:val="40"/>
        </w:rPr>
        <w:t> </w:t>
      </w:r>
      <w:r>
        <w:rPr/>
        <w:t>crisis</w:t>
      </w:r>
      <w:r>
        <w:rPr>
          <w:spacing w:val="40"/>
        </w:rPr>
        <w:t> </w:t>
      </w:r>
      <w:r>
        <w:rPr/>
        <w:t>probability.</w:t>
      </w:r>
      <w:r>
        <w:rPr>
          <w:spacing w:val="40"/>
        </w:rPr>
        <w:t> </w:t>
      </w:r>
      <w:r>
        <w:rPr/>
        <w:t>The</w:t>
      </w:r>
      <w:r>
        <w:rPr>
          <w:spacing w:val="40"/>
        </w:rPr>
        <w:t> </w:t>
      </w:r>
      <w:r>
        <w:rPr/>
        <w:t>contribution</w:t>
      </w:r>
      <w:r>
        <w:rPr>
          <w:spacing w:val="40"/>
        </w:rPr>
        <w:t> </w:t>
      </w:r>
      <w:r>
        <w:rPr/>
        <w:t>is</w:t>
      </w:r>
      <w:r>
        <w:rPr>
          <w:spacing w:val="40"/>
        </w:rPr>
        <w:t> </w:t>
      </w:r>
      <w:r>
        <w:rPr/>
        <w:t>therefore explicitly</w:t>
      </w:r>
      <w:r>
        <w:rPr>
          <w:spacing w:val="-3"/>
        </w:rPr>
        <w:t> </w:t>
      </w:r>
      <w:r>
        <w:rPr/>
        <w:t>ordinal and</w:t>
      </w:r>
      <w:r>
        <w:rPr>
          <w:spacing w:val="-1"/>
        </w:rPr>
        <w:t> </w:t>
      </w:r>
      <w:r>
        <w:rPr/>
        <w:t>comparative: DynCap+Tiered</w:t>
      </w:r>
      <w:r>
        <w:rPr>
          <w:spacing w:val="-1"/>
        </w:rPr>
        <w:t> </w:t>
      </w:r>
      <w:r>
        <w:rPr/>
        <w:t>is safer than</w:t>
      </w:r>
      <w:r>
        <w:rPr>
          <w:spacing w:val="-1"/>
        </w:rPr>
        <w:t> </w:t>
      </w:r>
      <w:r>
        <w:rPr/>
        <w:t>Fixed Limit, which</w:t>
      </w:r>
      <w:r>
        <w:rPr>
          <w:spacing w:val="-1"/>
        </w:rPr>
        <w:t> </w:t>
      </w:r>
      <w:r>
        <w:rPr/>
        <w:t>is safer</w:t>
      </w:r>
      <w:r>
        <w:rPr>
          <w:spacing w:val="-15"/>
        </w:rPr>
        <w:t> </w:t>
      </w:r>
      <w:r>
        <w:rPr/>
        <w:t>than</w:t>
      </w:r>
      <w:r>
        <w:rPr>
          <w:spacing w:val="-15"/>
        </w:rPr>
        <w:t> </w:t>
      </w:r>
      <w:r>
        <w:rPr/>
        <w:t>Unconstrained</w:t>
      </w:r>
      <w:r>
        <w:rPr>
          <w:spacing w:val="-15"/>
        </w:rPr>
        <w:t> </w:t>
      </w:r>
      <w:r>
        <w:rPr/>
        <w:t>CBDC,</w:t>
      </w:r>
      <w:r>
        <w:rPr>
          <w:spacing w:val="-15"/>
        </w:rPr>
        <w:t> </w:t>
      </w:r>
      <w:r>
        <w:rPr/>
        <w:t>within</w:t>
      </w:r>
      <w:r>
        <w:rPr>
          <w:spacing w:val="-15"/>
        </w:rPr>
        <w:t> </w:t>
      </w:r>
      <w:r>
        <w:rPr/>
        <w:t>this</w:t>
      </w:r>
      <w:r>
        <w:rPr>
          <w:spacing w:val="-15"/>
        </w:rPr>
        <w:t> </w:t>
      </w:r>
      <w:r>
        <w:rPr/>
        <w:t>simulation</w:t>
      </w:r>
      <w:r>
        <w:rPr>
          <w:spacing w:val="-15"/>
        </w:rPr>
        <w:t> </w:t>
      </w:r>
      <w:r>
        <w:rPr/>
        <w:t>framework.</w:t>
      </w:r>
      <w:r>
        <w:rPr>
          <w:spacing w:val="-15"/>
        </w:rPr>
        <w:t> </w:t>
      </w:r>
      <w:r>
        <w:rPr/>
        <w:t>The</w:t>
      </w:r>
      <w:r>
        <w:rPr>
          <w:spacing w:val="-15"/>
        </w:rPr>
        <w:t> </w:t>
      </w:r>
      <w:r>
        <w:rPr/>
        <w:t>absolute</w:t>
      </w:r>
      <w:r>
        <w:rPr>
          <w:spacing w:val="-15"/>
        </w:rPr>
        <w:t> </w:t>
      </w:r>
      <w:r>
        <w:rPr/>
        <w:t>P(Fail) levels</w:t>
      </w:r>
      <w:r>
        <w:rPr>
          <w:spacing w:val="-10"/>
        </w:rPr>
        <w:t> </w:t>
      </w:r>
      <w:r>
        <w:rPr/>
        <w:t>inherit</w:t>
      </w:r>
      <w:r>
        <w:rPr>
          <w:spacing w:val="-7"/>
        </w:rPr>
        <w:t> </w:t>
      </w:r>
      <w:r>
        <w:rPr/>
        <w:t>the</w:t>
      </w:r>
      <w:r>
        <w:rPr>
          <w:spacing w:val="-10"/>
        </w:rPr>
        <w:t> </w:t>
      </w:r>
      <w:r>
        <w:rPr/>
        <w:t>partial-validation</w:t>
      </w:r>
      <w:r>
        <w:rPr>
          <w:spacing w:val="-12"/>
        </w:rPr>
        <w:t> </w:t>
      </w:r>
      <w:r>
        <w:rPr/>
        <w:t>status</w:t>
      </w:r>
      <w:r>
        <w:rPr>
          <w:spacing w:val="-10"/>
        </w:rPr>
        <w:t> </w:t>
      </w:r>
      <w:r>
        <w:rPr/>
        <w:t>of</w:t>
      </w:r>
      <w:r>
        <w:rPr>
          <w:spacing w:val="-10"/>
        </w:rPr>
        <w:t> </w:t>
      </w:r>
      <w:r>
        <w:rPr/>
        <w:t>the</w:t>
      </w:r>
      <w:r>
        <w:rPr>
          <w:spacing w:val="-10"/>
        </w:rPr>
        <w:t> </w:t>
      </w:r>
      <w:r>
        <w:rPr/>
        <w:t>underlying</w:t>
      </w:r>
      <w:r>
        <w:rPr>
          <w:spacing w:val="-12"/>
        </w:rPr>
        <w:t> </w:t>
      </w:r>
      <w:r>
        <w:rPr/>
        <w:t>outflow</w:t>
      </w:r>
      <w:r>
        <w:rPr>
          <w:spacing w:val="-12"/>
        </w:rPr>
        <w:t> </w:t>
      </w:r>
      <w:r>
        <w:rPr/>
        <w:t>model.</w:t>
      </w:r>
    </w:p>
    <w:p>
      <w:pPr>
        <w:spacing w:before="0"/>
        <w:ind w:left="99" w:right="0" w:firstLine="0"/>
        <w:jc w:val="left"/>
        <w:rPr>
          <w:i/>
          <w:sz w:val="24"/>
        </w:rPr>
      </w:pPr>
      <w:r>
        <w:rPr>
          <w:i/>
          <w:sz w:val="24"/>
        </w:rPr>
        <w:t>[Tables</w:t>
      </w:r>
      <w:r>
        <w:rPr>
          <w:i/>
          <w:spacing w:val="-7"/>
          <w:sz w:val="24"/>
        </w:rPr>
        <w:t> </w:t>
      </w:r>
      <w:r>
        <w:rPr>
          <w:i/>
          <w:sz w:val="24"/>
        </w:rPr>
        <w:t>F2</w:t>
      </w:r>
      <w:r>
        <w:rPr>
          <w:i/>
          <w:spacing w:val="-7"/>
          <w:sz w:val="24"/>
        </w:rPr>
        <w:t> </w:t>
      </w:r>
      <w:r>
        <w:rPr>
          <w:i/>
          <w:sz w:val="24"/>
        </w:rPr>
        <w:t>and</w:t>
      </w:r>
      <w:r>
        <w:rPr>
          <w:i/>
          <w:spacing w:val="-7"/>
          <w:sz w:val="24"/>
        </w:rPr>
        <w:t> </w:t>
      </w:r>
      <w:r>
        <w:rPr>
          <w:i/>
          <w:sz w:val="24"/>
        </w:rPr>
        <w:t>F3</w:t>
      </w:r>
      <w:r>
        <w:rPr>
          <w:i/>
          <w:spacing w:val="-7"/>
          <w:sz w:val="24"/>
        </w:rPr>
        <w:t> </w:t>
      </w:r>
      <w:r>
        <w:rPr>
          <w:i/>
          <w:sz w:val="24"/>
        </w:rPr>
        <w:t>appear</w:t>
      </w:r>
      <w:r>
        <w:rPr>
          <w:i/>
          <w:spacing w:val="-6"/>
          <w:sz w:val="24"/>
        </w:rPr>
        <w:t> </w:t>
      </w:r>
      <w:r>
        <w:rPr>
          <w:i/>
          <w:sz w:val="24"/>
        </w:rPr>
        <w:t>in</w:t>
      </w:r>
      <w:r>
        <w:rPr>
          <w:i/>
          <w:spacing w:val="-8"/>
          <w:sz w:val="24"/>
        </w:rPr>
        <w:t> </w:t>
      </w:r>
      <w:r>
        <w:rPr>
          <w:i/>
          <w:sz w:val="24"/>
        </w:rPr>
        <w:t>Appendix</w:t>
      </w:r>
      <w:r>
        <w:rPr>
          <w:i/>
          <w:spacing w:val="-7"/>
          <w:sz w:val="24"/>
        </w:rPr>
        <w:t> </w:t>
      </w:r>
      <w:r>
        <w:rPr>
          <w:i/>
          <w:sz w:val="24"/>
        </w:rPr>
        <w:t>F</w:t>
      </w:r>
      <w:r>
        <w:rPr>
          <w:i/>
          <w:spacing w:val="-7"/>
          <w:sz w:val="24"/>
        </w:rPr>
        <w:t> </w:t>
      </w:r>
      <w:r>
        <w:rPr>
          <w:i/>
          <w:spacing w:val="-2"/>
          <w:sz w:val="24"/>
        </w:rPr>
        <w:t>below.]</w:t>
      </w:r>
    </w:p>
    <w:p>
      <w:pPr>
        <w:pStyle w:val="BodyText"/>
        <w:ind w:left="0"/>
        <w:rPr>
          <w:i/>
        </w:rPr>
      </w:pPr>
    </w:p>
    <w:p>
      <w:pPr>
        <w:pStyle w:val="BodyText"/>
        <w:spacing w:line="480" w:lineRule="auto"/>
        <w:ind w:right="377"/>
        <w:jc w:val="both"/>
      </w:pPr>
      <w:r>
        <w:rPr/>
        <w:t>The contribution-validity criterion used here is therefore design-ranking stability rather</w:t>
      </w:r>
      <w:r>
        <w:rPr>
          <w:spacing w:val="-5"/>
        </w:rPr>
        <w:t> </w:t>
      </w:r>
      <w:r>
        <w:rPr/>
        <w:t>than</w:t>
      </w:r>
      <w:r>
        <w:rPr>
          <w:spacing w:val="-4"/>
        </w:rPr>
        <w:t> </w:t>
      </w:r>
      <w:r>
        <w:rPr/>
        <w:t>predictive</w:t>
      </w:r>
      <w:r>
        <w:rPr>
          <w:spacing w:val="-5"/>
        </w:rPr>
        <w:t> </w:t>
      </w:r>
      <w:r>
        <w:rPr/>
        <w:t>dominance</w:t>
      </w:r>
      <w:r>
        <w:rPr>
          <w:spacing w:val="-5"/>
        </w:rPr>
        <w:t> </w:t>
      </w:r>
      <w:r>
        <w:rPr/>
        <w:t>over</w:t>
      </w:r>
      <w:r>
        <w:rPr>
          <w:spacing w:val="-5"/>
        </w:rPr>
        <w:t> </w:t>
      </w:r>
      <w:r>
        <w:rPr/>
        <w:t>a</w:t>
      </w:r>
      <w:r>
        <w:rPr>
          <w:spacing w:val="-3"/>
        </w:rPr>
        <w:t> </w:t>
      </w:r>
      <w:r>
        <w:rPr/>
        <w:t>base-rate</w:t>
      </w:r>
      <w:r>
        <w:rPr>
          <w:spacing w:val="-3"/>
        </w:rPr>
        <w:t> </w:t>
      </w:r>
      <w:r>
        <w:rPr/>
        <w:t>classifier.</w:t>
      </w:r>
      <w:r>
        <w:rPr>
          <w:spacing w:val="-2"/>
        </w:rPr>
        <w:t> </w:t>
      </w:r>
      <w:r>
        <w:rPr/>
        <w:t>That</w:t>
      </w:r>
      <w:r>
        <w:rPr>
          <w:spacing w:val="-4"/>
        </w:rPr>
        <w:t> </w:t>
      </w:r>
      <w:r>
        <w:rPr/>
        <w:t>criterion</w:t>
      </w:r>
      <w:r>
        <w:rPr>
          <w:spacing w:val="-2"/>
        </w:rPr>
        <w:t> </w:t>
      </w:r>
      <w:r>
        <w:rPr/>
        <w:t>is</w:t>
      </w:r>
      <w:r>
        <w:rPr>
          <w:spacing w:val="-4"/>
        </w:rPr>
        <w:t> </w:t>
      </w:r>
      <w:r>
        <w:rPr/>
        <w:t>evaluated through four safeguards: the statistically identified concentration×shock channel in Table</w:t>
      </w:r>
      <w:r>
        <w:rPr>
          <w:spacing w:val="-10"/>
        </w:rPr>
        <w:t> </w:t>
      </w:r>
      <w:r>
        <w:rPr/>
        <w:t>2,</w:t>
      </w:r>
      <w:r>
        <w:rPr>
          <w:spacing w:val="-7"/>
        </w:rPr>
        <w:t> </w:t>
      </w:r>
      <w:r>
        <w:rPr/>
        <w:t>within-CBDC</w:t>
      </w:r>
      <w:r>
        <w:rPr>
          <w:spacing w:val="-7"/>
        </w:rPr>
        <w:t> </w:t>
      </w:r>
      <w:r>
        <w:rPr/>
        <w:t>ranking</w:t>
      </w:r>
      <w:r>
        <w:rPr>
          <w:spacing w:val="-9"/>
        </w:rPr>
        <w:t> </w:t>
      </w:r>
      <w:r>
        <w:rPr/>
        <w:t>stability</w:t>
      </w:r>
      <w:r>
        <w:rPr>
          <w:spacing w:val="-10"/>
        </w:rPr>
        <w:t> </w:t>
      </w:r>
      <w:r>
        <w:rPr/>
        <w:t>under</w:t>
      </w:r>
      <w:r>
        <w:rPr>
          <w:spacing w:val="-7"/>
        </w:rPr>
        <w:t> </w:t>
      </w:r>
      <w:r>
        <w:rPr/>
        <w:t>bootstrap</w:t>
      </w:r>
      <w:r>
        <w:rPr>
          <w:spacing w:val="-8"/>
        </w:rPr>
        <w:t> </w:t>
      </w:r>
      <w:r>
        <w:rPr/>
        <w:t>and</w:t>
      </w:r>
      <w:r>
        <w:rPr>
          <w:spacing w:val="-9"/>
        </w:rPr>
        <w:t> </w:t>
      </w:r>
      <w:r>
        <w:rPr/>
        <w:t>parameter</w:t>
      </w:r>
      <w:r>
        <w:rPr>
          <w:spacing w:val="-9"/>
        </w:rPr>
        <w:t> </w:t>
      </w:r>
      <w:r>
        <w:rPr/>
        <w:t>perturbation</w:t>
      </w:r>
      <w:r>
        <w:rPr>
          <w:spacing w:val="-8"/>
        </w:rPr>
        <w:t> </w:t>
      </w:r>
      <w:r>
        <w:rPr>
          <w:spacing w:val="-5"/>
        </w:rPr>
        <w:t>in</w:t>
      </w:r>
    </w:p>
    <w:p>
      <w:pPr>
        <w:pStyle w:val="BodyText"/>
        <w:spacing w:line="480" w:lineRule="auto"/>
        <w:ind w:right="322"/>
        <w:jc w:val="both"/>
      </w:pPr>
      <w:r>
        <w:rPr/>
        <w:t>§5.5, direct Monte Carlo uncertainty bands in Tables 4, 8, and 9, and selected</w:t>
      </w:r>
      <w:r>
        <w:rPr>
          <w:spacing w:val="80"/>
        </w:rPr>
        <w:t> </w:t>
      </w:r>
      <w:r>
        <w:rPr/>
        <w:t>N=1,000 replications in Appendix G. Weak early-warning metrics narrow the claim, but they do not invalidate the comparative stress-test contribution because no policy conclusion relies on point prediction of crisis occurrence or outflow magnitude.</w:t>
      </w:r>
    </w:p>
    <w:p>
      <w:pPr>
        <w:pStyle w:val="Heading1"/>
        <w:spacing w:before="238"/>
        <w:ind w:left="2380"/>
        <w:jc w:val="both"/>
      </w:pPr>
      <w:r>
        <w:rPr/>
        <w:t>Table7b.</w:t>
      </w:r>
      <w:r>
        <w:rPr>
          <w:spacing w:val="-11"/>
        </w:rPr>
        <w:t> </w:t>
      </w:r>
      <w:r>
        <w:rPr/>
        <w:t>Scope</w:t>
      </w:r>
      <w:r>
        <w:rPr>
          <w:spacing w:val="-11"/>
        </w:rPr>
        <w:t> </w:t>
      </w:r>
      <w:r>
        <w:rPr/>
        <w:t>of</w:t>
      </w:r>
      <w:r>
        <w:rPr>
          <w:spacing w:val="-9"/>
        </w:rPr>
        <w:t> </w:t>
      </w:r>
      <w:r>
        <w:rPr/>
        <w:t>Validation</w:t>
      </w:r>
      <w:r>
        <w:rPr>
          <w:spacing w:val="-9"/>
        </w:rPr>
        <w:t> </w:t>
      </w:r>
      <w:r>
        <w:rPr>
          <w:spacing w:val="-2"/>
        </w:rPr>
        <w:t>Claims</w:t>
      </w:r>
    </w:p>
    <w:p>
      <w:pPr>
        <w:pStyle w:val="BodyText"/>
        <w:spacing w:before="8"/>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6"/>
        <w:gridCol w:w="1818"/>
        <w:gridCol w:w="4243"/>
      </w:tblGrid>
      <w:tr>
        <w:trPr>
          <w:trHeight w:val="280" w:hRule="atLeast"/>
        </w:trPr>
        <w:tc>
          <w:tcPr>
            <w:tcW w:w="2226" w:type="dxa"/>
          </w:tcPr>
          <w:p>
            <w:pPr>
              <w:pStyle w:val="TableParagraph"/>
              <w:spacing w:line="249" w:lineRule="exact"/>
              <w:ind w:left="309"/>
              <w:rPr>
                <w:b/>
                <w:sz w:val="22"/>
              </w:rPr>
            </w:pPr>
            <w:r>
              <w:rPr>
                <w:b/>
                <w:sz w:val="22"/>
              </w:rPr>
              <w:t>Validation</w:t>
            </w:r>
            <w:r>
              <w:rPr>
                <w:b/>
                <w:spacing w:val="-7"/>
                <w:sz w:val="22"/>
              </w:rPr>
              <w:t> </w:t>
            </w:r>
            <w:r>
              <w:rPr>
                <w:b/>
                <w:spacing w:val="-2"/>
                <w:sz w:val="22"/>
              </w:rPr>
              <w:t>target</w:t>
            </w:r>
          </w:p>
        </w:tc>
        <w:tc>
          <w:tcPr>
            <w:tcW w:w="1818" w:type="dxa"/>
          </w:tcPr>
          <w:p>
            <w:pPr>
              <w:pStyle w:val="TableParagraph"/>
              <w:spacing w:line="249" w:lineRule="exact"/>
              <w:ind w:left="0" w:right="602"/>
              <w:jc w:val="right"/>
              <w:rPr>
                <w:b/>
                <w:sz w:val="22"/>
              </w:rPr>
            </w:pPr>
            <w:r>
              <w:rPr>
                <w:b/>
                <w:spacing w:val="-2"/>
                <w:sz w:val="22"/>
              </w:rPr>
              <w:t>Status</w:t>
            </w:r>
          </w:p>
        </w:tc>
        <w:tc>
          <w:tcPr>
            <w:tcW w:w="4243" w:type="dxa"/>
          </w:tcPr>
          <w:p>
            <w:pPr>
              <w:pStyle w:val="TableParagraph"/>
              <w:spacing w:line="249" w:lineRule="exact"/>
              <w:ind w:left="7"/>
              <w:jc w:val="center"/>
              <w:rPr>
                <w:b/>
                <w:sz w:val="22"/>
              </w:rPr>
            </w:pPr>
            <w:r>
              <w:rPr>
                <w:b/>
                <w:spacing w:val="-2"/>
                <w:sz w:val="22"/>
              </w:rPr>
              <w:t>Evidence</w:t>
            </w:r>
          </w:p>
        </w:tc>
      </w:tr>
      <w:tr>
        <w:trPr>
          <w:trHeight w:val="1152" w:hRule="atLeast"/>
        </w:trPr>
        <w:tc>
          <w:tcPr>
            <w:tcW w:w="2226" w:type="dxa"/>
          </w:tcPr>
          <w:p>
            <w:pPr>
              <w:pStyle w:val="TableParagraph"/>
              <w:spacing w:line="276" w:lineRule="auto" w:before="139"/>
              <w:ind w:right="404"/>
              <w:rPr>
                <w:sz w:val="22"/>
              </w:rPr>
            </w:pPr>
            <w:r>
              <w:rPr>
                <w:sz w:val="22"/>
              </w:rPr>
              <w:t>Ordinal design ranking</w:t>
            </w:r>
            <w:r>
              <w:rPr>
                <w:spacing w:val="-14"/>
                <w:sz w:val="22"/>
              </w:rPr>
              <w:t> </w:t>
            </w:r>
            <w:r>
              <w:rPr>
                <w:sz w:val="22"/>
              </w:rPr>
              <w:t>(DynCap</w:t>
            </w:r>
            <w:r>
              <w:rPr>
                <w:spacing w:val="-14"/>
                <w:sz w:val="22"/>
              </w:rPr>
              <w:t> </w:t>
            </w:r>
            <w:r>
              <w:rPr>
                <w:sz w:val="22"/>
              </w:rPr>
              <w:t>&lt;</w:t>
            </w:r>
          </w:p>
          <w:p>
            <w:pPr>
              <w:pStyle w:val="TableParagraph"/>
              <w:spacing w:before="1"/>
              <w:rPr>
                <w:sz w:val="22"/>
              </w:rPr>
            </w:pPr>
            <w:r>
              <w:rPr>
                <w:sz w:val="22"/>
              </w:rPr>
              <w:t>Fixed</w:t>
            </w:r>
            <w:r>
              <w:rPr>
                <w:spacing w:val="-5"/>
                <w:sz w:val="22"/>
              </w:rPr>
              <w:t> </w:t>
            </w:r>
            <w:r>
              <w:rPr>
                <w:sz w:val="22"/>
              </w:rPr>
              <w:t>&lt;</w:t>
            </w:r>
            <w:r>
              <w:rPr>
                <w:spacing w:val="-8"/>
                <w:sz w:val="22"/>
              </w:rPr>
              <w:t> </w:t>
            </w:r>
            <w:r>
              <w:rPr>
                <w:spacing w:val="-2"/>
                <w:sz w:val="22"/>
              </w:rPr>
              <w:t>Unconstrained)</w:t>
            </w:r>
          </w:p>
        </w:tc>
        <w:tc>
          <w:tcPr>
            <w:tcW w:w="1818" w:type="dxa"/>
          </w:tcPr>
          <w:p>
            <w:pPr>
              <w:pStyle w:val="TableParagraph"/>
              <w:spacing w:before="139"/>
              <w:rPr>
                <w:sz w:val="22"/>
              </w:rPr>
            </w:pPr>
            <w:r>
              <w:rPr>
                <w:spacing w:val="-2"/>
                <w:sz w:val="22"/>
              </w:rPr>
              <w:t>Partially</w:t>
            </w:r>
            <w:r>
              <w:rPr>
                <w:spacing w:val="3"/>
                <w:sz w:val="22"/>
              </w:rPr>
              <w:t> </w:t>
            </w:r>
            <w:r>
              <w:rPr>
                <w:spacing w:val="-2"/>
                <w:sz w:val="22"/>
              </w:rPr>
              <w:t>validated</w:t>
            </w:r>
          </w:p>
          <w:p>
            <w:pPr>
              <w:pStyle w:val="TableParagraph"/>
              <w:spacing w:line="278" w:lineRule="auto" w:before="37"/>
              <w:rPr>
                <w:sz w:val="22"/>
              </w:rPr>
            </w:pPr>
            <w:r>
              <w:rPr>
                <w:spacing w:val="-2"/>
                <w:sz w:val="22"/>
              </w:rPr>
              <w:t>/</w:t>
            </w:r>
            <w:r>
              <w:rPr>
                <w:spacing w:val="-12"/>
                <w:sz w:val="22"/>
              </w:rPr>
              <w:t> </w:t>
            </w:r>
            <w:r>
              <w:rPr>
                <w:spacing w:val="-2"/>
                <w:sz w:val="22"/>
              </w:rPr>
              <w:t>ranking-stability supported</w:t>
            </w:r>
          </w:p>
        </w:tc>
        <w:tc>
          <w:tcPr>
            <w:tcW w:w="4243" w:type="dxa"/>
          </w:tcPr>
          <w:p>
            <w:pPr>
              <w:pStyle w:val="TableParagraph"/>
              <w:spacing w:line="276" w:lineRule="auto"/>
              <w:ind w:right="218"/>
              <w:rPr>
                <w:sz w:val="22"/>
              </w:rPr>
            </w:pPr>
            <w:r>
              <w:rPr>
                <w:sz w:val="22"/>
              </w:rPr>
              <w:t>§5.5: stable across 60 bootstrap refits + 27 parameter perturbations; supports ordinal design-ranking</w:t>
            </w:r>
            <w:r>
              <w:rPr>
                <w:spacing w:val="-14"/>
                <w:sz w:val="22"/>
              </w:rPr>
              <w:t> </w:t>
            </w:r>
            <w:r>
              <w:rPr>
                <w:sz w:val="22"/>
              </w:rPr>
              <w:t>stability,</w:t>
            </w:r>
            <w:r>
              <w:rPr>
                <w:spacing w:val="-14"/>
                <w:sz w:val="22"/>
              </w:rPr>
              <w:t> </w:t>
            </w:r>
            <w:r>
              <w:rPr>
                <w:sz w:val="22"/>
              </w:rPr>
              <w:t>not</w:t>
            </w:r>
            <w:r>
              <w:rPr>
                <w:spacing w:val="-14"/>
                <w:sz w:val="22"/>
              </w:rPr>
              <w:t> </w:t>
            </w:r>
            <w:r>
              <w:rPr>
                <w:sz w:val="22"/>
              </w:rPr>
              <w:t>crisis</w:t>
            </w:r>
            <w:r>
              <w:rPr>
                <w:spacing w:val="-13"/>
                <w:sz w:val="22"/>
              </w:rPr>
              <w:t> </w:t>
            </w:r>
            <w:r>
              <w:rPr>
                <w:sz w:val="22"/>
              </w:rPr>
              <w:t>prediction</w:t>
            </w:r>
          </w:p>
          <w:p>
            <w:pPr>
              <w:pStyle w:val="TableParagraph"/>
              <w:spacing w:line="250" w:lineRule="exact"/>
              <w:rPr>
                <w:sz w:val="22"/>
              </w:rPr>
            </w:pPr>
            <w:r>
              <w:rPr>
                <w:spacing w:val="-2"/>
                <w:sz w:val="22"/>
              </w:rPr>
              <w:t>validity</w:t>
            </w:r>
          </w:p>
        </w:tc>
      </w:tr>
      <w:tr>
        <w:trPr>
          <w:trHeight w:val="570" w:hRule="atLeast"/>
        </w:trPr>
        <w:tc>
          <w:tcPr>
            <w:tcW w:w="2226" w:type="dxa"/>
          </w:tcPr>
          <w:p>
            <w:pPr>
              <w:pStyle w:val="TableParagraph"/>
              <w:spacing w:line="246" w:lineRule="exact"/>
              <w:rPr>
                <w:sz w:val="22"/>
              </w:rPr>
            </w:pPr>
            <w:r>
              <w:rPr>
                <w:spacing w:val="-2"/>
                <w:sz w:val="22"/>
              </w:rPr>
              <w:t>Concentration×shock</w:t>
            </w:r>
          </w:p>
          <w:p>
            <w:pPr>
              <w:pStyle w:val="TableParagraph"/>
              <w:spacing w:before="39"/>
              <w:rPr>
                <w:sz w:val="22"/>
              </w:rPr>
            </w:pPr>
            <w:r>
              <w:rPr>
                <w:sz w:val="22"/>
              </w:rPr>
              <w:t>outflow</w:t>
            </w:r>
            <w:r>
              <w:rPr>
                <w:spacing w:val="-6"/>
                <w:sz w:val="22"/>
              </w:rPr>
              <w:t> </w:t>
            </w:r>
            <w:r>
              <w:rPr>
                <w:sz w:val="22"/>
              </w:rPr>
              <w:t>channel</w:t>
            </w:r>
            <w:r>
              <w:rPr>
                <w:spacing w:val="-5"/>
                <w:sz w:val="22"/>
              </w:rPr>
              <w:t> </w:t>
            </w:r>
            <w:r>
              <w:rPr>
                <w:spacing w:val="-2"/>
                <w:sz w:val="22"/>
              </w:rPr>
              <w:t>(θ₂&gt;0)</w:t>
            </w:r>
          </w:p>
        </w:tc>
        <w:tc>
          <w:tcPr>
            <w:tcW w:w="1818" w:type="dxa"/>
          </w:tcPr>
          <w:p>
            <w:pPr>
              <w:pStyle w:val="TableParagraph"/>
              <w:spacing w:line="246" w:lineRule="exact"/>
              <w:rPr>
                <w:sz w:val="22"/>
              </w:rPr>
            </w:pPr>
            <w:r>
              <w:rPr>
                <w:spacing w:val="-2"/>
                <w:sz w:val="22"/>
              </w:rPr>
              <w:t>Partially</w:t>
            </w:r>
          </w:p>
          <w:p>
            <w:pPr>
              <w:pStyle w:val="TableParagraph"/>
              <w:spacing w:before="39"/>
              <w:rPr>
                <w:sz w:val="22"/>
              </w:rPr>
            </w:pPr>
            <w:r>
              <w:rPr>
                <w:spacing w:val="-2"/>
                <w:sz w:val="22"/>
              </w:rPr>
              <w:t>validated</w:t>
            </w:r>
          </w:p>
        </w:tc>
        <w:tc>
          <w:tcPr>
            <w:tcW w:w="4243" w:type="dxa"/>
          </w:tcPr>
          <w:p>
            <w:pPr>
              <w:pStyle w:val="TableParagraph"/>
              <w:spacing w:line="246" w:lineRule="exact"/>
              <w:rPr>
                <w:sz w:val="22"/>
              </w:rPr>
            </w:pPr>
            <w:r>
              <w:rPr>
                <w:sz w:val="22"/>
              </w:rPr>
              <w:t>Table</w:t>
            </w:r>
            <w:r>
              <w:rPr>
                <w:spacing w:val="-5"/>
                <w:sz w:val="22"/>
              </w:rPr>
              <w:t> </w:t>
            </w:r>
            <w:r>
              <w:rPr>
                <w:sz w:val="22"/>
              </w:rPr>
              <w:t>2:</w:t>
            </w:r>
            <w:r>
              <w:rPr>
                <w:spacing w:val="-2"/>
                <w:sz w:val="22"/>
              </w:rPr>
              <w:t> </w:t>
            </w:r>
            <w:r>
              <w:rPr>
                <w:sz w:val="22"/>
              </w:rPr>
              <w:t>t=3.36,</w:t>
            </w:r>
            <w:r>
              <w:rPr>
                <w:spacing w:val="-3"/>
                <w:sz w:val="22"/>
              </w:rPr>
              <w:t> </w:t>
            </w:r>
            <w:r>
              <w:rPr>
                <w:sz w:val="22"/>
              </w:rPr>
              <w:t>p=0.0008</w:t>
            </w:r>
            <w:r>
              <w:rPr>
                <w:spacing w:val="-3"/>
                <w:sz w:val="22"/>
              </w:rPr>
              <w:t> </w:t>
            </w:r>
            <w:r>
              <w:rPr>
                <w:sz w:val="22"/>
              </w:rPr>
              <w:t>(n=81);</w:t>
            </w:r>
            <w:r>
              <w:rPr>
                <w:spacing w:val="-1"/>
                <w:sz w:val="22"/>
              </w:rPr>
              <w:t> </w:t>
            </w:r>
            <w:r>
              <w:rPr>
                <w:spacing w:val="-2"/>
                <w:sz w:val="22"/>
              </w:rPr>
              <w:t>Appendix</w:t>
            </w:r>
          </w:p>
          <w:p>
            <w:pPr>
              <w:pStyle w:val="TableParagraph"/>
              <w:spacing w:before="39"/>
              <w:rPr>
                <w:sz w:val="22"/>
              </w:rPr>
            </w:pPr>
            <w:r>
              <w:rPr>
                <w:sz w:val="22"/>
              </w:rPr>
              <w:t>E:</w:t>
            </w:r>
            <w:r>
              <w:rPr>
                <w:spacing w:val="-3"/>
                <w:sz w:val="22"/>
              </w:rPr>
              <w:t> </w:t>
            </w:r>
            <w:r>
              <w:rPr>
                <w:sz w:val="22"/>
              </w:rPr>
              <w:t>100%</w:t>
            </w:r>
            <w:r>
              <w:rPr>
                <w:spacing w:val="-5"/>
                <w:sz w:val="22"/>
              </w:rPr>
              <w:t> </w:t>
            </w:r>
            <w:r>
              <w:rPr>
                <w:sz w:val="22"/>
              </w:rPr>
              <w:t>positive</w:t>
            </w:r>
            <w:r>
              <w:rPr>
                <w:spacing w:val="-4"/>
                <w:sz w:val="22"/>
              </w:rPr>
              <w:t> </w:t>
            </w:r>
            <w:r>
              <w:rPr>
                <w:sz w:val="22"/>
              </w:rPr>
              <w:t>across</w:t>
            </w:r>
            <w:r>
              <w:rPr>
                <w:spacing w:val="-3"/>
                <w:sz w:val="22"/>
              </w:rPr>
              <w:t> </w:t>
            </w:r>
            <w:r>
              <w:rPr>
                <w:sz w:val="22"/>
              </w:rPr>
              <w:t>200</w:t>
            </w:r>
            <w:r>
              <w:rPr>
                <w:spacing w:val="-4"/>
                <w:sz w:val="22"/>
              </w:rPr>
              <w:t> </w:t>
            </w:r>
            <w:r>
              <w:rPr>
                <w:sz w:val="22"/>
              </w:rPr>
              <w:t>bootstrap</w:t>
            </w:r>
            <w:r>
              <w:rPr>
                <w:spacing w:val="-3"/>
                <w:sz w:val="22"/>
              </w:rPr>
              <w:t> </w:t>
            </w:r>
            <w:r>
              <w:rPr>
                <w:spacing w:val="-4"/>
                <w:sz w:val="22"/>
              </w:rPr>
              <w:t>draws</w:t>
            </w:r>
          </w:p>
        </w:tc>
      </w:tr>
      <w:tr>
        <w:trPr>
          <w:trHeight w:val="862" w:hRule="atLeast"/>
        </w:trPr>
        <w:tc>
          <w:tcPr>
            <w:tcW w:w="2226" w:type="dxa"/>
          </w:tcPr>
          <w:p>
            <w:pPr>
              <w:pStyle w:val="TableParagraph"/>
              <w:spacing w:line="276" w:lineRule="auto" w:before="139"/>
              <w:ind w:right="300"/>
              <w:rPr>
                <w:sz w:val="22"/>
              </w:rPr>
            </w:pPr>
            <w:r>
              <w:rPr>
                <w:sz w:val="22"/>
              </w:rPr>
              <w:t>Crisis</w:t>
            </w:r>
            <w:r>
              <w:rPr>
                <w:spacing w:val="-14"/>
                <w:sz w:val="22"/>
              </w:rPr>
              <w:t> </w:t>
            </w:r>
            <w:r>
              <w:rPr>
                <w:sz w:val="22"/>
              </w:rPr>
              <w:t>early-</w:t>
            </w:r>
            <w:r>
              <w:rPr>
                <w:sz w:val="22"/>
              </w:rPr>
              <w:t>warning </w:t>
            </w:r>
            <w:r>
              <w:rPr>
                <w:spacing w:val="-2"/>
                <w:sz w:val="22"/>
              </w:rPr>
              <w:t>prediction</w:t>
            </w:r>
          </w:p>
        </w:tc>
        <w:tc>
          <w:tcPr>
            <w:tcW w:w="1818" w:type="dxa"/>
          </w:tcPr>
          <w:p>
            <w:pPr>
              <w:pStyle w:val="TableParagraph"/>
              <w:spacing w:before="32"/>
              <w:ind w:left="0"/>
              <w:rPr>
                <w:b/>
                <w:sz w:val="22"/>
              </w:rPr>
            </w:pPr>
          </w:p>
          <w:p>
            <w:pPr>
              <w:pStyle w:val="TableParagraph"/>
              <w:spacing w:before="1"/>
              <w:ind w:left="0" w:right="583"/>
              <w:jc w:val="right"/>
              <w:rPr>
                <w:sz w:val="22"/>
              </w:rPr>
            </w:pPr>
            <w:r>
              <w:rPr>
                <w:sz w:val="22"/>
              </w:rPr>
              <w:t>Not in</w:t>
            </w:r>
            <w:r>
              <w:rPr>
                <w:spacing w:val="-3"/>
                <w:sz w:val="22"/>
              </w:rPr>
              <w:t> </w:t>
            </w:r>
            <w:r>
              <w:rPr>
                <w:spacing w:val="-2"/>
                <w:sz w:val="22"/>
              </w:rPr>
              <w:t>scope</w:t>
            </w:r>
          </w:p>
        </w:tc>
        <w:tc>
          <w:tcPr>
            <w:tcW w:w="4243" w:type="dxa"/>
          </w:tcPr>
          <w:p>
            <w:pPr>
              <w:pStyle w:val="TableParagraph"/>
              <w:spacing w:line="249" w:lineRule="exact"/>
              <w:rPr>
                <w:sz w:val="22"/>
              </w:rPr>
            </w:pPr>
            <w:r>
              <w:rPr>
                <w:sz w:val="22"/>
              </w:rPr>
              <w:t>LOO</w:t>
            </w:r>
            <w:r>
              <w:rPr>
                <w:spacing w:val="-3"/>
                <w:sz w:val="22"/>
              </w:rPr>
              <w:t> </w:t>
            </w:r>
            <w:r>
              <w:rPr>
                <w:sz w:val="22"/>
              </w:rPr>
              <w:t>accuracy</w:t>
            </w:r>
            <w:r>
              <w:rPr>
                <w:spacing w:val="-5"/>
                <w:sz w:val="22"/>
              </w:rPr>
              <w:t> </w:t>
            </w:r>
            <w:r>
              <w:rPr>
                <w:sz w:val="22"/>
              </w:rPr>
              <w:t>73.1%</w:t>
            </w:r>
            <w:r>
              <w:rPr>
                <w:spacing w:val="-1"/>
                <w:sz w:val="22"/>
              </w:rPr>
              <w:t> </w:t>
            </w:r>
            <w:r>
              <w:rPr>
                <w:sz w:val="22"/>
              </w:rPr>
              <w:t>&lt;</w:t>
            </w:r>
            <w:r>
              <w:rPr>
                <w:spacing w:val="-3"/>
                <w:sz w:val="22"/>
              </w:rPr>
              <w:t> </w:t>
            </w:r>
            <w:r>
              <w:rPr>
                <w:sz w:val="22"/>
              </w:rPr>
              <w:t>base</w:t>
            </w:r>
            <w:r>
              <w:rPr>
                <w:spacing w:val="-4"/>
                <w:sz w:val="22"/>
              </w:rPr>
              <w:t> </w:t>
            </w:r>
            <w:r>
              <w:rPr>
                <w:sz w:val="22"/>
              </w:rPr>
              <w:t>rate</w:t>
            </w:r>
            <w:r>
              <w:rPr>
                <w:spacing w:val="-2"/>
                <w:sz w:val="22"/>
              </w:rPr>
              <w:t> </w:t>
            </w:r>
            <w:r>
              <w:rPr>
                <w:sz w:val="22"/>
              </w:rPr>
              <w:t>85% </w:t>
            </w:r>
            <w:r>
              <w:rPr>
                <w:spacing w:val="-2"/>
                <w:sz w:val="22"/>
              </w:rPr>
              <w:t>(n=26</w:t>
            </w:r>
          </w:p>
          <w:p>
            <w:pPr>
              <w:pStyle w:val="TableParagraph"/>
              <w:spacing w:line="290" w:lineRule="atLeast"/>
              <w:ind w:right="1079"/>
              <w:rPr>
                <w:sz w:val="22"/>
              </w:rPr>
            </w:pPr>
            <w:r>
              <w:rPr>
                <w:sz w:val="22"/>
              </w:rPr>
              <w:t>platform</w:t>
            </w:r>
            <w:r>
              <w:rPr>
                <w:spacing w:val="-14"/>
                <w:sz w:val="22"/>
              </w:rPr>
              <w:t> </w:t>
            </w:r>
            <w:r>
              <w:rPr>
                <w:sz w:val="22"/>
              </w:rPr>
              <w:t>subset,</w:t>
            </w:r>
            <w:r>
              <w:rPr>
                <w:spacing w:val="-12"/>
                <w:sz w:val="22"/>
              </w:rPr>
              <w:t> </w:t>
            </w:r>
            <w:r>
              <w:rPr>
                <w:sz w:val="22"/>
              </w:rPr>
              <w:t>disclosed;</w:t>
            </w:r>
            <w:r>
              <w:rPr>
                <w:spacing w:val="-11"/>
                <w:sz w:val="22"/>
              </w:rPr>
              <w:t> </w:t>
            </w:r>
            <w:r>
              <w:rPr>
                <w:sz w:val="22"/>
              </w:rPr>
              <w:t>outside contribution claim)</w:t>
            </w:r>
          </w:p>
        </w:tc>
      </w:tr>
      <w:tr>
        <w:trPr>
          <w:trHeight w:val="1440" w:hRule="atLeast"/>
        </w:trPr>
        <w:tc>
          <w:tcPr>
            <w:tcW w:w="2226" w:type="dxa"/>
          </w:tcPr>
          <w:p>
            <w:pPr>
              <w:pStyle w:val="TableParagraph"/>
              <w:spacing w:before="176"/>
              <w:ind w:left="0"/>
              <w:rPr>
                <w:b/>
                <w:sz w:val="22"/>
              </w:rPr>
            </w:pPr>
          </w:p>
          <w:p>
            <w:pPr>
              <w:pStyle w:val="TableParagraph"/>
              <w:spacing w:line="276" w:lineRule="auto"/>
              <w:rPr>
                <w:sz w:val="22"/>
              </w:rPr>
            </w:pPr>
            <w:r>
              <w:rPr>
                <w:sz w:val="22"/>
              </w:rPr>
              <w:t>Exact outflow magnitude</w:t>
            </w:r>
            <w:r>
              <w:rPr>
                <w:spacing w:val="-14"/>
                <w:sz w:val="22"/>
              </w:rPr>
              <w:t> </w:t>
            </w:r>
            <w:r>
              <w:rPr>
                <w:sz w:val="22"/>
              </w:rPr>
              <w:t>forecasting</w:t>
            </w:r>
          </w:p>
        </w:tc>
        <w:tc>
          <w:tcPr>
            <w:tcW w:w="1818" w:type="dxa"/>
          </w:tcPr>
          <w:p>
            <w:pPr>
              <w:pStyle w:val="TableParagraph"/>
              <w:ind w:left="0"/>
              <w:rPr>
                <w:b/>
                <w:sz w:val="22"/>
              </w:rPr>
            </w:pPr>
          </w:p>
          <w:p>
            <w:pPr>
              <w:pStyle w:val="TableParagraph"/>
              <w:spacing w:before="70"/>
              <w:ind w:left="0"/>
              <w:rPr>
                <w:b/>
                <w:sz w:val="22"/>
              </w:rPr>
            </w:pPr>
          </w:p>
          <w:p>
            <w:pPr>
              <w:pStyle w:val="TableParagraph"/>
              <w:ind w:left="0" w:right="583"/>
              <w:jc w:val="right"/>
              <w:rPr>
                <w:sz w:val="22"/>
              </w:rPr>
            </w:pPr>
            <w:r>
              <w:rPr>
                <w:sz w:val="22"/>
              </w:rPr>
              <w:t>Not in</w:t>
            </w:r>
            <w:r>
              <w:rPr>
                <w:spacing w:val="-3"/>
                <w:sz w:val="22"/>
              </w:rPr>
              <w:t> </w:t>
            </w:r>
            <w:r>
              <w:rPr>
                <w:spacing w:val="-2"/>
                <w:sz w:val="22"/>
              </w:rPr>
              <w:t>scope</w:t>
            </w:r>
          </w:p>
        </w:tc>
        <w:tc>
          <w:tcPr>
            <w:tcW w:w="4243" w:type="dxa"/>
          </w:tcPr>
          <w:p>
            <w:pPr>
              <w:pStyle w:val="TableParagraph"/>
              <w:spacing w:line="276" w:lineRule="auto"/>
              <w:rPr>
                <w:sz w:val="22"/>
              </w:rPr>
            </w:pPr>
            <w:r>
              <w:rPr>
                <w:sz w:val="22"/>
              </w:rPr>
              <w:t>LOO R²_platform-subset=−0.08 (n=26 classification split, disclosed). This is a </w:t>
            </w:r>
            <w:r>
              <w:rPr>
                <w:spacing w:val="-2"/>
                <w:sz w:val="22"/>
              </w:rPr>
              <w:t>separate</w:t>
            </w:r>
            <w:r>
              <w:rPr>
                <w:spacing w:val="-8"/>
                <w:sz w:val="22"/>
              </w:rPr>
              <w:t> </w:t>
            </w:r>
            <w:r>
              <w:rPr>
                <w:spacing w:val="-2"/>
                <w:sz w:val="22"/>
              </w:rPr>
              <w:t>metric</w:t>
            </w:r>
            <w:r>
              <w:rPr>
                <w:spacing w:val="-8"/>
                <w:sz w:val="22"/>
              </w:rPr>
              <w:t> </w:t>
            </w:r>
            <w:r>
              <w:rPr>
                <w:spacing w:val="-2"/>
                <w:sz w:val="22"/>
              </w:rPr>
              <w:t>from</w:t>
            </w:r>
            <w:r>
              <w:rPr>
                <w:spacing w:val="-11"/>
                <w:sz w:val="22"/>
              </w:rPr>
              <w:t> </w:t>
            </w:r>
            <w:r>
              <w:rPr>
                <w:spacing w:val="-2"/>
                <w:sz w:val="22"/>
              </w:rPr>
              <w:t>LOO</w:t>
            </w:r>
            <w:r>
              <w:rPr>
                <w:spacing w:val="-11"/>
                <w:sz w:val="22"/>
              </w:rPr>
              <w:t> </w:t>
            </w:r>
            <w:r>
              <w:rPr>
                <w:spacing w:val="-2"/>
                <w:sz w:val="22"/>
              </w:rPr>
              <w:t>R²_full-panel=0.52 </w:t>
            </w:r>
            <w:r>
              <w:rPr>
                <w:sz w:val="22"/>
              </w:rPr>
              <w:t>(Table 7); the two use different samples and</w:t>
            </w:r>
          </w:p>
          <w:p>
            <w:pPr>
              <w:pStyle w:val="TableParagraph"/>
              <w:spacing w:line="252" w:lineRule="exact"/>
              <w:rPr>
                <w:sz w:val="22"/>
              </w:rPr>
            </w:pPr>
            <w:r>
              <w:rPr>
                <w:sz w:val="22"/>
              </w:rPr>
              <w:t>split</w:t>
            </w:r>
            <w:r>
              <w:rPr>
                <w:spacing w:val="-14"/>
                <w:sz w:val="22"/>
              </w:rPr>
              <w:t> </w:t>
            </w:r>
            <w:r>
              <w:rPr>
                <w:sz w:val="22"/>
              </w:rPr>
              <w:t>methods</w:t>
            </w:r>
            <w:r>
              <w:rPr>
                <w:spacing w:val="-9"/>
                <w:sz w:val="22"/>
              </w:rPr>
              <w:t> </w:t>
            </w:r>
            <w:r>
              <w:rPr>
                <w:sz w:val="22"/>
              </w:rPr>
              <w:t>and</w:t>
            </w:r>
            <w:r>
              <w:rPr>
                <w:spacing w:val="-14"/>
                <w:sz w:val="22"/>
              </w:rPr>
              <w:t> </w:t>
            </w:r>
            <w:r>
              <w:rPr>
                <w:sz w:val="22"/>
              </w:rPr>
              <w:t>are</w:t>
            </w:r>
            <w:r>
              <w:rPr>
                <w:spacing w:val="-11"/>
                <w:sz w:val="22"/>
              </w:rPr>
              <w:t> </w:t>
            </w:r>
            <w:r>
              <w:rPr>
                <w:sz w:val="22"/>
              </w:rPr>
              <w:t>not</w:t>
            </w:r>
            <w:r>
              <w:rPr>
                <w:spacing w:val="-13"/>
                <w:sz w:val="22"/>
              </w:rPr>
              <w:t> </w:t>
            </w:r>
            <w:r>
              <w:rPr>
                <w:spacing w:val="-2"/>
                <w:sz w:val="22"/>
              </w:rPr>
              <w:t>comparable</w:t>
            </w:r>
          </w:p>
        </w:tc>
      </w:tr>
      <w:tr>
        <w:trPr>
          <w:trHeight w:val="572" w:hRule="atLeast"/>
        </w:trPr>
        <w:tc>
          <w:tcPr>
            <w:tcW w:w="2226" w:type="dxa"/>
          </w:tcPr>
          <w:p>
            <w:pPr>
              <w:pStyle w:val="TableParagraph"/>
              <w:spacing w:line="249" w:lineRule="exact"/>
              <w:rPr>
                <w:sz w:val="22"/>
              </w:rPr>
            </w:pPr>
            <w:r>
              <w:rPr>
                <w:spacing w:val="-8"/>
                <w:sz w:val="22"/>
              </w:rPr>
              <w:t>CBDC-</w:t>
            </w:r>
            <w:r>
              <w:rPr>
                <w:spacing w:val="-2"/>
                <w:sz w:val="22"/>
              </w:rPr>
              <w:t>specific</w:t>
            </w:r>
          </w:p>
          <w:p>
            <w:pPr>
              <w:pStyle w:val="TableParagraph"/>
              <w:spacing w:before="37"/>
              <w:rPr>
                <w:sz w:val="22"/>
              </w:rPr>
            </w:pPr>
            <w:r>
              <w:rPr>
                <w:spacing w:val="-6"/>
                <w:sz w:val="22"/>
              </w:rPr>
              <w:t>parameter</w:t>
            </w:r>
            <w:r>
              <w:rPr>
                <w:spacing w:val="2"/>
                <w:sz w:val="22"/>
              </w:rPr>
              <w:t> </w:t>
            </w:r>
            <w:r>
              <w:rPr>
                <w:spacing w:val="-2"/>
                <w:sz w:val="22"/>
              </w:rPr>
              <w:t>identification</w:t>
            </w:r>
          </w:p>
        </w:tc>
        <w:tc>
          <w:tcPr>
            <w:tcW w:w="1818" w:type="dxa"/>
          </w:tcPr>
          <w:p>
            <w:pPr>
              <w:pStyle w:val="TableParagraph"/>
              <w:spacing w:before="142"/>
              <w:ind w:left="0" w:right="583"/>
              <w:jc w:val="right"/>
              <w:rPr>
                <w:sz w:val="22"/>
              </w:rPr>
            </w:pPr>
            <w:r>
              <w:rPr>
                <w:sz w:val="22"/>
              </w:rPr>
              <w:t>Not in</w:t>
            </w:r>
            <w:r>
              <w:rPr>
                <w:spacing w:val="-3"/>
                <w:sz w:val="22"/>
              </w:rPr>
              <w:t> </w:t>
            </w:r>
            <w:r>
              <w:rPr>
                <w:spacing w:val="-2"/>
                <w:sz w:val="22"/>
              </w:rPr>
              <w:t>scope</w:t>
            </w:r>
          </w:p>
        </w:tc>
        <w:tc>
          <w:tcPr>
            <w:tcW w:w="4243" w:type="dxa"/>
          </w:tcPr>
          <w:p>
            <w:pPr>
              <w:pStyle w:val="TableParagraph"/>
              <w:spacing w:line="249" w:lineRule="exact"/>
              <w:rPr>
                <w:sz w:val="22"/>
              </w:rPr>
            </w:pPr>
            <w:r>
              <w:rPr>
                <w:sz w:val="22"/>
              </w:rPr>
              <w:t>Literature-bounded;</w:t>
            </w:r>
            <w:r>
              <w:rPr>
                <w:spacing w:val="-14"/>
                <w:sz w:val="22"/>
              </w:rPr>
              <w:t> </w:t>
            </w:r>
            <w:r>
              <w:rPr>
                <w:sz w:val="22"/>
              </w:rPr>
              <w:t>sensitivity-tested</w:t>
            </w:r>
            <w:r>
              <w:rPr>
                <w:spacing w:val="-13"/>
                <w:sz w:val="22"/>
              </w:rPr>
              <w:t> </w:t>
            </w:r>
            <w:r>
              <w:rPr>
                <w:spacing w:val="-2"/>
                <w:sz w:val="22"/>
              </w:rPr>
              <w:t>(Table</w:t>
            </w:r>
          </w:p>
          <w:p>
            <w:pPr>
              <w:pStyle w:val="TableParagraph"/>
              <w:spacing w:before="37"/>
              <w:rPr>
                <w:sz w:val="22"/>
              </w:rPr>
            </w:pPr>
            <w:r>
              <w:rPr>
                <w:sz w:val="22"/>
              </w:rPr>
              <w:t>3,</w:t>
            </w:r>
            <w:r>
              <w:rPr>
                <w:spacing w:val="52"/>
                <w:sz w:val="22"/>
              </w:rPr>
              <w:t> </w:t>
            </w:r>
            <w:r>
              <w:rPr>
                <w:spacing w:val="-2"/>
                <w:sz w:val="22"/>
              </w:rPr>
              <w:t>§5.6)</w:t>
            </w:r>
          </w:p>
        </w:tc>
      </w:tr>
    </w:tbl>
    <w:p>
      <w:pPr>
        <w:spacing w:before="0"/>
        <w:ind w:left="99" w:right="322" w:firstLine="0"/>
        <w:jc w:val="both"/>
        <w:rPr>
          <w:i/>
          <w:sz w:val="24"/>
        </w:rPr>
      </w:pPr>
      <w:r>
        <w:rPr>
          <w:i/>
          <w:sz w:val="24"/>
        </w:rPr>
        <w:t>Notes: This paper is a calibration-supported policy-simulation framework, not an</w:t>
      </w:r>
      <w:r>
        <w:rPr>
          <w:i/>
          <w:sz w:val="24"/>
        </w:rPr>
        <w:t> early-warning or forecasting model. Weak AUC/LOO metrics are scope diagnostics, not failures of the paper’s stated contribution.</w:t>
      </w:r>
    </w:p>
    <w:p>
      <w:pPr>
        <w:spacing w:after="0"/>
        <w:jc w:val="both"/>
        <w:rPr>
          <w:i/>
          <w:sz w:val="24"/>
        </w:rPr>
        <w:sectPr>
          <w:pgSz w:w="11900" w:h="16820"/>
          <w:pgMar w:header="714" w:footer="0" w:top="1340" w:bottom="280" w:left="1700" w:right="1417"/>
        </w:sectPr>
      </w:pPr>
    </w:p>
    <w:p>
      <w:pPr>
        <w:pStyle w:val="BodyText"/>
        <w:spacing w:before="43"/>
        <w:ind w:left="0"/>
        <w:rPr>
          <w:i/>
        </w:rPr>
      </w:pPr>
    </w:p>
    <w:p>
      <w:pPr>
        <w:pStyle w:val="Heading2"/>
        <w:numPr>
          <w:ilvl w:val="1"/>
          <w:numId w:val="1"/>
        </w:numPr>
        <w:tabs>
          <w:tab w:pos="457" w:val="left" w:leader="none"/>
        </w:tabs>
        <w:spacing w:line="240" w:lineRule="auto" w:before="0" w:after="0"/>
        <w:ind w:left="457" w:right="0" w:hanging="358"/>
        <w:jc w:val="left"/>
        <w:rPr>
          <w:i/>
        </w:rPr>
      </w:pPr>
      <w:r>
        <w:rPr>
          <w:i/>
        </w:rPr>
        <w:t>Design</w:t>
      </w:r>
      <w:r>
        <w:rPr>
          <w:i/>
          <w:spacing w:val="-12"/>
        </w:rPr>
        <w:t> </w:t>
      </w:r>
      <w:r>
        <w:rPr>
          <w:i/>
        </w:rPr>
        <w:t>Ranking</w:t>
      </w:r>
      <w:r>
        <w:rPr>
          <w:i/>
          <w:spacing w:val="-12"/>
        </w:rPr>
        <w:t> </w:t>
      </w:r>
      <w:r>
        <w:rPr>
          <w:i/>
          <w:spacing w:val="-2"/>
        </w:rPr>
        <w:t>Robustness</w:t>
      </w:r>
    </w:p>
    <w:p>
      <w:pPr>
        <w:pStyle w:val="BodyText"/>
        <w:tabs>
          <w:tab w:pos="1818" w:val="left" w:leader="none"/>
          <w:tab w:pos="2080" w:val="left" w:leader="none"/>
          <w:tab w:pos="2891" w:val="left" w:leader="none"/>
          <w:tab w:pos="3313" w:val="left" w:leader="none"/>
          <w:tab w:pos="3828" w:val="left" w:leader="none"/>
          <w:tab w:pos="4267" w:val="left" w:leader="none"/>
          <w:tab w:pos="4546" w:val="left" w:leader="none"/>
          <w:tab w:pos="5388" w:val="left" w:leader="none"/>
          <w:tab w:pos="5769" w:val="left" w:leader="none"/>
          <w:tab w:pos="5843" w:val="left" w:leader="none"/>
          <w:tab w:pos="6640" w:val="left" w:leader="none"/>
          <w:tab w:pos="7542" w:val="left" w:leader="none"/>
          <w:tab w:pos="8026" w:val="left" w:leader="none"/>
        </w:tabs>
        <w:spacing w:line="552" w:lineRule="exact" w:before="139"/>
        <w:ind w:right="122"/>
      </w:pPr>
      <w:r>
        <w:rPr/>
        <w:t>Within-CBDC</w:t>
      </w:r>
      <w:r>
        <w:rPr>
          <w:spacing w:val="80"/>
        </w:rPr>
        <w:t> </w:t>
      </w:r>
      <w:r>
        <w:rPr/>
        <w:t>ranking</w:t>
      </w:r>
      <w:r>
        <w:rPr>
          <w:spacing w:val="80"/>
        </w:rPr>
        <w:t> </w:t>
      </w:r>
      <w:r>
        <w:rPr/>
        <w:t>(DynCap+Tiered</w:t>
      </w:r>
      <w:r>
        <w:rPr>
          <w:spacing w:val="80"/>
          <w:w w:val="150"/>
        </w:rPr>
        <w:t> </w:t>
      </w:r>
      <w:r>
        <w:rPr>
          <w:rFonts w:ascii="Lucida Sans Unicode" w:hAnsi="Lucida Sans Unicode"/>
        </w:rPr>
        <w:t>≻</w:t>
      </w:r>
      <w:r>
        <w:rPr>
          <w:rFonts w:ascii="Lucida Sans Unicode" w:hAnsi="Lucida Sans Unicode"/>
          <w:spacing w:val="80"/>
          <w:w w:val="150"/>
        </w:rPr>
        <w:t> </w:t>
      </w:r>
      <w:r>
        <w:rPr/>
        <w:t>Fixed</w:t>
      </w:r>
      <w:r>
        <w:rPr>
          <w:spacing w:val="80"/>
        </w:rPr>
        <w:t> </w:t>
      </w:r>
      <w:r>
        <w:rPr/>
        <w:t>Limit</w:t>
      </w:r>
      <w:r>
        <w:rPr>
          <w:spacing w:val="80"/>
          <w:w w:val="150"/>
        </w:rPr>
        <w:t> </w:t>
      </w:r>
      <w:r>
        <w:rPr>
          <w:rFonts w:ascii="Lucida Sans Unicode" w:hAnsi="Lucida Sans Unicode"/>
        </w:rPr>
        <w:t>≻</w:t>
      </w:r>
      <w:r>
        <w:rPr>
          <w:rFonts w:ascii="Lucida Sans Unicode" w:hAnsi="Lucida Sans Unicode"/>
          <w:spacing w:val="80"/>
          <w:w w:val="150"/>
        </w:rPr>
        <w:t> </w:t>
      </w:r>
      <w:r>
        <w:rPr/>
        <w:t>Unconstrained)</w:t>
      </w:r>
      <w:r>
        <w:rPr>
          <w:spacing w:val="80"/>
        </w:rPr>
        <w:t> </w:t>
      </w:r>
      <w:r>
        <w:rPr/>
        <w:t>is robust to: (i) 60 bootstrap refits (Spearman ρ = 1.00 across all refits; ordinal ranking unchanged</w:t>
      </w:r>
      <w:r>
        <w:rPr>
          <w:spacing w:val="40"/>
        </w:rPr>
        <w:t> </w:t>
      </w:r>
      <w:r>
        <w:rPr/>
        <w:t>in</w:t>
      </w:r>
      <w:r>
        <w:rPr>
          <w:spacing w:val="40"/>
        </w:rPr>
        <w:t> </w:t>
      </w:r>
      <w:r>
        <w:rPr/>
        <w:t>all</w:t>
      </w:r>
      <w:r>
        <w:rPr>
          <w:spacing w:val="40"/>
        </w:rPr>
        <w:t> </w:t>
      </w:r>
      <w:r>
        <w:rPr/>
        <w:t>60</w:t>
      </w:r>
      <w:r>
        <w:rPr>
          <w:spacing w:val="40"/>
        </w:rPr>
        <w:t> </w:t>
      </w:r>
      <w:r>
        <w:rPr/>
        <w:t>draws);</w:t>
      </w:r>
      <w:r>
        <w:rPr>
          <w:spacing w:val="40"/>
        </w:rPr>
        <w:t> </w:t>
      </w:r>
      <w:r>
        <w:rPr/>
        <w:t>(ii)</w:t>
      </w:r>
      <w:r>
        <w:rPr>
          <w:spacing w:val="40"/>
        </w:rPr>
        <w:t> </w:t>
      </w:r>
      <w:r>
        <w:rPr/>
        <w:t>27-combination</w:t>
      </w:r>
      <w:r>
        <w:rPr>
          <w:spacing w:val="40"/>
        </w:rPr>
        <w:t> </w:t>
      </w:r>
      <w:r>
        <w:rPr/>
        <w:t>factorial</w:t>
      </w:r>
      <w:r>
        <w:rPr>
          <w:spacing w:val="40"/>
        </w:rPr>
        <w:t> </w:t>
      </w:r>
      <w:r>
        <w:rPr/>
        <w:t>parameter</w:t>
      </w:r>
      <w:r>
        <w:rPr>
          <w:spacing w:val="40"/>
        </w:rPr>
        <w:t> </w:t>
      </w:r>
      <w:r>
        <w:rPr/>
        <w:t>perturbation </w:t>
      </w:r>
      <w:r>
        <w:rPr>
          <w:spacing w:val="-2"/>
        </w:rPr>
        <w:t>(concentration</w:t>
      </w:r>
      <w:r>
        <w:rPr/>
        <w:tab/>
      </w:r>
      <w:r>
        <w:rPr>
          <w:spacing w:val="-2"/>
        </w:rPr>
        <w:t>×0.8/1.0/1.2,</w:t>
      </w:r>
      <w:r>
        <w:rPr/>
        <w:tab/>
      </w:r>
      <w:r>
        <w:rPr>
          <w:spacing w:val="-54"/>
        </w:rPr>
        <w:t> </w:t>
      </w:r>
      <w:r>
        <w:rPr>
          <w:spacing w:val="-2"/>
        </w:rPr>
        <w:t>digital</w:t>
      </w:r>
      <w:r>
        <w:rPr/>
        <w:tab/>
      </w:r>
      <w:r>
        <w:rPr>
          <w:spacing w:val="-2"/>
        </w:rPr>
        <w:t>×0.8/1.0/1.2,</w:t>
      </w:r>
      <w:r>
        <w:rPr/>
        <w:tab/>
      </w:r>
      <w:r>
        <w:rPr>
          <w:spacing w:val="-2"/>
        </w:rPr>
        <w:t>shock</w:t>
      </w:r>
      <w:r>
        <w:rPr/>
        <w:tab/>
      </w:r>
      <w:r>
        <w:rPr>
          <w:spacing w:val="-37"/>
        </w:rPr>
        <w:t> </w:t>
      </w:r>
      <w:r>
        <w:rPr>
          <w:rFonts w:ascii="Lucida Sans Unicode" w:hAnsi="Lucida Sans Unicode"/>
        </w:rPr>
        <w:t>∈</w:t>
      </w:r>
      <w:r>
        <w:rPr/>
        <w:t>{0.60,0.75,0.90}): DynCap</w:t>
      </w:r>
      <w:r>
        <w:rPr>
          <w:spacing w:val="80"/>
        </w:rPr>
        <w:t> </w:t>
      </w:r>
      <w:r>
        <w:rPr/>
        <w:t>is</w:t>
      </w:r>
      <w:r>
        <w:rPr>
          <w:spacing w:val="80"/>
        </w:rPr>
        <w:t> </w:t>
      </w:r>
      <w:r>
        <w:rPr/>
        <w:t>strictly</w:t>
      </w:r>
      <w:r>
        <w:rPr>
          <w:spacing w:val="80"/>
        </w:rPr>
        <w:t> </w:t>
      </w:r>
      <w:r>
        <w:rPr/>
        <w:t>Pareto-dominant</w:t>
      </w:r>
      <w:r>
        <w:rPr>
          <w:spacing w:val="80"/>
        </w:rPr>
        <w:t> </w:t>
      </w:r>
      <w:r>
        <w:rPr/>
        <w:t>in</w:t>
      </w:r>
      <w:r>
        <w:rPr>
          <w:spacing w:val="80"/>
        </w:rPr>
        <w:t> </w:t>
      </w:r>
      <w:r>
        <w:rPr/>
        <w:t>all</w:t>
      </w:r>
      <w:r>
        <w:rPr>
          <w:spacing w:val="80"/>
        </w:rPr>
        <w:t> </w:t>
      </w:r>
      <w:r>
        <w:rPr/>
        <w:t>27</w:t>
      </w:r>
      <w:r>
        <w:rPr>
          <w:spacing w:val="80"/>
        </w:rPr>
        <w:t> </w:t>
      </w:r>
      <w:r>
        <w:rPr/>
        <w:t>combinations</w:t>
      </w:r>
      <w:r>
        <w:rPr>
          <w:spacing w:val="80"/>
        </w:rPr>
        <w:t> </w:t>
      </w:r>
      <w:r>
        <w:rPr/>
        <w:t>(Table</w:t>
      </w:r>
      <w:r>
        <w:rPr>
          <w:spacing w:val="80"/>
        </w:rPr>
        <w:t> </w:t>
      </w:r>
      <w:r>
        <w:rPr/>
        <w:t>F3);</w:t>
      </w:r>
      <w:r>
        <w:rPr>
          <w:spacing w:val="80"/>
        </w:rPr>
        <w:t> </w:t>
      </w:r>
      <w:r>
        <w:rPr/>
        <w:t>(ii-a)</w:t>
      </w:r>
      <w:r>
        <w:rPr>
          <w:spacing w:val="80"/>
        </w:rPr>
        <w:t> </w:t>
      </w:r>
      <w:r>
        <w:rPr/>
        <w:t>a </w:t>
      </w:r>
      <w:r>
        <w:rPr>
          <w:spacing w:val="-2"/>
        </w:rPr>
        <w:t>widened-envelope</w:t>
      </w:r>
      <w:r>
        <w:rPr/>
        <w:tab/>
      </w:r>
      <w:r>
        <w:rPr>
          <w:spacing w:val="-2"/>
        </w:rPr>
        <w:t>re-run</w:t>
      </w:r>
      <w:r>
        <w:rPr/>
        <w:tab/>
      </w:r>
      <w:r>
        <w:rPr>
          <w:spacing w:val="-6"/>
        </w:rPr>
        <w:t>of</w:t>
      </w:r>
      <w:r>
        <w:rPr/>
        <w:tab/>
      </w:r>
      <w:r>
        <w:rPr>
          <w:spacing w:val="-4"/>
        </w:rPr>
        <w:t>the</w:t>
      </w:r>
      <w:r>
        <w:rPr/>
        <w:tab/>
      </w:r>
      <w:r>
        <w:rPr>
          <w:spacing w:val="-4"/>
        </w:rPr>
        <w:t>same</w:t>
      </w:r>
      <w:r>
        <w:rPr/>
        <w:tab/>
      </w:r>
      <w:r>
        <w:rPr>
          <w:spacing w:val="-2"/>
        </w:rPr>
        <w:t>check,</w:t>
      </w:r>
      <w:r>
        <w:rPr/>
        <w:tab/>
      </w:r>
      <w:r>
        <w:rPr>
          <w:spacing w:val="-6"/>
        </w:rPr>
        <w:t>at</w:t>
      </w:r>
      <w:r>
        <w:rPr/>
        <w:tab/>
        <w:tab/>
      </w:r>
      <w:r>
        <w:rPr>
          <w:spacing w:val="-4"/>
        </w:rPr>
        <w:t>±40%</w:t>
      </w:r>
      <w:r>
        <w:rPr/>
        <w:tab/>
      </w:r>
      <w:r>
        <w:rPr>
          <w:spacing w:val="-2"/>
        </w:rPr>
        <w:t>instead</w:t>
      </w:r>
      <w:r>
        <w:rPr/>
        <w:tab/>
      </w:r>
      <w:r>
        <w:rPr>
          <w:spacing w:val="-6"/>
        </w:rPr>
        <w:t>of</w:t>
      </w:r>
      <w:r>
        <w:rPr/>
        <w:tab/>
      </w:r>
      <w:r>
        <w:rPr>
          <w:spacing w:val="-4"/>
        </w:rPr>
        <w:t>±20% </w:t>
      </w:r>
      <w:r>
        <w:rPr/>
        <w:t>(concentration,</w:t>
      </w:r>
      <w:r>
        <w:rPr>
          <w:spacing w:val="40"/>
        </w:rPr>
        <w:t> </w:t>
      </w:r>
      <w:r>
        <w:rPr/>
        <w:t>digital,</w:t>
      </w:r>
      <w:r>
        <w:rPr>
          <w:spacing w:val="40"/>
        </w:rPr>
        <w:t> </w:t>
      </w:r>
      <w:r>
        <w:rPr/>
        <w:t>and</w:t>
      </w:r>
      <w:r>
        <w:rPr>
          <w:spacing w:val="40"/>
        </w:rPr>
        <w:t> </w:t>
      </w:r>
      <w:r>
        <w:rPr/>
        <w:t>shock</w:t>
      </w:r>
      <w:r>
        <w:rPr>
          <w:spacing w:val="40"/>
        </w:rPr>
        <w:t> </w:t>
      </w:r>
      <w:r>
        <w:rPr/>
        <w:t>each</w:t>
      </w:r>
      <w:r>
        <w:rPr>
          <w:spacing w:val="80"/>
        </w:rPr>
        <w:t> </w:t>
      </w:r>
      <w:r>
        <w:rPr/>
        <w:t>×0.6/1.0/1.4,</w:t>
      </w:r>
      <w:r>
        <w:rPr>
          <w:spacing w:val="40"/>
        </w:rPr>
        <w:t> </w:t>
      </w:r>
      <w:r>
        <w:rPr/>
        <w:t>clipped</w:t>
      </w:r>
      <w:r>
        <w:rPr>
          <w:spacing w:val="40"/>
        </w:rPr>
        <w:t> </w:t>
      </w:r>
      <w:r>
        <w:rPr/>
        <w:t>to</w:t>
      </w:r>
      <w:r>
        <w:rPr>
          <w:spacing w:val="40"/>
        </w:rPr>
        <w:t> </w:t>
      </w:r>
      <w:r>
        <w:rPr/>
        <w:t>[0,</w:t>
      </w:r>
      <w:r>
        <w:rPr>
          <w:spacing w:val="40"/>
        </w:rPr>
        <w:t> </w:t>
      </w:r>
      <w:r>
        <w:rPr/>
        <w:t>1]</w:t>
      </w:r>
      <w:r>
        <w:rPr>
          <w:spacing w:val="40"/>
        </w:rPr>
        <w:t> </w:t>
      </w:r>
      <w:r>
        <w:rPr/>
        <w:t>where</w:t>
      </w:r>
      <w:r>
        <w:rPr>
          <w:spacing w:val="40"/>
        </w:rPr>
        <w:t> </w:t>
      </w:r>
      <w:r>
        <w:rPr/>
        <w:t>this would</w:t>
      </w:r>
      <w:r>
        <w:rPr>
          <w:spacing w:val="32"/>
        </w:rPr>
        <w:t> </w:t>
      </w:r>
      <w:r>
        <w:rPr/>
        <w:t>otherwise</w:t>
      </w:r>
      <w:r>
        <w:rPr>
          <w:spacing w:val="33"/>
        </w:rPr>
        <w:t> </w:t>
      </w:r>
      <w:r>
        <w:rPr/>
        <w:t>exceed</w:t>
      </w:r>
      <w:r>
        <w:rPr>
          <w:spacing w:val="31"/>
        </w:rPr>
        <w:t> </w:t>
      </w:r>
      <w:r>
        <w:rPr/>
        <w:t>the</w:t>
      </w:r>
      <w:r>
        <w:rPr>
          <w:spacing w:val="33"/>
        </w:rPr>
        <w:t> </w:t>
      </w:r>
      <w:r>
        <w:rPr/>
        <w:t>valid</w:t>
      </w:r>
      <w:r>
        <w:rPr>
          <w:spacing w:val="34"/>
        </w:rPr>
        <w:t> </w:t>
      </w:r>
      <w:r>
        <w:rPr/>
        <w:t>range</w:t>
      </w:r>
      <w:r>
        <w:rPr>
          <w:spacing w:val="80"/>
        </w:rPr>
        <w:t> </w:t>
      </w:r>
      <w:r>
        <w:rPr/>
        <w:t>—</w:t>
      </w:r>
      <w:r>
        <w:rPr>
          <w:spacing w:val="80"/>
        </w:rPr>
        <w:t> </w:t>
      </w:r>
      <w:r>
        <w:rPr/>
        <w:t>binding</w:t>
      </w:r>
      <w:r>
        <w:rPr>
          <w:spacing w:val="32"/>
        </w:rPr>
        <w:t> </w:t>
      </w:r>
      <w:r>
        <w:rPr/>
        <w:t>for</w:t>
      </w:r>
      <w:r>
        <w:rPr>
          <w:spacing w:val="31"/>
        </w:rPr>
        <w:t> </w:t>
      </w:r>
      <w:r>
        <w:rPr/>
        <w:t>digital</w:t>
      </w:r>
      <w:r>
        <w:rPr>
          <w:spacing w:val="32"/>
        </w:rPr>
        <w:t> </w:t>
      </w:r>
      <w:r>
        <w:rPr/>
        <w:t>adoption</w:t>
      </w:r>
      <w:r>
        <w:rPr>
          <w:spacing w:val="34"/>
        </w:rPr>
        <w:t> </w:t>
      </w:r>
      <w:r>
        <w:rPr/>
        <w:t>and,</w:t>
      </w:r>
      <w:r>
        <w:rPr>
          <w:spacing w:val="34"/>
        </w:rPr>
        <w:t> </w:t>
      </w:r>
      <w:r>
        <w:rPr/>
        <w:t>at</w:t>
      </w:r>
      <w:r>
        <w:rPr>
          <w:spacing w:val="32"/>
        </w:rPr>
        <w:t> </w:t>
      </w:r>
      <w:r>
        <w:rPr/>
        <w:t>the</w:t>
      </w:r>
    </w:p>
    <w:p>
      <w:pPr>
        <w:pStyle w:val="BodyText"/>
        <w:spacing w:line="480" w:lineRule="auto" w:before="216"/>
        <w:ind w:right="243"/>
      </w:pPr>
      <w:r>
        <w:rPr/>
        <w:t>upper end, for concentration and shock; N=80 per cell, same seed and engine version v6.0,</w:t>
      </w:r>
      <w:r>
        <w:rPr>
          <w:spacing w:val="40"/>
        </w:rPr>
        <w:t> </w:t>
      </w:r>
      <w:r>
        <w:rPr/>
        <w:t>executed</w:t>
      </w:r>
      <w:r>
        <w:rPr>
          <w:spacing w:val="40"/>
        </w:rPr>
        <w:t> </w:t>
      </w:r>
      <w:r>
        <w:rPr/>
        <w:t>directly</w:t>
      </w:r>
      <w:r>
        <w:rPr>
          <w:spacing w:val="40"/>
        </w:rPr>
        <w:t> </w:t>
      </w:r>
      <w:r>
        <w:rPr/>
        <w:t>against</w:t>
      </w:r>
      <w:r>
        <w:rPr>
          <w:spacing w:val="40"/>
        </w:rPr>
        <w:t> </w:t>
      </w:r>
      <w:r>
        <w:rPr/>
        <w:t>the</w:t>
      </w:r>
      <w:r>
        <w:rPr>
          <w:spacing w:val="40"/>
        </w:rPr>
        <w:t> </w:t>
      </w:r>
      <w:r>
        <w:rPr/>
        <w:t>shipped</w:t>
      </w:r>
      <w:r>
        <w:rPr>
          <w:spacing w:val="40"/>
        </w:rPr>
        <w:t> </w:t>
      </w:r>
      <w:r>
        <w:rPr/>
        <w:t>simulation</w:t>
      </w:r>
      <w:r>
        <w:rPr>
          <w:spacing w:val="40"/>
        </w:rPr>
        <w:t> </w:t>
      </w:r>
      <w:r>
        <w:rPr/>
        <w:t>engine</w:t>
      </w:r>
      <w:r>
        <w:rPr>
          <w:spacing w:val="40"/>
        </w:rPr>
        <w:t> </w:t>
      </w:r>
      <w:r>
        <w:rPr/>
        <w:t>rather</w:t>
      </w:r>
      <w:r>
        <w:rPr>
          <w:spacing w:val="40"/>
        </w:rPr>
        <w:t> </w:t>
      </w:r>
      <w:r>
        <w:rPr/>
        <w:t>than</w:t>
      </w:r>
      <w:r>
        <w:rPr>
          <w:spacing w:val="40"/>
        </w:rPr>
        <w:t> </w:t>
      </w:r>
      <w:r>
        <w:rPr/>
        <w:t>asserted): DynCap</w:t>
      </w:r>
      <w:r>
        <w:rPr>
          <w:spacing w:val="40"/>
        </w:rPr>
        <w:t> </w:t>
      </w:r>
      <w:r>
        <w:rPr/>
        <w:t>remains</w:t>
      </w:r>
      <w:r>
        <w:rPr>
          <w:spacing w:val="40"/>
        </w:rPr>
        <w:t> </w:t>
      </w:r>
      <w:r>
        <w:rPr/>
        <w:t>strictly</w:t>
      </w:r>
      <w:r>
        <w:rPr>
          <w:spacing w:val="40"/>
        </w:rPr>
        <w:t> </w:t>
      </w:r>
      <w:r>
        <w:rPr/>
        <w:t>Pareto-dominant</w:t>
      </w:r>
      <w:r>
        <w:rPr>
          <w:spacing w:val="40"/>
        </w:rPr>
        <w:t> </w:t>
      </w:r>
      <w:r>
        <w:rPr/>
        <w:t>in</w:t>
      </w:r>
      <w:r>
        <w:rPr>
          <w:spacing w:val="40"/>
        </w:rPr>
        <w:t> </w:t>
      </w:r>
      <w:r>
        <w:rPr/>
        <w:t>all</w:t>
      </w:r>
      <w:r>
        <w:rPr>
          <w:spacing w:val="40"/>
        </w:rPr>
        <w:t> </w:t>
      </w:r>
      <w:r>
        <w:rPr/>
        <w:t>27</w:t>
      </w:r>
      <w:r>
        <w:rPr>
          <w:spacing w:val="40"/>
        </w:rPr>
        <w:t> </w:t>
      </w:r>
      <w:r>
        <w:rPr/>
        <w:t>widened-envelope</w:t>
      </w:r>
      <w:r>
        <w:rPr>
          <w:spacing w:val="40"/>
        </w:rPr>
        <w:t> </w:t>
      </w:r>
      <w:r>
        <w:rPr/>
        <w:t>combinations (27/27, 100%; 0 reversals against either Unconstrained or Fixed Limit), identical in</w:t>
      </w:r>
      <w:r>
        <w:rPr>
          <w:spacing w:val="80"/>
        </w:rPr>
        <w:t> </w:t>
      </w:r>
      <w:r>
        <w:rPr/>
        <w:t>outcome to the</w:t>
      </w:r>
      <w:r>
        <w:rPr>
          <w:spacing w:val="40"/>
        </w:rPr>
        <w:t> </w:t>
      </w:r>
      <w:r>
        <w:rPr/>
        <w:t>±20% grid, which we also re-ran unchanged as an internal consistency check and confirmed reproduces 27/27 (100%) exactly as reported in Table F3; the</w:t>
      </w:r>
      <w:r>
        <w:rPr>
          <w:spacing w:val="80"/>
          <w:w w:val="150"/>
        </w:rPr>
        <w:t> </w:t>
      </w:r>
      <w:r>
        <w:rPr/>
        <w:t>ranking’s robustness to these three scenario inputs therefore extends at least to a</w:t>
      </w:r>
      <w:r>
        <w:rPr>
          <w:spacing w:val="40"/>
        </w:rPr>
        <w:t> </w:t>
      </w:r>
      <w:r>
        <w:rPr/>
        <w:t>±40% perturbation, not only</w:t>
      </w:r>
      <w:r>
        <w:rPr>
          <w:spacing w:val="80"/>
        </w:rPr>
        <w:t> </w:t>
      </w:r>
      <w:r>
        <w:rPr/>
        <w:t>±20%; (iii) 729 points of a</w:t>
      </w:r>
      <w:r>
        <w:rPr>
          <w:spacing w:val="80"/>
        </w:rPr>
        <w:t> </w:t>
      </w:r>
      <w:r>
        <w:rPr/>
        <w:t>±20% parameter perturbation grid;</w:t>
      </w:r>
    </w:p>
    <w:p>
      <w:pPr>
        <w:pStyle w:val="BodyText"/>
        <w:tabs>
          <w:tab w:pos="868" w:val="left" w:leader="none"/>
          <w:tab w:pos="1490" w:val="left" w:leader="none"/>
          <w:tab w:pos="2792" w:val="left" w:leader="none"/>
          <w:tab w:pos="3987" w:val="left" w:leader="none"/>
          <w:tab w:pos="4383" w:val="left" w:leader="none"/>
          <w:tab w:pos="4886" w:val="left" w:leader="none"/>
          <w:tab w:pos="5615" w:val="left" w:leader="none"/>
          <w:tab w:pos="7182" w:val="left" w:leader="none"/>
          <w:tab w:pos="8132" w:val="left" w:leader="none"/>
        </w:tabs>
        <w:spacing w:line="480" w:lineRule="auto"/>
        <w:ind w:right="302"/>
      </w:pPr>
      <w:r>
        <w:rPr/>
        <w:t>(iv)</w:t>
      </w:r>
      <w:r>
        <w:rPr>
          <w:spacing w:val="80"/>
        </w:rPr>
        <w:t> </w:t>
      </w:r>
      <w:r>
        <w:rPr/>
        <w:t>Sobol</w:t>
      </w:r>
      <w:r>
        <w:rPr>
          <w:spacing w:val="80"/>
        </w:rPr>
        <w:t> </w:t>
      </w:r>
      <w:r>
        <w:rPr/>
        <w:t>S_T=0.44</w:t>
      </w:r>
      <w:r>
        <w:rPr>
          <w:spacing w:val="80"/>
        </w:rPr>
        <w:t> </w:t>
      </w:r>
      <w:r>
        <w:rPr/>
        <w:t>for</w:t>
      </w:r>
      <w:r>
        <w:rPr>
          <w:spacing w:val="80"/>
        </w:rPr>
        <w:t> </w:t>
      </w:r>
      <w:r>
        <w:rPr/>
        <w:t>the</w:t>
      </w:r>
      <w:r>
        <w:rPr>
          <w:spacing w:val="80"/>
        </w:rPr>
        <w:t> </w:t>
      </w:r>
      <w:r>
        <w:rPr/>
        <w:t>holding</w:t>
      </w:r>
      <w:r>
        <w:rPr>
          <w:spacing w:val="80"/>
        </w:rPr>
        <w:t> </w:t>
      </w:r>
      <w:r>
        <w:rPr/>
        <w:t>limit</w:t>
      </w:r>
      <w:r>
        <w:rPr>
          <w:spacing w:val="80"/>
        </w:rPr>
        <w:t> </w:t>
      </w:r>
      <w:r>
        <w:rPr/>
        <w:t>cap;</w:t>
      </w:r>
      <w:r>
        <w:rPr>
          <w:spacing w:val="80"/>
        </w:rPr>
        <w:t> </w:t>
      </w:r>
      <w:r>
        <w:rPr/>
        <w:t>(v)</w:t>
      </w:r>
      <w:r>
        <w:rPr>
          <w:spacing w:val="80"/>
        </w:rPr>
        <w:t> </w:t>
      </w:r>
      <w:r>
        <w:rPr/>
        <w:t>both</w:t>
      </w:r>
      <w:r>
        <w:rPr>
          <w:spacing w:val="80"/>
        </w:rPr>
        <w:t> </w:t>
      </w:r>
      <w:r>
        <w:rPr/>
        <w:t>crisis</w:t>
      </w:r>
      <w:r>
        <w:rPr>
          <w:spacing w:val="80"/>
        </w:rPr>
        <w:t> </w:t>
      </w:r>
      <w:r>
        <w:rPr/>
        <w:t>regimes</w:t>
      </w:r>
      <w:r>
        <w:rPr>
          <w:spacing w:val="80"/>
        </w:rPr>
        <w:t> </w:t>
      </w:r>
      <w:r>
        <w:rPr/>
        <w:t>in</w:t>
      </w:r>
      <w:r>
        <w:rPr>
          <w:spacing w:val="80"/>
        </w:rPr>
        <w:t> </w:t>
      </w:r>
      <w:r>
        <w:rPr/>
        <w:t>the two-regime split (Table 2d), noting that sign consistency across regimes is directional </w:t>
      </w:r>
      <w:r>
        <w:rPr>
          <w:spacing w:val="-2"/>
        </w:rPr>
        <w:t>rather</w:t>
      </w:r>
      <w:r>
        <w:rPr/>
        <w:tab/>
      </w:r>
      <w:r>
        <w:rPr>
          <w:spacing w:val="-4"/>
        </w:rPr>
        <w:t>than</w:t>
      </w:r>
      <w:r>
        <w:rPr/>
        <w:tab/>
      </w:r>
      <w:r>
        <w:rPr>
          <w:spacing w:val="-2"/>
        </w:rPr>
        <w:t>statistically</w:t>
      </w:r>
      <w:r>
        <w:rPr/>
        <w:tab/>
      </w:r>
      <w:r>
        <w:rPr>
          <w:spacing w:val="-2"/>
        </w:rPr>
        <w:t>confirmed</w:t>
      </w:r>
      <w:r>
        <w:rPr/>
        <w:tab/>
      </w:r>
      <w:r>
        <w:rPr>
          <w:spacing w:val="-6"/>
        </w:rPr>
        <w:t>in</w:t>
      </w:r>
      <w:r>
        <w:rPr/>
        <w:tab/>
      </w:r>
      <w:r>
        <w:rPr>
          <w:spacing w:val="-4"/>
        </w:rPr>
        <w:t>the</w:t>
      </w:r>
      <w:r>
        <w:rPr/>
        <w:tab/>
      </w:r>
      <w:r>
        <w:rPr>
          <w:spacing w:val="-2"/>
        </w:rPr>
        <w:t>small</w:t>
      </w:r>
      <w:r>
        <w:rPr/>
        <w:tab/>
      </w:r>
      <w:r>
        <w:rPr>
          <w:spacing w:val="-2"/>
        </w:rPr>
        <w:t>digital-regime</w:t>
      </w:r>
      <w:r>
        <w:rPr/>
        <w:tab/>
      </w:r>
      <w:r>
        <w:rPr>
          <w:spacing w:val="-2"/>
        </w:rPr>
        <w:t>sample.</w:t>
      </w:r>
      <w:r>
        <w:rPr/>
        <w:tab/>
      </w:r>
      <w:r>
        <w:rPr>
          <w:spacing w:val="-4"/>
        </w:rPr>
        <w:t>(vi</w:t>
      </w:r>
      <w:r>
        <w:rPr>
          <w:spacing w:val="-4"/>
        </w:rPr>
        <w:t>)</w:t>
      </w:r>
      <w:r>
        <w:rPr>
          <w:spacing w:val="-4"/>
        </w:rPr>
        <w:t> </w:t>
      </w:r>
      <w:r>
        <w:rPr/>
        <w:t>digital-adoption</w:t>
      </w:r>
      <w:r>
        <w:rPr>
          <w:spacing w:val="80"/>
          <w:w w:val="150"/>
        </w:rPr>
        <w:t> </w:t>
      </w:r>
      <w:r>
        <w:rPr/>
        <w:t>level:</w:t>
      </w:r>
      <w:r>
        <w:rPr>
          <w:spacing w:val="80"/>
          <w:w w:val="150"/>
        </w:rPr>
        <w:t> </w:t>
      </w:r>
      <w:r>
        <w:rPr/>
        <w:t>because</w:t>
      </w:r>
      <w:r>
        <w:rPr>
          <w:spacing w:val="80"/>
          <w:w w:val="150"/>
        </w:rPr>
        <w:t> </w:t>
      </w:r>
      <w:r>
        <w:rPr/>
        <w:t>the</w:t>
      </w:r>
      <w:r>
        <w:rPr>
          <w:spacing w:val="80"/>
          <w:w w:val="150"/>
        </w:rPr>
        <w:t> </w:t>
      </w:r>
      <w:r>
        <w:rPr/>
        <w:t>simulation’s</w:t>
      </w:r>
      <w:r>
        <w:rPr>
          <w:spacing w:val="80"/>
          <w:w w:val="150"/>
        </w:rPr>
        <w:t> </w:t>
      </w:r>
      <w:r>
        <w:rPr/>
        <w:t>digital-adoption</w:t>
      </w:r>
      <w:r>
        <w:rPr>
          <w:spacing w:val="80"/>
          <w:w w:val="150"/>
        </w:rPr>
        <w:t> </w:t>
      </w:r>
      <w:r>
        <w:rPr/>
        <w:t>parameter</w:t>
      </w:r>
      <w:r>
        <w:rPr>
          <w:spacing w:val="80"/>
          <w:w w:val="150"/>
        </w:rPr>
        <w:t> </w:t>
      </w:r>
      <w:r>
        <w:rPr/>
        <w:t>is calibrated</w:t>
      </w:r>
      <w:r>
        <w:rPr>
          <w:spacing w:val="40"/>
        </w:rPr>
        <w:t> </w:t>
      </w:r>
      <w:r>
        <w:rPr/>
        <w:t>with</w:t>
      </w:r>
      <w:r>
        <w:rPr>
          <w:spacing w:val="40"/>
        </w:rPr>
        <w:t> </w:t>
      </w:r>
      <w:r>
        <w:rPr/>
        <w:t>reference</w:t>
      </w:r>
      <w:r>
        <w:rPr>
          <w:spacing w:val="40"/>
        </w:rPr>
        <w:t> </w:t>
      </w:r>
      <w:r>
        <w:rPr/>
        <w:t>to</w:t>
      </w:r>
      <w:r>
        <w:rPr>
          <w:spacing w:val="40"/>
        </w:rPr>
        <w:t> </w:t>
      </w:r>
      <w:r>
        <w:rPr/>
        <w:t>the</w:t>
      </w:r>
      <w:r>
        <w:rPr>
          <w:spacing w:val="40"/>
        </w:rPr>
        <w:t> </w:t>
      </w:r>
      <w:r>
        <w:rPr/>
        <w:t>panel’s</w:t>
      </w:r>
      <w:r>
        <w:rPr>
          <w:spacing w:val="40"/>
        </w:rPr>
        <w:t> </w:t>
      </w:r>
      <w:r>
        <w:rPr/>
        <w:t>positive-signed</w:t>
      </w:r>
      <w:r>
        <w:rPr>
          <w:spacing w:val="40"/>
        </w:rPr>
        <w:t> </w:t>
      </w:r>
      <w:r>
        <w:rPr/>
        <w:t>(though</w:t>
      </w:r>
      <w:r>
        <w:rPr>
          <w:spacing w:val="40"/>
        </w:rPr>
        <w:t> </w:t>
      </w:r>
      <w:r>
        <w:rPr/>
        <w:t>not</w:t>
      </w:r>
      <w:r>
        <w:rPr>
          <w:spacing w:val="40"/>
        </w:rPr>
        <w:t> </w:t>
      </w:r>
      <w:r>
        <w:rPr/>
        <w:t>independently significant) digital-adoption association, the design ranking is re-checked across low, mid, and</w:t>
      </w:r>
      <w:r>
        <w:rPr>
          <w:spacing w:val="21"/>
        </w:rPr>
        <w:t> </w:t>
      </w:r>
      <w:r>
        <w:rPr/>
        <w:t>high digital</w:t>
      </w:r>
      <w:r>
        <w:rPr>
          <w:spacing w:val="22"/>
        </w:rPr>
        <w:t> </w:t>
      </w:r>
      <w:r>
        <w:rPr/>
        <w:t>adoption</w:t>
      </w:r>
      <w:r>
        <w:rPr>
          <w:spacing w:val="21"/>
        </w:rPr>
        <w:t> </w:t>
      </w:r>
      <w:r>
        <w:rPr/>
        <w:t>(D</w:t>
      </w:r>
      <w:r>
        <w:rPr>
          <w:spacing w:val="20"/>
        </w:rPr>
        <w:t> </w:t>
      </w:r>
      <w:r>
        <w:rPr/>
        <w:t>=</w:t>
      </w:r>
      <w:r>
        <w:rPr>
          <w:spacing w:val="20"/>
        </w:rPr>
        <w:t> </w:t>
      </w:r>
      <w:r>
        <w:rPr/>
        <w:t>0.30,</w:t>
      </w:r>
      <w:r>
        <w:rPr>
          <w:spacing w:val="21"/>
        </w:rPr>
        <w:t> </w:t>
      </w:r>
      <w:r>
        <w:rPr/>
        <w:t>0.58, 0.92;</w:t>
      </w:r>
      <w:r>
        <w:rPr>
          <w:spacing w:val="22"/>
        </w:rPr>
        <w:t> </w:t>
      </w:r>
      <w:r>
        <w:rPr/>
        <w:t>Korea, shock=0.75,</w:t>
      </w:r>
      <w:r>
        <w:rPr>
          <w:spacing w:val="21"/>
        </w:rPr>
        <w:t> </w:t>
      </w:r>
      <w:r>
        <w:rPr/>
        <w:t>N=120</w:t>
      </w:r>
      <w:r>
        <w:rPr>
          <w:spacing w:val="21"/>
        </w:rPr>
        <w:t> </w:t>
      </w:r>
      <w:r>
        <w:rPr/>
        <w:t>per</w:t>
      </w:r>
    </w:p>
    <w:p>
      <w:pPr>
        <w:pStyle w:val="BodyText"/>
        <w:spacing w:line="328" w:lineRule="exact"/>
        <w:rPr>
          <w:rFonts w:ascii="Lucida Sans Unicode" w:hAnsi="Lucida Sans Unicode"/>
        </w:rPr>
      </w:pPr>
      <w:r>
        <w:rPr>
          <w:w w:val="105"/>
        </w:rPr>
        <w:t>cell).</w:t>
      </w:r>
      <w:r>
        <w:rPr>
          <w:spacing w:val="43"/>
          <w:w w:val="105"/>
        </w:rPr>
        <w:t> </w:t>
      </w:r>
      <w:r>
        <w:rPr>
          <w:w w:val="105"/>
        </w:rPr>
        <w:t>The</w:t>
      </w:r>
      <w:r>
        <w:rPr>
          <w:spacing w:val="43"/>
          <w:w w:val="105"/>
        </w:rPr>
        <w:t> </w:t>
      </w:r>
      <w:r>
        <w:rPr>
          <w:w w:val="105"/>
        </w:rPr>
        <w:t>ordinal</w:t>
      </w:r>
      <w:r>
        <w:rPr>
          <w:spacing w:val="44"/>
          <w:w w:val="105"/>
        </w:rPr>
        <w:t> </w:t>
      </w:r>
      <w:r>
        <w:rPr>
          <w:w w:val="105"/>
        </w:rPr>
        <w:t>ranking</w:t>
      </w:r>
      <w:r>
        <w:rPr>
          <w:spacing w:val="42"/>
          <w:w w:val="105"/>
        </w:rPr>
        <w:t> </w:t>
      </w:r>
      <w:r>
        <w:rPr>
          <w:w w:val="105"/>
        </w:rPr>
        <w:t>No</w:t>
      </w:r>
      <w:r>
        <w:rPr>
          <w:spacing w:val="43"/>
          <w:w w:val="105"/>
        </w:rPr>
        <w:t> </w:t>
      </w:r>
      <w:r>
        <w:rPr>
          <w:w w:val="105"/>
        </w:rPr>
        <w:t>CBDC</w:t>
      </w:r>
      <w:r>
        <w:rPr>
          <w:spacing w:val="67"/>
          <w:w w:val="150"/>
        </w:rPr>
        <w:t> </w:t>
      </w:r>
      <w:r>
        <w:rPr>
          <w:rFonts w:ascii="Lucida Sans Unicode" w:hAnsi="Lucida Sans Unicode"/>
          <w:w w:val="105"/>
        </w:rPr>
        <w:t>≺</w:t>
      </w:r>
      <w:r>
        <w:rPr>
          <w:rFonts w:ascii="Lucida Sans Unicode" w:hAnsi="Lucida Sans Unicode"/>
          <w:spacing w:val="76"/>
          <w:w w:val="105"/>
        </w:rPr>
        <w:t> </w:t>
      </w:r>
      <w:r>
        <w:rPr>
          <w:w w:val="105"/>
        </w:rPr>
        <w:t>DynCap+Tiered</w:t>
      </w:r>
      <w:r>
        <w:rPr>
          <w:spacing w:val="68"/>
          <w:w w:val="150"/>
        </w:rPr>
        <w:t> </w:t>
      </w:r>
      <w:r>
        <w:rPr>
          <w:rFonts w:ascii="Lucida Sans Unicode" w:hAnsi="Lucida Sans Unicode"/>
          <w:w w:val="105"/>
        </w:rPr>
        <w:t>≺</w:t>
      </w:r>
      <w:r>
        <w:rPr>
          <w:rFonts w:ascii="Lucida Sans Unicode" w:hAnsi="Lucida Sans Unicode"/>
          <w:spacing w:val="76"/>
          <w:w w:val="105"/>
        </w:rPr>
        <w:t> </w:t>
      </w:r>
      <w:r>
        <w:rPr>
          <w:w w:val="105"/>
        </w:rPr>
        <w:t>Fixed</w:t>
      </w:r>
      <w:r>
        <w:rPr>
          <w:spacing w:val="45"/>
          <w:w w:val="105"/>
        </w:rPr>
        <w:t> </w:t>
      </w:r>
      <w:r>
        <w:rPr>
          <w:w w:val="105"/>
        </w:rPr>
        <w:t>Limit</w:t>
      </w:r>
      <w:r>
        <w:rPr>
          <w:spacing w:val="69"/>
          <w:w w:val="150"/>
        </w:rPr>
        <w:t> </w:t>
      </w:r>
      <w:r>
        <w:rPr>
          <w:rFonts w:ascii="Lucida Sans Unicode" w:hAnsi="Lucida Sans Unicode"/>
          <w:spacing w:val="-10"/>
          <w:w w:val="105"/>
        </w:rPr>
        <w:t>≺</w:t>
      </w:r>
    </w:p>
    <w:p>
      <w:pPr>
        <w:pStyle w:val="BodyText"/>
        <w:spacing w:after="0" w:line="328" w:lineRule="exact"/>
        <w:rPr>
          <w:rFonts w:ascii="Lucida Sans Unicode" w:hAnsi="Lucida Sans Unicode"/>
        </w:rPr>
        <w:sectPr>
          <w:pgSz w:w="11900" w:h="16820"/>
          <w:pgMar w:header="714" w:footer="0" w:top="1340" w:bottom="280" w:left="1700" w:right="1417"/>
        </w:sectPr>
      </w:pPr>
    </w:p>
    <w:p>
      <w:pPr>
        <w:pStyle w:val="BodyText"/>
        <w:spacing w:line="480" w:lineRule="auto" w:before="79"/>
        <w:ind w:right="243"/>
      </w:pPr>
      <w:r>
        <w:rPr/>
        <w:t>Unconstrained</w:t>
      </w:r>
      <w:r>
        <w:rPr>
          <w:spacing w:val="80"/>
        </w:rPr>
        <w:t> </w:t>
      </w:r>
      <w:r>
        <w:rPr/>
        <w:t>is</w:t>
      </w:r>
      <w:r>
        <w:rPr>
          <w:spacing w:val="80"/>
        </w:rPr>
        <w:t> </w:t>
      </w:r>
      <w:r>
        <w:rPr/>
        <w:t>unchanged</w:t>
      </w:r>
      <w:r>
        <w:rPr>
          <w:spacing w:val="80"/>
        </w:rPr>
        <w:t> </w:t>
      </w:r>
      <w:r>
        <w:rPr/>
        <w:t>at</w:t>
      </w:r>
      <w:r>
        <w:rPr>
          <w:spacing w:val="80"/>
        </w:rPr>
        <w:t> </w:t>
      </w:r>
      <w:r>
        <w:rPr/>
        <w:t>every</w:t>
      </w:r>
      <w:r>
        <w:rPr>
          <w:spacing w:val="80"/>
        </w:rPr>
        <w:t> </w:t>
      </w:r>
      <w:r>
        <w:rPr/>
        <w:t>digital</w:t>
      </w:r>
      <w:r>
        <w:rPr>
          <w:spacing w:val="80"/>
        </w:rPr>
        <w:t> </w:t>
      </w:r>
      <w:r>
        <w:rPr/>
        <w:t>level</w:t>
      </w:r>
      <w:r>
        <w:rPr>
          <w:spacing w:val="80"/>
        </w:rPr>
        <w:t> </w:t>
      </w:r>
      <w:r>
        <w:rPr/>
        <w:t>(Table</w:t>
      </w:r>
      <w:r>
        <w:rPr>
          <w:spacing w:val="80"/>
        </w:rPr>
        <w:t> </w:t>
      </w:r>
      <w:r>
        <w:rPr/>
        <w:t>5c).</w:t>
      </w:r>
      <w:r>
        <w:rPr>
          <w:spacing w:val="80"/>
        </w:rPr>
        <w:t> </w:t>
      </w:r>
      <w:r>
        <w:rPr/>
        <w:t>Two</w:t>
      </w:r>
      <w:r>
        <w:rPr>
          <w:spacing w:val="80"/>
        </w:rPr>
        <w:t> </w:t>
      </w:r>
      <w:r>
        <w:rPr/>
        <w:t>substantive patterns</w:t>
      </w:r>
      <w:r>
        <w:rPr>
          <w:spacing w:val="40"/>
        </w:rPr>
        <w:t> </w:t>
      </w:r>
      <w:r>
        <w:rPr/>
        <w:t>emerge.</w:t>
      </w:r>
      <w:r>
        <w:rPr>
          <w:spacing w:val="40"/>
        </w:rPr>
        <w:t> </w:t>
      </w:r>
      <w:r>
        <w:rPr/>
        <w:t>First,</w:t>
      </w:r>
      <w:r>
        <w:rPr>
          <w:spacing w:val="40"/>
        </w:rPr>
        <w:t> </w:t>
      </w:r>
      <w:r>
        <w:rPr/>
        <w:t>higher</w:t>
      </w:r>
      <w:r>
        <w:rPr>
          <w:spacing w:val="40"/>
        </w:rPr>
        <w:t> </w:t>
      </w:r>
      <w:r>
        <w:rPr/>
        <w:t>digital</w:t>
      </w:r>
      <w:r>
        <w:rPr>
          <w:spacing w:val="40"/>
        </w:rPr>
        <w:t> </w:t>
      </w:r>
      <w:r>
        <w:rPr/>
        <w:t>adoption</w:t>
      </w:r>
      <w:r>
        <w:rPr>
          <w:spacing w:val="40"/>
        </w:rPr>
        <w:t> </w:t>
      </w:r>
      <w:r>
        <w:rPr/>
        <w:t>raises</w:t>
      </w:r>
      <w:r>
        <w:rPr>
          <w:spacing w:val="40"/>
        </w:rPr>
        <w:t> </w:t>
      </w:r>
      <w:r>
        <w:rPr/>
        <w:t>P(Fail)</w:t>
      </w:r>
      <w:r>
        <w:rPr>
          <w:spacing w:val="40"/>
        </w:rPr>
        <w:t> </w:t>
      </w:r>
      <w:r>
        <w:rPr/>
        <w:t>under</w:t>
      </w:r>
      <w:r>
        <w:rPr>
          <w:spacing w:val="40"/>
        </w:rPr>
        <w:t> </w:t>
      </w:r>
      <w:r>
        <w:rPr/>
        <w:t>every</w:t>
      </w:r>
      <w:r>
        <w:rPr>
          <w:spacing w:val="40"/>
        </w:rPr>
        <w:t> </w:t>
      </w:r>
      <w:r>
        <w:rPr/>
        <w:t>CBDC</w:t>
      </w:r>
      <w:r>
        <w:rPr>
          <w:spacing w:val="40"/>
        </w:rPr>
        <w:t> </w:t>
      </w:r>
      <w:r>
        <w:rPr/>
        <w:t>design</w:t>
      </w:r>
      <w:r>
        <w:rPr>
          <w:spacing w:val="80"/>
        </w:rPr>
        <w:t> </w:t>
      </w:r>
      <w:r>
        <w:rPr/>
        <w:t>in</w:t>
      </w:r>
      <w:r>
        <w:rPr>
          <w:spacing w:val="80"/>
        </w:rPr>
        <w:t> </w:t>
      </w:r>
      <w:r>
        <w:rPr/>
        <w:t>the</w:t>
      </w:r>
      <w:r>
        <w:rPr>
          <w:spacing w:val="80"/>
        </w:rPr>
        <w:t> </w:t>
      </w:r>
      <w:r>
        <w:rPr/>
        <w:t>simulation,</w:t>
      </w:r>
      <w:r>
        <w:rPr>
          <w:spacing w:val="80"/>
        </w:rPr>
        <w:t> </w:t>
      </w:r>
      <w:r>
        <w:rPr/>
        <w:t>matching</w:t>
      </w:r>
      <w:r>
        <w:rPr>
          <w:spacing w:val="80"/>
        </w:rPr>
        <w:t> </w:t>
      </w:r>
      <w:r>
        <w:rPr/>
        <w:t>the</w:t>
      </w:r>
      <w:r>
        <w:rPr>
          <w:spacing w:val="80"/>
        </w:rPr>
        <w:t> </w:t>
      </w:r>
      <w:r>
        <w:rPr/>
        <w:t>sign</w:t>
      </w:r>
      <w:r>
        <w:rPr>
          <w:spacing w:val="80"/>
        </w:rPr>
        <w:t> </w:t>
      </w:r>
      <w:r>
        <w:rPr/>
        <w:t>of</w:t>
      </w:r>
      <w:r>
        <w:rPr>
          <w:spacing w:val="80"/>
        </w:rPr>
        <w:t> </w:t>
      </w:r>
      <w:r>
        <w:rPr/>
        <w:t>the</w:t>
      </w:r>
      <w:r>
        <w:rPr>
          <w:spacing w:val="80"/>
        </w:rPr>
        <w:t> </w:t>
      </w:r>
      <w:r>
        <w:rPr/>
        <w:t>panel</w:t>
      </w:r>
      <w:r>
        <w:rPr>
          <w:spacing w:val="80"/>
        </w:rPr>
        <w:t> </w:t>
      </w:r>
      <w:r>
        <w:rPr/>
        <w:t>estimate,</w:t>
      </w:r>
      <w:r>
        <w:rPr>
          <w:spacing w:val="80"/>
        </w:rPr>
        <w:t> </w:t>
      </w:r>
      <w:r>
        <w:rPr/>
        <w:t>though</w:t>
      </w:r>
      <w:r>
        <w:rPr>
          <w:spacing w:val="80"/>
        </w:rPr>
        <w:t> </w:t>
      </w:r>
      <w:r>
        <w:rPr/>
        <w:t>not confirmed</w:t>
      </w:r>
      <w:r>
        <w:rPr>
          <w:spacing w:val="78"/>
        </w:rPr>
        <w:t> </w:t>
      </w:r>
      <w:r>
        <w:rPr/>
        <w:t>by,</w:t>
      </w:r>
      <w:r>
        <w:rPr>
          <w:spacing w:val="75"/>
        </w:rPr>
        <w:t> </w:t>
      </w:r>
      <w:r>
        <w:rPr/>
        <w:t>the</w:t>
      </w:r>
      <w:r>
        <w:rPr>
          <w:spacing w:val="78"/>
        </w:rPr>
        <w:t> </w:t>
      </w:r>
      <w:r>
        <w:rPr/>
        <w:t>panel’s</w:t>
      </w:r>
      <w:r>
        <w:rPr>
          <w:spacing w:val="79"/>
        </w:rPr>
        <w:t> </w:t>
      </w:r>
      <w:r>
        <w:rPr/>
        <w:t>θ₃</w:t>
      </w:r>
      <w:r>
        <w:rPr>
          <w:spacing w:val="80"/>
          <w:w w:val="150"/>
        </w:rPr>
        <w:t> </w:t>
      </w:r>
      <w:r>
        <w:rPr/>
        <w:t>association</w:t>
      </w:r>
      <w:r>
        <w:rPr>
          <w:spacing w:val="80"/>
          <w:w w:val="150"/>
        </w:rPr>
        <w:t> </w:t>
      </w:r>
      <w:r>
        <w:rPr/>
        <w:t>—</w:t>
      </w:r>
      <w:r>
        <w:rPr>
          <w:spacing w:val="80"/>
          <w:w w:val="150"/>
        </w:rPr>
        <w:t> </w:t>
      </w:r>
      <w:r>
        <w:rPr/>
        <w:t>but</w:t>
      </w:r>
      <w:r>
        <w:rPr>
          <w:spacing w:val="79"/>
        </w:rPr>
        <w:t> </w:t>
      </w:r>
      <w:r>
        <w:rPr/>
        <w:t>the</w:t>
      </w:r>
      <w:r>
        <w:rPr>
          <w:spacing w:val="78"/>
        </w:rPr>
        <w:t> </w:t>
      </w:r>
      <w:r>
        <w:rPr/>
        <w:t>increase</w:t>
      </w:r>
      <w:r>
        <w:rPr>
          <w:spacing w:val="78"/>
        </w:rPr>
        <w:t> </w:t>
      </w:r>
      <w:r>
        <w:rPr/>
        <w:t>is</w:t>
      </w:r>
      <w:r>
        <w:rPr>
          <w:spacing w:val="75"/>
        </w:rPr>
        <w:t> </w:t>
      </w:r>
      <w:r>
        <w:rPr/>
        <w:t>far</w:t>
      </w:r>
      <w:r>
        <w:rPr>
          <w:spacing w:val="78"/>
        </w:rPr>
        <w:t> </w:t>
      </w:r>
      <w:r>
        <w:rPr/>
        <w:t>larger</w:t>
      </w:r>
      <w:r>
        <w:rPr>
          <w:spacing w:val="78"/>
        </w:rPr>
        <w:t> </w:t>
      </w:r>
      <w:r>
        <w:rPr/>
        <w:t>for Unconstrained (+19.2pp from low to high digital) than for DynCap+Tiered (+8.2pp),</w:t>
      </w:r>
      <w:r>
        <w:rPr>
          <w:spacing w:val="80"/>
        </w:rPr>
        <w:t> </w:t>
      </w:r>
      <w:r>
        <w:rPr/>
        <w:t>so</w:t>
      </w:r>
      <w:r>
        <w:rPr>
          <w:spacing w:val="80"/>
        </w:rPr>
        <w:t> </w:t>
      </w:r>
      <w:r>
        <w:rPr/>
        <w:t>the</w:t>
      </w:r>
      <w:r>
        <w:rPr>
          <w:spacing w:val="80"/>
        </w:rPr>
        <w:t> </w:t>
      </w:r>
      <w:r>
        <w:rPr/>
        <w:t>dynamic</w:t>
      </w:r>
      <w:r>
        <w:rPr>
          <w:spacing w:val="80"/>
        </w:rPr>
        <w:t> </w:t>
      </w:r>
      <w:r>
        <w:rPr/>
        <w:t>cap</w:t>
      </w:r>
      <w:r>
        <w:rPr>
          <w:spacing w:val="80"/>
        </w:rPr>
        <w:t> </w:t>
      </w:r>
      <w:r>
        <w:rPr/>
        <w:t>partly</w:t>
      </w:r>
      <w:r>
        <w:rPr>
          <w:spacing w:val="80"/>
        </w:rPr>
        <w:t> </w:t>
      </w:r>
      <w:r>
        <w:rPr/>
        <w:t>buffers</w:t>
      </w:r>
      <w:r>
        <w:rPr>
          <w:spacing w:val="80"/>
        </w:rPr>
        <w:t> </w:t>
      </w:r>
      <w:r>
        <w:rPr/>
        <w:t>this</w:t>
      </w:r>
      <w:r>
        <w:rPr>
          <w:spacing w:val="80"/>
        </w:rPr>
        <w:t> </w:t>
      </w:r>
      <w:r>
        <w:rPr/>
        <w:t>sensitivity.</w:t>
      </w:r>
      <w:r>
        <w:rPr>
          <w:spacing w:val="80"/>
        </w:rPr>
        <w:t> </w:t>
      </w:r>
      <w:r>
        <w:rPr/>
        <w:t>Second,</w:t>
      </w:r>
      <w:r>
        <w:rPr>
          <w:spacing w:val="80"/>
        </w:rPr>
        <w:t> </w:t>
      </w:r>
      <w:r>
        <w:rPr/>
        <w:t>DynCap+Tiered’s advantage over Unconstrained therefore widens with digital adoption, from 16.2pp at low D to 27.3pp at high D. This simulation sensitivity thus carries a concrete design implication:</w:t>
      </w:r>
      <w:r>
        <w:rPr>
          <w:spacing w:val="37"/>
        </w:rPr>
        <w:t> </w:t>
      </w:r>
      <w:r>
        <w:rPr/>
        <w:t>the</w:t>
      </w:r>
      <w:r>
        <w:rPr>
          <w:spacing w:val="38"/>
        </w:rPr>
        <w:t> </w:t>
      </w:r>
      <w:r>
        <w:rPr/>
        <w:t>case</w:t>
      </w:r>
      <w:r>
        <w:rPr>
          <w:spacing w:val="38"/>
        </w:rPr>
        <w:t> </w:t>
      </w:r>
      <w:r>
        <w:rPr/>
        <w:t>for</w:t>
      </w:r>
      <w:r>
        <w:rPr>
          <w:spacing w:val="38"/>
        </w:rPr>
        <w:t> </w:t>
      </w:r>
      <w:r>
        <w:rPr/>
        <w:t>a</w:t>
      </w:r>
      <w:r>
        <w:rPr>
          <w:spacing w:val="38"/>
        </w:rPr>
        <w:t> </w:t>
      </w:r>
      <w:r>
        <w:rPr/>
        <w:t>dynamic,</w:t>
      </w:r>
      <w:r>
        <w:rPr>
          <w:spacing w:val="39"/>
        </w:rPr>
        <w:t> </w:t>
      </w:r>
      <w:r>
        <w:rPr/>
        <w:t>tiered</w:t>
      </w:r>
      <w:r>
        <w:rPr>
          <w:spacing w:val="39"/>
        </w:rPr>
        <w:t> </w:t>
      </w:r>
      <w:r>
        <w:rPr/>
        <w:t>holding</w:t>
      </w:r>
      <w:r>
        <w:rPr>
          <w:spacing w:val="37"/>
        </w:rPr>
        <w:t> </w:t>
      </w:r>
      <w:r>
        <w:rPr/>
        <w:t>cap</w:t>
      </w:r>
      <w:r>
        <w:rPr>
          <w:spacing w:val="39"/>
        </w:rPr>
        <w:t> </w:t>
      </w:r>
      <w:r>
        <w:rPr/>
        <w:t>is</w:t>
      </w:r>
      <w:r>
        <w:rPr>
          <w:spacing w:val="36"/>
        </w:rPr>
        <w:t> </w:t>
      </w:r>
      <w:r>
        <w:rPr/>
        <w:t>strongest</w:t>
      </w:r>
      <w:r>
        <w:rPr>
          <w:spacing w:val="37"/>
        </w:rPr>
        <w:t> </w:t>
      </w:r>
      <w:r>
        <w:rPr/>
        <w:t>precisely</w:t>
      </w:r>
      <w:r>
        <w:rPr>
          <w:spacing w:val="34"/>
        </w:rPr>
        <w:t> </w:t>
      </w:r>
      <w:r>
        <w:rPr/>
        <w:t>in</w:t>
      </w:r>
      <w:r>
        <w:rPr>
          <w:spacing w:val="39"/>
        </w:rPr>
        <w:t> </w:t>
      </w:r>
      <w:r>
        <w:rPr/>
        <w:t>the most digitally advanced economies, where the unconstrained-CBDC outflow</w:t>
      </w:r>
      <w:r>
        <w:rPr>
          <w:spacing w:val="40"/>
        </w:rPr>
        <w:t> </w:t>
      </w:r>
      <w:r>
        <w:rPr/>
        <w:t>risk is </w:t>
      </w:r>
      <w:r>
        <w:rPr>
          <w:spacing w:val="-2"/>
        </w:rPr>
        <w:t>greatest.</w:t>
      </w:r>
    </w:p>
    <w:p>
      <w:pPr>
        <w:pStyle w:val="BodyText"/>
        <w:spacing w:before="204"/>
        <w:ind w:left="0"/>
        <w:rPr>
          <w:sz w:val="20"/>
        </w:rPr>
      </w:pPr>
      <w:r>
        <w:rPr>
          <w:sz w:val="20"/>
        </w:rPr>
        <w:drawing>
          <wp:anchor distT="0" distB="0" distL="0" distR="0" allowOverlap="1" layoutInCell="1" locked="0" behindDoc="1" simplePos="0" relativeHeight="487588352">
            <wp:simplePos x="0" y="0"/>
            <wp:positionH relativeFrom="page">
              <wp:posOffset>1142390</wp:posOffset>
            </wp:positionH>
            <wp:positionV relativeFrom="paragraph">
              <wp:posOffset>291259</wp:posOffset>
            </wp:positionV>
            <wp:extent cx="5272731" cy="307238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272731" cy="3072384"/>
                    </a:xfrm>
                    <a:prstGeom prst="rect">
                      <a:avLst/>
                    </a:prstGeom>
                  </pic:spPr>
                </pic:pic>
              </a:graphicData>
            </a:graphic>
          </wp:anchor>
        </w:drawing>
      </w:r>
    </w:p>
    <w:p>
      <w:pPr>
        <w:pStyle w:val="Heading2"/>
        <w:spacing w:before="14"/>
        <w:ind w:left="156" w:right="377" w:firstLine="448"/>
      </w:pPr>
      <w:r>
        <w:rPr>
          <w:i/>
        </w:rPr>
        <w:t>Figure4. Design ranking across the digital-adoption range (Table 5c): the</w:t>
      </w:r>
      <w:r>
        <w:rPr/>
        <w:t> dynamic-cap</w:t>
      </w:r>
      <w:r>
        <w:rPr>
          <w:spacing w:val="-5"/>
        </w:rPr>
        <w:t> </w:t>
      </w:r>
      <w:r>
        <w:rPr/>
        <w:t>design’s</w:t>
      </w:r>
      <w:r>
        <w:rPr>
          <w:spacing w:val="-5"/>
        </w:rPr>
        <w:t> </w:t>
      </w:r>
      <w:r>
        <w:rPr/>
        <w:t>advantage</w:t>
      </w:r>
      <w:r>
        <w:rPr>
          <w:spacing w:val="-6"/>
        </w:rPr>
        <w:t> </w:t>
      </w:r>
      <w:r>
        <w:rPr/>
        <w:t>over</w:t>
      </w:r>
      <w:r>
        <w:rPr>
          <w:spacing w:val="-5"/>
        </w:rPr>
        <w:t> </w:t>
      </w:r>
      <w:r>
        <w:rPr/>
        <w:t>Unconstrained</w:t>
      </w:r>
      <w:r>
        <w:rPr>
          <w:spacing w:val="-5"/>
        </w:rPr>
        <w:t> </w:t>
      </w:r>
      <w:r>
        <w:rPr/>
        <w:t>widens</w:t>
      </w:r>
      <w:r>
        <w:rPr>
          <w:spacing w:val="-7"/>
        </w:rPr>
        <w:t> </w:t>
      </w:r>
      <w:r>
        <w:rPr/>
        <w:t>from</w:t>
      </w:r>
      <w:r>
        <w:rPr>
          <w:spacing w:val="-5"/>
        </w:rPr>
        <w:t> </w:t>
      </w:r>
      <w:r>
        <w:rPr/>
        <w:t>16.2pp</w:t>
      </w:r>
      <w:r>
        <w:rPr>
          <w:spacing w:val="-6"/>
        </w:rPr>
        <w:t> </w:t>
      </w:r>
      <w:r>
        <w:rPr/>
        <w:t>to</w:t>
      </w:r>
      <w:r>
        <w:rPr>
          <w:spacing w:val="-6"/>
        </w:rPr>
        <w:t> </w:t>
      </w:r>
      <w:r>
        <w:rPr/>
        <w:t>27.3pp.</w:t>
      </w:r>
    </w:p>
    <w:p>
      <w:pPr>
        <w:pStyle w:val="Heading2"/>
        <w:spacing w:after="0"/>
        <w:sectPr>
          <w:pgSz w:w="11900" w:h="16820"/>
          <w:pgMar w:header="714" w:footer="0" w:top="1340" w:bottom="280" w:left="1700" w:right="1417"/>
        </w:sectPr>
      </w:pPr>
    </w:p>
    <w:p>
      <w:pPr>
        <w:pStyle w:val="BodyText"/>
        <w:spacing w:before="43"/>
        <w:ind w:left="0"/>
        <w:rPr>
          <w:b/>
          <w:i/>
        </w:rPr>
      </w:pPr>
    </w:p>
    <w:p>
      <w:pPr>
        <w:spacing w:line="360" w:lineRule="auto" w:before="0" w:after="58"/>
        <w:ind w:left="2377" w:right="213" w:hanging="2191"/>
        <w:jc w:val="left"/>
        <w:rPr>
          <w:b/>
          <w:sz w:val="24"/>
        </w:rPr>
      </w:pPr>
      <w:r>
        <w:rPr>
          <w:b/>
          <w:sz w:val="24"/>
        </w:rPr>
        <w:t>Table5c.</w:t>
      </w:r>
      <w:r>
        <w:rPr>
          <w:b/>
          <w:spacing w:val="-6"/>
          <w:sz w:val="24"/>
        </w:rPr>
        <w:t> </w:t>
      </w:r>
      <w:r>
        <w:rPr>
          <w:b/>
          <w:sz w:val="24"/>
        </w:rPr>
        <w:t>Design</w:t>
      </w:r>
      <w:r>
        <w:rPr>
          <w:b/>
          <w:spacing w:val="-6"/>
          <w:sz w:val="24"/>
        </w:rPr>
        <w:t> </w:t>
      </w:r>
      <w:r>
        <w:rPr>
          <w:b/>
          <w:sz w:val="24"/>
        </w:rPr>
        <w:t>Ranking</w:t>
      </w:r>
      <w:r>
        <w:rPr>
          <w:b/>
          <w:spacing w:val="-6"/>
          <w:sz w:val="24"/>
        </w:rPr>
        <w:t> </w:t>
      </w:r>
      <w:r>
        <w:rPr>
          <w:b/>
          <w:sz w:val="24"/>
        </w:rPr>
        <w:t>by</w:t>
      </w:r>
      <w:r>
        <w:rPr>
          <w:b/>
          <w:spacing w:val="-7"/>
          <w:sz w:val="24"/>
        </w:rPr>
        <w:t> </w:t>
      </w:r>
      <w:r>
        <w:rPr>
          <w:b/>
          <w:sz w:val="24"/>
        </w:rPr>
        <w:t>Digital-Adoption</w:t>
      </w:r>
      <w:r>
        <w:rPr>
          <w:b/>
          <w:spacing w:val="-5"/>
          <w:sz w:val="24"/>
        </w:rPr>
        <w:t> </w:t>
      </w:r>
      <w:r>
        <w:rPr>
          <w:b/>
          <w:sz w:val="24"/>
        </w:rPr>
        <w:t>Level</w:t>
      </w:r>
      <w:r>
        <w:rPr>
          <w:b/>
          <w:spacing w:val="-6"/>
          <w:sz w:val="24"/>
        </w:rPr>
        <w:t> </w:t>
      </w:r>
      <w:r>
        <w:rPr>
          <w:b/>
          <w:sz w:val="24"/>
        </w:rPr>
        <w:t>(Korea,</w:t>
      </w:r>
      <w:r>
        <w:rPr>
          <w:b/>
          <w:spacing w:val="-4"/>
          <w:sz w:val="24"/>
        </w:rPr>
        <w:t> </w:t>
      </w:r>
      <w:r>
        <w:rPr>
          <w:b/>
          <w:sz w:val="24"/>
        </w:rPr>
        <w:t>shock=0.75,</w:t>
      </w:r>
      <w:r>
        <w:rPr>
          <w:b/>
          <w:spacing w:val="-6"/>
          <w:sz w:val="24"/>
        </w:rPr>
        <w:t> </w:t>
      </w:r>
      <w:r>
        <w:rPr>
          <w:b/>
          <w:sz w:val="24"/>
        </w:rPr>
        <w:t>N=120 per cell; P(Fail), rank in parentheses)</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6"/>
        <w:gridCol w:w="1106"/>
        <w:gridCol w:w="1758"/>
        <w:gridCol w:w="1276"/>
        <w:gridCol w:w="1701"/>
        <w:gridCol w:w="1192"/>
      </w:tblGrid>
      <w:tr>
        <w:trPr>
          <w:trHeight w:val="570" w:hRule="atLeast"/>
        </w:trPr>
        <w:tc>
          <w:tcPr>
            <w:tcW w:w="1276" w:type="dxa"/>
          </w:tcPr>
          <w:p>
            <w:pPr>
              <w:pStyle w:val="TableParagraph"/>
              <w:spacing w:line="246" w:lineRule="exact"/>
              <w:rPr>
                <w:b/>
                <w:sz w:val="22"/>
              </w:rPr>
            </w:pPr>
            <w:r>
              <w:rPr>
                <w:b/>
                <w:spacing w:val="-2"/>
                <w:sz w:val="22"/>
              </w:rPr>
              <w:t>Digital</w:t>
            </w:r>
          </w:p>
          <w:p>
            <w:pPr>
              <w:pStyle w:val="TableParagraph"/>
              <w:spacing w:before="37"/>
              <w:rPr>
                <w:b/>
                <w:sz w:val="22"/>
              </w:rPr>
            </w:pPr>
            <w:r>
              <w:rPr>
                <w:b/>
                <w:sz w:val="22"/>
              </w:rPr>
              <w:t>adoption</w:t>
            </w:r>
            <w:r>
              <w:rPr>
                <w:b/>
                <w:spacing w:val="-7"/>
                <w:sz w:val="22"/>
              </w:rPr>
              <w:t> </w:t>
            </w:r>
            <w:r>
              <w:rPr>
                <w:b/>
                <w:spacing w:val="-10"/>
                <w:sz w:val="22"/>
              </w:rPr>
              <w:t>D</w:t>
            </w:r>
          </w:p>
        </w:tc>
        <w:tc>
          <w:tcPr>
            <w:tcW w:w="1106" w:type="dxa"/>
          </w:tcPr>
          <w:p>
            <w:pPr>
              <w:pStyle w:val="TableParagraph"/>
              <w:spacing w:line="246" w:lineRule="exact"/>
              <w:rPr>
                <w:b/>
                <w:sz w:val="22"/>
              </w:rPr>
            </w:pPr>
            <w:r>
              <w:rPr>
                <w:b/>
                <w:spacing w:val="-5"/>
                <w:sz w:val="22"/>
              </w:rPr>
              <w:t>No</w:t>
            </w:r>
          </w:p>
          <w:p>
            <w:pPr>
              <w:pStyle w:val="TableParagraph"/>
              <w:spacing w:before="37"/>
              <w:rPr>
                <w:b/>
                <w:sz w:val="22"/>
              </w:rPr>
            </w:pPr>
            <w:r>
              <w:rPr>
                <w:b/>
                <w:spacing w:val="-4"/>
                <w:sz w:val="22"/>
              </w:rPr>
              <w:t>CBDC</w:t>
            </w:r>
          </w:p>
        </w:tc>
        <w:tc>
          <w:tcPr>
            <w:tcW w:w="1758" w:type="dxa"/>
          </w:tcPr>
          <w:p>
            <w:pPr>
              <w:pStyle w:val="TableParagraph"/>
              <w:spacing w:before="139"/>
              <w:rPr>
                <w:b/>
                <w:sz w:val="22"/>
              </w:rPr>
            </w:pPr>
            <w:r>
              <w:rPr>
                <w:b/>
                <w:spacing w:val="-2"/>
                <w:sz w:val="22"/>
              </w:rPr>
              <w:t>DynCap+Tiered</w:t>
            </w:r>
          </w:p>
        </w:tc>
        <w:tc>
          <w:tcPr>
            <w:tcW w:w="1276" w:type="dxa"/>
          </w:tcPr>
          <w:p>
            <w:pPr>
              <w:pStyle w:val="TableParagraph"/>
              <w:spacing w:before="139"/>
              <w:ind w:left="90" w:right="129"/>
              <w:jc w:val="center"/>
              <w:rPr>
                <w:b/>
                <w:sz w:val="22"/>
              </w:rPr>
            </w:pPr>
            <w:r>
              <w:rPr>
                <w:b/>
                <w:sz w:val="22"/>
              </w:rPr>
              <w:t>Fixed</w:t>
            </w:r>
            <w:r>
              <w:rPr>
                <w:b/>
                <w:spacing w:val="-4"/>
                <w:sz w:val="22"/>
              </w:rPr>
              <w:t> </w:t>
            </w:r>
            <w:r>
              <w:rPr>
                <w:b/>
                <w:spacing w:val="-5"/>
                <w:sz w:val="22"/>
              </w:rPr>
              <w:t>20M</w:t>
            </w:r>
          </w:p>
        </w:tc>
        <w:tc>
          <w:tcPr>
            <w:tcW w:w="1701" w:type="dxa"/>
          </w:tcPr>
          <w:p>
            <w:pPr>
              <w:pStyle w:val="TableParagraph"/>
              <w:spacing w:before="139"/>
              <w:rPr>
                <w:b/>
                <w:sz w:val="22"/>
              </w:rPr>
            </w:pPr>
            <w:r>
              <w:rPr>
                <w:b/>
                <w:spacing w:val="-2"/>
                <w:sz w:val="22"/>
              </w:rPr>
              <w:t>Unconstrained</w:t>
            </w:r>
          </w:p>
        </w:tc>
        <w:tc>
          <w:tcPr>
            <w:tcW w:w="1192" w:type="dxa"/>
          </w:tcPr>
          <w:p>
            <w:pPr>
              <w:pStyle w:val="TableParagraph"/>
              <w:spacing w:before="139"/>
              <w:rPr>
                <w:b/>
                <w:sz w:val="22"/>
              </w:rPr>
            </w:pPr>
            <w:r>
              <w:rPr>
                <w:b/>
                <w:spacing w:val="-2"/>
                <w:sz w:val="22"/>
              </w:rPr>
              <w:t>Ranking</w:t>
            </w:r>
          </w:p>
        </w:tc>
      </w:tr>
      <w:tr>
        <w:trPr>
          <w:trHeight w:val="280" w:hRule="atLeast"/>
        </w:trPr>
        <w:tc>
          <w:tcPr>
            <w:tcW w:w="1276" w:type="dxa"/>
          </w:tcPr>
          <w:p>
            <w:pPr>
              <w:pStyle w:val="TableParagraph"/>
              <w:spacing w:line="249" w:lineRule="exact"/>
              <w:ind w:left="73" w:right="129"/>
              <w:jc w:val="center"/>
              <w:rPr>
                <w:sz w:val="22"/>
              </w:rPr>
            </w:pPr>
            <w:r>
              <w:rPr>
                <w:sz w:val="22"/>
              </w:rPr>
              <w:t>Low</w:t>
            </w:r>
            <w:r>
              <w:rPr>
                <w:spacing w:val="-3"/>
                <w:sz w:val="22"/>
              </w:rPr>
              <w:t> </w:t>
            </w:r>
            <w:r>
              <w:rPr>
                <w:spacing w:val="-2"/>
                <w:sz w:val="22"/>
              </w:rPr>
              <w:t>(0.30)</w:t>
            </w:r>
          </w:p>
        </w:tc>
        <w:tc>
          <w:tcPr>
            <w:tcW w:w="1106" w:type="dxa"/>
          </w:tcPr>
          <w:p>
            <w:pPr>
              <w:pStyle w:val="TableParagraph"/>
              <w:spacing w:line="249" w:lineRule="exact"/>
              <w:ind w:left="39"/>
              <w:jc w:val="center"/>
              <w:rPr>
                <w:sz w:val="22"/>
              </w:rPr>
            </w:pPr>
            <w:r>
              <w:rPr>
                <w:sz w:val="22"/>
              </w:rPr>
              <w:t>0.0355 </w:t>
            </w:r>
            <w:r>
              <w:rPr>
                <w:spacing w:val="-5"/>
                <w:sz w:val="22"/>
              </w:rPr>
              <w:t>(1)</w:t>
            </w:r>
          </w:p>
        </w:tc>
        <w:tc>
          <w:tcPr>
            <w:tcW w:w="1758" w:type="dxa"/>
          </w:tcPr>
          <w:p>
            <w:pPr>
              <w:pStyle w:val="TableParagraph"/>
              <w:spacing w:line="249" w:lineRule="exact"/>
              <w:rPr>
                <w:sz w:val="22"/>
              </w:rPr>
            </w:pPr>
            <w:r>
              <w:rPr>
                <w:sz w:val="22"/>
              </w:rPr>
              <w:t>0.0585 </w:t>
            </w:r>
            <w:r>
              <w:rPr>
                <w:spacing w:val="-5"/>
                <w:sz w:val="22"/>
              </w:rPr>
              <w:t>(2)</w:t>
            </w:r>
          </w:p>
        </w:tc>
        <w:tc>
          <w:tcPr>
            <w:tcW w:w="1276" w:type="dxa"/>
          </w:tcPr>
          <w:p>
            <w:pPr>
              <w:pStyle w:val="TableParagraph"/>
              <w:spacing w:line="249" w:lineRule="exact"/>
              <w:ind w:left="0" w:right="129"/>
              <w:jc w:val="center"/>
              <w:rPr>
                <w:sz w:val="22"/>
              </w:rPr>
            </w:pPr>
            <w:r>
              <w:rPr>
                <w:sz w:val="22"/>
              </w:rPr>
              <w:t>0.1500 </w:t>
            </w:r>
            <w:r>
              <w:rPr>
                <w:spacing w:val="-5"/>
                <w:sz w:val="22"/>
              </w:rPr>
              <w:t>(3)</w:t>
            </w:r>
          </w:p>
        </w:tc>
        <w:tc>
          <w:tcPr>
            <w:tcW w:w="1701" w:type="dxa"/>
          </w:tcPr>
          <w:p>
            <w:pPr>
              <w:pStyle w:val="TableParagraph"/>
              <w:spacing w:line="249" w:lineRule="exact"/>
              <w:rPr>
                <w:sz w:val="22"/>
              </w:rPr>
            </w:pPr>
            <w:r>
              <w:rPr>
                <w:sz w:val="22"/>
              </w:rPr>
              <w:t>0.2203 </w:t>
            </w:r>
            <w:r>
              <w:rPr>
                <w:spacing w:val="-5"/>
                <w:sz w:val="22"/>
              </w:rPr>
              <w:t>(4)</w:t>
            </w:r>
          </w:p>
        </w:tc>
        <w:tc>
          <w:tcPr>
            <w:tcW w:w="1192" w:type="dxa"/>
          </w:tcPr>
          <w:p>
            <w:pPr>
              <w:pStyle w:val="TableParagraph"/>
              <w:spacing w:line="249" w:lineRule="exact"/>
              <w:rPr>
                <w:sz w:val="22"/>
              </w:rPr>
            </w:pPr>
            <w:r>
              <w:rPr>
                <w:spacing w:val="-2"/>
                <w:sz w:val="22"/>
              </w:rPr>
              <w:t>unchanged</w:t>
            </w:r>
          </w:p>
        </w:tc>
      </w:tr>
      <w:tr>
        <w:trPr>
          <w:trHeight w:val="280" w:hRule="atLeast"/>
        </w:trPr>
        <w:tc>
          <w:tcPr>
            <w:tcW w:w="1276" w:type="dxa"/>
          </w:tcPr>
          <w:p>
            <w:pPr>
              <w:pStyle w:val="TableParagraph"/>
              <w:spacing w:line="249" w:lineRule="exact"/>
              <w:ind w:left="37" w:right="129"/>
              <w:jc w:val="center"/>
              <w:rPr>
                <w:sz w:val="22"/>
              </w:rPr>
            </w:pPr>
            <w:r>
              <w:rPr>
                <w:sz w:val="22"/>
              </w:rPr>
              <w:t>Mid</w:t>
            </w:r>
            <w:r>
              <w:rPr>
                <w:spacing w:val="-2"/>
                <w:sz w:val="22"/>
              </w:rPr>
              <w:t> (0.58)</w:t>
            </w:r>
          </w:p>
        </w:tc>
        <w:tc>
          <w:tcPr>
            <w:tcW w:w="1106" w:type="dxa"/>
          </w:tcPr>
          <w:p>
            <w:pPr>
              <w:pStyle w:val="TableParagraph"/>
              <w:spacing w:line="249" w:lineRule="exact"/>
              <w:ind w:left="39"/>
              <w:jc w:val="center"/>
              <w:rPr>
                <w:sz w:val="22"/>
              </w:rPr>
            </w:pPr>
            <w:r>
              <w:rPr>
                <w:sz w:val="22"/>
              </w:rPr>
              <w:t>0.0374 </w:t>
            </w:r>
            <w:r>
              <w:rPr>
                <w:spacing w:val="-5"/>
                <w:sz w:val="22"/>
              </w:rPr>
              <w:t>(1)</w:t>
            </w:r>
          </w:p>
        </w:tc>
        <w:tc>
          <w:tcPr>
            <w:tcW w:w="1758" w:type="dxa"/>
          </w:tcPr>
          <w:p>
            <w:pPr>
              <w:pStyle w:val="TableParagraph"/>
              <w:spacing w:line="249" w:lineRule="exact"/>
              <w:rPr>
                <w:sz w:val="22"/>
              </w:rPr>
            </w:pPr>
            <w:r>
              <w:rPr>
                <w:sz w:val="22"/>
              </w:rPr>
              <w:t>0.0854 </w:t>
            </w:r>
            <w:r>
              <w:rPr>
                <w:spacing w:val="-5"/>
                <w:sz w:val="22"/>
              </w:rPr>
              <w:t>(2)</w:t>
            </w:r>
          </w:p>
        </w:tc>
        <w:tc>
          <w:tcPr>
            <w:tcW w:w="1276" w:type="dxa"/>
          </w:tcPr>
          <w:p>
            <w:pPr>
              <w:pStyle w:val="TableParagraph"/>
              <w:spacing w:line="249" w:lineRule="exact"/>
              <w:ind w:left="0" w:right="129"/>
              <w:jc w:val="center"/>
              <w:rPr>
                <w:sz w:val="22"/>
              </w:rPr>
            </w:pPr>
            <w:r>
              <w:rPr>
                <w:sz w:val="22"/>
              </w:rPr>
              <w:t>0.2183 </w:t>
            </w:r>
            <w:r>
              <w:rPr>
                <w:spacing w:val="-5"/>
                <w:sz w:val="22"/>
              </w:rPr>
              <w:t>(3)</w:t>
            </w:r>
          </w:p>
        </w:tc>
        <w:tc>
          <w:tcPr>
            <w:tcW w:w="1701" w:type="dxa"/>
          </w:tcPr>
          <w:p>
            <w:pPr>
              <w:pStyle w:val="TableParagraph"/>
              <w:spacing w:line="249" w:lineRule="exact"/>
              <w:rPr>
                <w:sz w:val="22"/>
              </w:rPr>
            </w:pPr>
            <w:r>
              <w:rPr>
                <w:sz w:val="22"/>
              </w:rPr>
              <w:t>0.3024 </w:t>
            </w:r>
            <w:r>
              <w:rPr>
                <w:spacing w:val="-5"/>
                <w:sz w:val="22"/>
              </w:rPr>
              <w:t>(4)</w:t>
            </w:r>
          </w:p>
        </w:tc>
        <w:tc>
          <w:tcPr>
            <w:tcW w:w="1192" w:type="dxa"/>
          </w:tcPr>
          <w:p>
            <w:pPr>
              <w:pStyle w:val="TableParagraph"/>
              <w:spacing w:line="249" w:lineRule="exact"/>
              <w:rPr>
                <w:sz w:val="22"/>
              </w:rPr>
            </w:pPr>
            <w:r>
              <w:rPr>
                <w:spacing w:val="-2"/>
                <w:sz w:val="22"/>
              </w:rPr>
              <w:t>unchanged</w:t>
            </w:r>
          </w:p>
        </w:tc>
      </w:tr>
      <w:tr>
        <w:trPr>
          <w:trHeight w:val="280" w:hRule="atLeast"/>
        </w:trPr>
        <w:tc>
          <w:tcPr>
            <w:tcW w:w="1276" w:type="dxa"/>
          </w:tcPr>
          <w:p>
            <w:pPr>
              <w:pStyle w:val="TableParagraph"/>
              <w:spacing w:line="249" w:lineRule="exact"/>
              <w:ind w:left="0" w:right="20"/>
              <w:jc w:val="center"/>
              <w:rPr>
                <w:sz w:val="22"/>
              </w:rPr>
            </w:pPr>
            <w:r>
              <w:rPr>
                <w:sz w:val="22"/>
              </w:rPr>
              <w:t>High</w:t>
            </w:r>
            <w:r>
              <w:rPr>
                <w:spacing w:val="-1"/>
                <w:sz w:val="22"/>
              </w:rPr>
              <w:t> </w:t>
            </w:r>
            <w:r>
              <w:rPr>
                <w:spacing w:val="-2"/>
                <w:sz w:val="22"/>
              </w:rPr>
              <w:t>(0.92)</w:t>
            </w:r>
          </w:p>
        </w:tc>
        <w:tc>
          <w:tcPr>
            <w:tcW w:w="1106" w:type="dxa"/>
          </w:tcPr>
          <w:p>
            <w:pPr>
              <w:pStyle w:val="TableParagraph"/>
              <w:spacing w:line="249" w:lineRule="exact"/>
              <w:ind w:left="39"/>
              <w:jc w:val="center"/>
              <w:rPr>
                <w:sz w:val="22"/>
              </w:rPr>
            </w:pPr>
            <w:r>
              <w:rPr>
                <w:sz w:val="22"/>
              </w:rPr>
              <w:t>0.0400 </w:t>
            </w:r>
            <w:r>
              <w:rPr>
                <w:spacing w:val="-5"/>
                <w:sz w:val="22"/>
              </w:rPr>
              <w:t>(1)</w:t>
            </w:r>
          </w:p>
        </w:tc>
        <w:tc>
          <w:tcPr>
            <w:tcW w:w="1758" w:type="dxa"/>
          </w:tcPr>
          <w:p>
            <w:pPr>
              <w:pStyle w:val="TableParagraph"/>
              <w:spacing w:line="249" w:lineRule="exact"/>
              <w:rPr>
                <w:sz w:val="22"/>
              </w:rPr>
            </w:pPr>
            <w:r>
              <w:rPr>
                <w:sz w:val="22"/>
              </w:rPr>
              <w:t>0.1402 </w:t>
            </w:r>
            <w:r>
              <w:rPr>
                <w:spacing w:val="-5"/>
                <w:sz w:val="22"/>
              </w:rPr>
              <w:t>(2)</w:t>
            </w:r>
          </w:p>
        </w:tc>
        <w:tc>
          <w:tcPr>
            <w:tcW w:w="1276" w:type="dxa"/>
          </w:tcPr>
          <w:p>
            <w:pPr>
              <w:pStyle w:val="TableParagraph"/>
              <w:spacing w:line="249" w:lineRule="exact"/>
              <w:ind w:left="0" w:right="129"/>
              <w:jc w:val="center"/>
              <w:rPr>
                <w:sz w:val="22"/>
              </w:rPr>
            </w:pPr>
            <w:r>
              <w:rPr>
                <w:sz w:val="22"/>
              </w:rPr>
              <w:t>0.3191 </w:t>
            </w:r>
            <w:r>
              <w:rPr>
                <w:spacing w:val="-5"/>
                <w:sz w:val="22"/>
              </w:rPr>
              <w:t>(3)</w:t>
            </w:r>
          </w:p>
        </w:tc>
        <w:tc>
          <w:tcPr>
            <w:tcW w:w="1701" w:type="dxa"/>
          </w:tcPr>
          <w:p>
            <w:pPr>
              <w:pStyle w:val="TableParagraph"/>
              <w:spacing w:line="249" w:lineRule="exact"/>
              <w:rPr>
                <w:sz w:val="22"/>
              </w:rPr>
            </w:pPr>
            <w:r>
              <w:rPr>
                <w:sz w:val="22"/>
              </w:rPr>
              <w:t>0.4127 </w:t>
            </w:r>
            <w:r>
              <w:rPr>
                <w:spacing w:val="-5"/>
                <w:sz w:val="22"/>
              </w:rPr>
              <w:t>(4)</w:t>
            </w:r>
          </w:p>
        </w:tc>
        <w:tc>
          <w:tcPr>
            <w:tcW w:w="1192" w:type="dxa"/>
          </w:tcPr>
          <w:p>
            <w:pPr>
              <w:pStyle w:val="TableParagraph"/>
              <w:spacing w:line="249" w:lineRule="exact"/>
              <w:rPr>
                <w:sz w:val="22"/>
              </w:rPr>
            </w:pPr>
            <w:r>
              <w:rPr>
                <w:spacing w:val="-2"/>
                <w:sz w:val="22"/>
              </w:rPr>
              <w:t>unchanged</w:t>
            </w:r>
          </w:p>
        </w:tc>
      </w:tr>
    </w:tbl>
    <w:p>
      <w:pPr>
        <w:spacing w:line="240" w:lineRule="auto" w:before="0"/>
        <w:ind w:left="99" w:right="302" w:firstLine="0"/>
        <w:jc w:val="left"/>
        <w:rPr>
          <w:i/>
          <w:sz w:val="24"/>
        </w:rPr>
      </w:pPr>
      <w:r>
        <w:rPr>
          <w:i/>
          <w:sz w:val="24"/>
        </w:rPr>
        <w:t>Notes:</w:t>
      </w:r>
      <w:r>
        <w:rPr>
          <w:i/>
          <w:spacing w:val="40"/>
          <w:sz w:val="24"/>
        </w:rPr>
        <w:t> </w:t>
      </w:r>
      <w:r>
        <w:rPr>
          <w:i/>
          <w:sz w:val="24"/>
        </w:rPr>
        <w:t>The</w:t>
      </w:r>
      <w:r>
        <w:rPr>
          <w:i/>
          <w:spacing w:val="40"/>
          <w:sz w:val="24"/>
        </w:rPr>
        <w:t> </w:t>
      </w:r>
      <w:r>
        <w:rPr>
          <w:i/>
          <w:sz w:val="24"/>
        </w:rPr>
        <w:t>ordinal</w:t>
      </w:r>
      <w:r>
        <w:rPr>
          <w:i/>
          <w:spacing w:val="40"/>
          <w:sz w:val="24"/>
        </w:rPr>
        <w:t> </w:t>
      </w:r>
      <w:r>
        <w:rPr>
          <w:i/>
          <w:sz w:val="24"/>
        </w:rPr>
        <w:t>ranking</w:t>
      </w:r>
      <w:r>
        <w:rPr>
          <w:i/>
          <w:spacing w:val="40"/>
          <w:sz w:val="24"/>
        </w:rPr>
        <w:t> </w:t>
      </w:r>
      <w:r>
        <w:rPr>
          <w:i/>
          <w:sz w:val="24"/>
        </w:rPr>
        <w:t>is</w:t>
      </w:r>
      <w:r>
        <w:rPr>
          <w:i/>
          <w:spacing w:val="40"/>
          <w:sz w:val="24"/>
        </w:rPr>
        <w:t> </w:t>
      </w:r>
      <w:r>
        <w:rPr>
          <w:i/>
          <w:sz w:val="24"/>
        </w:rPr>
        <w:t>invariant</w:t>
      </w:r>
      <w:r>
        <w:rPr>
          <w:i/>
          <w:spacing w:val="40"/>
          <w:sz w:val="24"/>
        </w:rPr>
        <w:t> </w:t>
      </w:r>
      <w:r>
        <w:rPr>
          <w:i/>
          <w:sz w:val="24"/>
        </w:rPr>
        <w:t>across</w:t>
      </w:r>
      <w:r>
        <w:rPr>
          <w:i/>
          <w:spacing w:val="40"/>
          <w:sz w:val="24"/>
        </w:rPr>
        <w:t> </w:t>
      </w:r>
      <w:r>
        <w:rPr>
          <w:i/>
          <w:sz w:val="24"/>
        </w:rPr>
        <w:t>the</w:t>
      </w:r>
      <w:r>
        <w:rPr>
          <w:i/>
          <w:spacing w:val="40"/>
          <w:sz w:val="24"/>
        </w:rPr>
        <w:t> </w:t>
      </w:r>
      <w:r>
        <w:rPr>
          <w:i/>
          <w:sz w:val="24"/>
        </w:rPr>
        <w:t>digital-adoption</w:t>
      </w:r>
      <w:r>
        <w:rPr>
          <w:i/>
          <w:spacing w:val="40"/>
          <w:sz w:val="24"/>
        </w:rPr>
        <w:t> </w:t>
      </w:r>
      <w:r>
        <w:rPr>
          <w:i/>
          <w:sz w:val="24"/>
        </w:rPr>
        <w:t>range.</w:t>
      </w:r>
      <w:r>
        <w:rPr>
          <w:i/>
          <w:spacing w:val="40"/>
          <w:sz w:val="24"/>
        </w:rPr>
        <w:t> </w:t>
      </w:r>
      <w:r>
        <w:rPr>
          <w:i/>
          <w:sz w:val="24"/>
        </w:rPr>
        <w:t>P(Fail)</w:t>
      </w:r>
      <w:r>
        <w:rPr>
          <w:i/>
          <w:sz w:val="24"/>
        </w:rPr>
        <w:t> rises with D under every design in the simulation, matching the sign of (though not</w:t>
      </w:r>
      <w:r>
        <w:rPr>
          <w:i/>
          <w:spacing w:val="80"/>
          <w:w w:val="150"/>
          <w:sz w:val="24"/>
        </w:rPr>
        <w:t> </w:t>
      </w:r>
      <w:r>
        <w:rPr>
          <w:i/>
          <w:sz w:val="24"/>
        </w:rPr>
        <w:t>confirmed</w:t>
      </w:r>
      <w:r>
        <w:rPr>
          <w:i/>
          <w:spacing w:val="40"/>
          <w:sz w:val="24"/>
        </w:rPr>
        <w:t> </w:t>
      </w:r>
      <w:r>
        <w:rPr>
          <w:i/>
          <w:sz w:val="24"/>
        </w:rPr>
        <w:t>by,</w:t>
      </w:r>
      <w:r>
        <w:rPr>
          <w:i/>
          <w:spacing w:val="40"/>
          <w:sz w:val="24"/>
        </w:rPr>
        <w:t> </w:t>
      </w:r>
      <w:r>
        <w:rPr>
          <w:i/>
          <w:sz w:val="24"/>
        </w:rPr>
        <w:t>given</w:t>
      </w:r>
      <w:r>
        <w:rPr>
          <w:i/>
          <w:spacing w:val="40"/>
          <w:sz w:val="24"/>
        </w:rPr>
        <w:t> </w:t>
      </w:r>
      <w:r>
        <w:rPr>
          <w:i/>
          <w:sz w:val="24"/>
        </w:rPr>
        <w:t>θ₃’s</w:t>
      </w:r>
      <w:r>
        <w:rPr>
          <w:i/>
          <w:spacing w:val="40"/>
          <w:sz w:val="24"/>
        </w:rPr>
        <w:t> </w:t>
      </w:r>
      <w:r>
        <w:rPr>
          <w:i/>
          <w:sz w:val="24"/>
        </w:rPr>
        <w:t>non-significance)</w:t>
      </w:r>
      <w:r>
        <w:rPr>
          <w:i/>
          <w:spacing w:val="40"/>
          <w:sz w:val="24"/>
        </w:rPr>
        <w:t> </w:t>
      </w:r>
      <w:r>
        <w:rPr>
          <w:i/>
          <w:sz w:val="24"/>
        </w:rPr>
        <w:t>the</w:t>
      </w:r>
      <w:r>
        <w:rPr>
          <w:i/>
          <w:spacing w:val="40"/>
          <w:sz w:val="24"/>
        </w:rPr>
        <w:t> </w:t>
      </w:r>
      <w:r>
        <w:rPr>
          <w:i/>
          <w:sz w:val="24"/>
        </w:rPr>
        <w:t>panel</w:t>
      </w:r>
      <w:r>
        <w:rPr>
          <w:i/>
          <w:spacing w:val="40"/>
          <w:sz w:val="24"/>
        </w:rPr>
        <w:t> </w:t>
      </w:r>
      <w:r>
        <w:rPr>
          <w:i/>
          <w:sz w:val="24"/>
        </w:rPr>
        <w:t>digital-adoption</w:t>
      </w:r>
      <w:r>
        <w:rPr>
          <w:i/>
          <w:spacing w:val="40"/>
          <w:sz w:val="24"/>
        </w:rPr>
        <w:t> </w:t>
      </w:r>
      <w:r>
        <w:rPr>
          <w:i/>
          <w:sz w:val="24"/>
        </w:rPr>
        <w:t>coefficient</w:t>
      </w:r>
      <w:r>
        <w:rPr>
          <w:i/>
          <w:spacing w:val="40"/>
          <w:sz w:val="24"/>
        </w:rPr>
        <w:t> </w:t>
      </w:r>
      <w:r>
        <w:rPr>
          <w:i/>
          <w:sz w:val="24"/>
        </w:rPr>
        <w:t>(Table</w:t>
      </w:r>
      <w:r>
        <w:rPr>
          <w:i/>
          <w:spacing w:val="80"/>
          <w:w w:val="150"/>
          <w:sz w:val="24"/>
        </w:rPr>
        <w:t> </w:t>
      </w:r>
      <w:r>
        <w:rPr>
          <w:i/>
          <w:sz w:val="24"/>
        </w:rPr>
        <w:t>2b);</w:t>
      </w:r>
      <w:r>
        <w:rPr>
          <w:i/>
          <w:spacing w:val="80"/>
          <w:w w:val="150"/>
          <w:sz w:val="24"/>
        </w:rPr>
        <w:t> </w:t>
      </w:r>
      <w:r>
        <w:rPr>
          <w:i/>
          <w:sz w:val="24"/>
        </w:rPr>
        <w:t>the</w:t>
      </w:r>
      <w:r>
        <w:rPr>
          <w:i/>
          <w:spacing w:val="80"/>
          <w:sz w:val="24"/>
        </w:rPr>
        <w:t> </w:t>
      </w:r>
      <w:r>
        <w:rPr>
          <w:i/>
          <w:sz w:val="24"/>
        </w:rPr>
        <w:t>simulation’s</w:t>
      </w:r>
      <w:r>
        <w:rPr>
          <w:i/>
          <w:spacing w:val="80"/>
          <w:w w:val="150"/>
          <w:sz w:val="24"/>
        </w:rPr>
        <w:t> </w:t>
      </w:r>
      <w:r>
        <w:rPr>
          <w:i/>
          <w:sz w:val="24"/>
        </w:rPr>
        <w:t>D-sensitivity</w:t>
      </w:r>
      <w:r>
        <w:rPr>
          <w:i/>
          <w:spacing w:val="80"/>
          <w:w w:val="150"/>
          <w:sz w:val="24"/>
        </w:rPr>
        <w:t> </w:t>
      </w:r>
      <w:r>
        <w:rPr>
          <w:i/>
          <w:sz w:val="24"/>
        </w:rPr>
        <w:t>is</w:t>
      </w:r>
      <w:r>
        <w:rPr>
          <w:i/>
          <w:spacing w:val="80"/>
          <w:w w:val="150"/>
          <w:sz w:val="24"/>
        </w:rPr>
        <w:t> </w:t>
      </w:r>
      <w:r>
        <w:rPr>
          <w:i/>
          <w:sz w:val="24"/>
        </w:rPr>
        <w:t>a</w:t>
      </w:r>
      <w:r>
        <w:rPr>
          <w:i/>
          <w:spacing w:val="80"/>
          <w:w w:val="150"/>
          <w:sz w:val="24"/>
        </w:rPr>
        <w:t> </w:t>
      </w:r>
      <w:r>
        <w:rPr>
          <w:i/>
          <w:sz w:val="24"/>
        </w:rPr>
        <w:t>literature-bounded</w:t>
      </w:r>
      <w:r>
        <w:rPr>
          <w:i/>
          <w:spacing w:val="80"/>
          <w:w w:val="150"/>
          <w:sz w:val="24"/>
        </w:rPr>
        <w:t> </w:t>
      </w:r>
      <w:r>
        <w:rPr>
          <w:i/>
          <w:sz w:val="24"/>
        </w:rPr>
        <w:t>parameter (OUTFLOW_DIGITAL_SENSITIVITY, Table 3), not itself estimated from θ₃. The rise is markedly steeper for Unconstrained (+19.2pp low→high) than for DynCap+Tiered (+8.2pp),</w:t>
      </w:r>
      <w:r>
        <w:rPr>
          <w:i/>
          <w:spacing w:val="40"/>
          <w:sz w:val="24"/>
        </w:rPr>
        <w:t> </w:t>
      </w:r>
      <w:r>
        <w:rPr>
          <w:i/>
          <w:sz w:val="24"/>
        </w:rPr>
        <w:t>so</w:t>
      </w:r>
      <w:r>
        <w:rPr>
          <w:i/>
          <w:spacing w:val="40"/>
          <w:sz w:val="24"/>
        </w:rPr>
        <w:t> </w:t>
      </w:r>
      <w:r>
        <w:rPr>
          <w:i/>
          <w:sz w:val="24"/>
        </w:rPr>
        <w:t>DynCap+Tiered’s</w:t>
      </w:r>
      <w:r>
        <w:rPr>
          <w:i/>
          <w:spacing w:val="40"/>
          <w:sz w:val="24"/>
        </w:rPr>
        <w:t> </w:t>
      </w:r>
      <w:r>
        <w:rPr>
          <w:i/>
          <w:sz w:val="24"/>
        </w:rPr>
        <w:t>advantage</w:t>
      </w:r>
      <w:r>
        <w:rPr>
          <w:i/>
          <w:spacing w:val="40"/>
          <w:sz w:val="24"/>
        </w:rPr>
        <w:t> </w:t>
      </w:r>
      <w:r>
        <w:rPr>
          <w:i/>
          <w:sz w:val="24"/>
        </w:rPr>
        <w:t>over</w:t>
      </w:r>
      <w:r>
        <w:rPr>
          <w:i/>
          <w:spacing w:val="40"/>
          <w:sz w:val="24"/>
        </w:rPr>
        <w:t> </w:t>
      </w:r>
      <w:r>
        <w:rPr>
          <w:i/>
          <w:sz w:val="24"/>
        </w:rPr>
        <w:t>Unconstrained</w:t>
      </w:r>
      <w:r>
        <w:rPr>
          <w:i/>
          <w:spacing w:val="40"/>
          <w:sz w:val="24"/>
        </w:rPr>
        <w:t> </w:t>
      </w:r>
      <w:r>
        <w:rPr>
          <w:i/>
          <w:sz w:val="24"/>
        </w:rPr>
        <w:t>widens</w:t>
      </w:r>
      <w:r>
        <w:rPr>
          <w:i/>
          <w:spacing w:val="40"/>
          <w:sz w:val="24"/>
        </w:rPr>
        <w:t> </w:t>
      </w:r>
      <w:r>
        <w:rPr>
          <w:i/>
          <w:sz w:val="24"/>
        </w:rPr>
        <w:t>from</w:t>
      </w:r>
      <w:r>
        <w:rPr>
          <w:i/>
          <w:spacing w:val="39"/>
          <w:sz w:val="24"/>
        </w:rPr>
        <w:t> </w:t>
      </w:r>
      <w:r>
        <w:rPr>
          <w:i/>
          <w:sz w:val="24"/>
        </w:rPr>
        <w:t>16.2pp (low D) to 27.3pp (high D). Engine v6.0 direct Monte Carlo (N=120 per cell); digital adoption set by override, all other covariates at the Korea profile. The High-D cell</w:t>
      </w:r>
      <w:r>
        <w:rPr>
          <w:i/>
          <w:spacing w:val="80"/>
          <w:sz w:val="24"/>
        </w:rPr>
        <w:t> </w:t>
      </w:r>
      <w:r>
        <w:rPr>
          <w:i/>
          <w:sz w:val="24"/>
        </w:rPr>
        <w:t>(D=0.92, the Korea profile value) reproduces the headline Table 4 comparison within Monte Carlo error (DynCap 0.1402 vs 0.1400; Unconstrained 0.4127 vs 0.4118; the 27.3pp gap here vs 27.2pp in Table 4 reflects N=120 vs N=300).</w:t>
      </w:r>
    </w:p>
    <w:p>
      <w:pPr>
        <w:pStyle w:val="BodyText"/>
        <w:ind w:left="0"/>
        <w:rPr>
          <w:i/>
        </w:rPr>
      </w:pPr>
    </w:p>
    <w:p>
      <w:pPr>
        <w:pStyle w:val="BodyText"/>
        <w:spacing w:before="234"/>
        <w:ind w:left="0"/>
        <w:rPr>
          <w:i/>
        </w:rPr>
      </w:pPr>
    </w:p>
    <w:p>
      <w:pPr>
        <w:pStyle w:val="Heading2"/>
        <w:numPr>
          <w:ilvl w:val="1"/>
          <w:numId w:val="1"/>
        </w:numPr>
        <w:tabs>
          <w:tab w:pos="457" w:val="left" w:leader="none"/>
        </w:tabs>
        <w:spacing w:line="240" w:lineRule="auto" w:before="0" w:after="0"/>
        <w:ind w:left="457" w:right="0" w:hanging="358"/>
        <w:jc w:val="left"/>
        <w:rPr>
          <w:i/>
        </w:rPr>
      </w:pPr>
      <w:r>
        <w:rPr>
          <w:i/>
        </w:rPr>
        <w:t>Welfare</w:t>
      </w:r>
      <w:r>
        <w:rPr>
          <w:i/>
          <w:spacing w:val="-11"/>
        </w:rPr>
        <w:t> </w:t>
      </w:r>
      <w:r>
        <w:rPr>
          <w:i/>
        </w:rPr>
        <w:t>Weight</w:t>
      </w:r>
      <w:r>
        <w:rPr>
          <w:i/>
          <w:spacing w:val="-10"/>
        </w:rPr>
        <w:t> </w:t>
      </w:r>
      <w:r>
        <w:rPr>
          <w:i/>
          <w:spacing w:val="-2"/>
        </w:rPr>
        <w:t>Sensitivity</w:t>
      </w:r>
    </w:p>
    <w:p>
      <w:pPr>
        <w:pStyle w:val="BodyText"/>
        <w:spacing w:before="79"/>
        <w:ind w:left="0"/>
        <w:rPr>
          <w:b/>
          <w:i/>
        </w:rPr>
      </w:pPr>
    </w:p>
    <w:p>
      <w:pPr>
        <w:pStyle w:val="BodyText"/>
        <w:spacing w:line="480" w:lineRule="auto"/>
        <w:ind w:right="382"/>
        <w:jc w:val="both"/>
      </w:pPr>
      <w:r>
        <w:rPr/>
        <w:t>Revealed-preference</w:t>
      </w:r>
      <w:r>
        <w:rPr>
          <w:spacing w:val="-9"/>
        </w:rPr>
        <w:t> </w:t>
      </w:r>
      <w:r>
        <w:rPr/>
        <w:t>weights</w:t>
      </w:r>
      <w:r>
        <w:rPr>
          <w:spacing w:val="-6"/>
        </w:rPr>
        <w:t> </w:t>
      </w:r>
      <w:r>
        <w:rPr/>
        <w:t>(stability=0.019,</w:t>
      </w:r>
      <w:r>
        <w:rPr>
          <w:spacing w:val="-6"/>
        </w:rPr>
        <w:t> </w:t>
      </w:r>
      <w:r>
        <w:rPr/>
        <w:t>welfare=0.981)</w:t>
      </w:r>
      <w:r>
        <w:rPr>
          <w:spacing w:val="-7"/>
        </w:rPr>
        <w:t> </w:t>
      </w:r>
      <w:r>
        <w:rPr/>
        <w:t>leave</w:t>
      </w:r>
      <w:r>
        <w:rPr>
          <w:spacing w:val="-7"/>
        </w:rPr>
        <w:t> </w:t>
      </w:r>
      <w:r>
        <w:rPr/>
        <w:t>the</w:t>
      </w:r>
      <w:r>
        <w:rPr>
          <w:spacing w:val="-7"/>
        </w:rPr>
        <w:t> </w:t>
      </w:r>
      <w:r>
        <w:rPr/>
        <w:t>within-CBDC ranking and No CBDC reference result unchanged.</w:t>
      </w:r>
    </w:p>
    <w:p>
      <w:pPr>
        <w:pStyle w:val="BodyText"/>
        <w:spacing w:before="85"/>
        <w:ind w:left="0"/>
      </w:pPr>
    </w:p>
    <w:p>
      <w:pPr>
        <w:pStyle w:val="Heading1"/>
        <w:numPr>
          <w:ilvl w:val="0"/>
          <w:numId w:val="1"/>
        </w:numPr>
        <w:tabs>
          <w:tab w:pos="337" w:val="left" w:leader="none"/>
        </w:tabs>
        <w:spacing w:line="240" w:lineRule="auto" w:before="0" w:after="0"/>
        <w:ind w:left="337" w:right="0" w:hanging="238"/>
        <w:jc w:val="left"/>
      </w:pPr>
      <w:r>
        <w:rPr>
          <w:spacing w:val="-2"/>
        </w:rPr>
        <w:t>Pareto-Efficient</w:t>
      </w:r>
      <w:r>
        <w:rPr>
          <w:spacing w:val="4"/>
        </w:rPr>
        <w:t> </w:t>
      </w:r>
      <w:r>
        <w:rPr>
          <w:spacing w:val="-2"/>
        </w:rPr>
        <w:t>Holding</w:t>
      </w:r>
      <w:r>
        <w:rPr>
          <w:spacing w:val="3"/>
        </w:rPr>
        <w:t> </w:t>
      </w:r>
      <w:r>
        <w:rPr>
          <w:spacing w:val="-2"/>
        </w:rPr>
        <w:t>Limit</w:t>
      </w:r>
      <w:r>
        <w:rPr>
          <w:spacing w:val="3"/>
        </w:rPr>
        <w:t> </w:t>
      </w:r>
      <w:r>
        <w:rPr>
          <w:spacing w:val="-2"/>
        </w:rPr>
        <w:t>Analysis</w:t>
      </w:r>
    </w:p>
    <w:p>
      <w:pPr>
        <w:pStyle w:val="BodyText"/>
        <w:spacing w:before="119"/>
        <w:ind w:left="0"/>
        <w:rPr>
          <w:b/>
        </w:rPr>
      </w:pPr>
    </w:p>
    <w:p>
      <w:pPr>
        <w:pStyle w:val="BodyText"/>
        <w:spacing w:line="480" w:lineRule="auto"/>
        <w:ind w:right="379"/>
        <w:jc w:val="both"/>
      </w:pPr>
      <w:r>
        <w:rPr>
          <w:b/>
        </w:rPr>
        <w:t>A note on how to read the numbers in this section. </w:t>
      </w:r>
      <w:r>
        <w:rPr/>
        <w:t>Every KRW figure below</w:t>
      </w:r>
      <w:r>
        <w:rPr>
          <w:spacing w:val="40"/>
        </w:rPr>
        <w:t> </w:t>
      </w:r>
      <w:r>
        <w:rPr/>
        <w:t>(7.5M</w:t>
      </w:r>
      <w:r>
        <w:rPr>
          <w:spacing w:val="40"/>
        </w:rPr>
        <w:t> </w:t>
      </w:r>
      <w:r>
        <w:rPr/>
        <w:t>coarse-grid,</w:t>
      </w:r>
      <w:r>
        <w:rPr>
          <w:spacing w:val="40"/>
        </w:rPr>
        <w:t> </w:t>
      </w:r>
      <w:r>
        <w:rPr/>
        <w:t>5.5M</w:t>
      </w:r>
      <w:r>
        <w:rPr>
          <w:spacing w:val="40"/>
        </w:rPr>
        <w:t> </w:t>
      </w:r>
      <w:r>
        <w:rPr/>
        <w:t>Korea</w:t>
      </w:r>
      <w:r>
        <w:rPr>
          <w:spacing w:val="40"/>
        </w:rPr>
        <w:t> </w:t>
      </w:r>
      <w:r>
        <w:rPr/>
        <w:t>fine-grid,</w:t>
      </w:r>
      <w:r>
        <w:rPr>
          <w:spacing w:val="40"/>
        </w:rPr>
        <w:t> </w:t>
      </w:r>
      <w:r>
        <w:rPr/>
        <w:t>and</w:t>
      </w:r>
      <w:r>
        <w:rPr>
          <w:spacing w:val="40"/>
        </w:rPr>
        <w:t> </w:t>
      </w:r>
      <w:r>
        <w:rPr/>
        <w:t>country-level</w:t>
      </w:r>
      <w:r>
        <w:rPr>
          <w:spacing w:val="40"/>
        </w:rPr>
        <w:t> </w:t>
      </w:r>
      <w:r>
        <w:rPr/>
        <w:t>variants)</w:t>
      </w:r>
      <w:r>
        <w:rPr>
          <w:spacing w:val="40"/>
        </w:rPr>
        <w:t> </w:t>
      </w:r>
      <w:r>
        <w:rPr/>
        <w:t>is</w:t>
      </w:r>
      <w:r>
        <w:rPr>
          <w:spacing w:val="40"/>
        </w:rPr>
        <w:t> </w:t>
      </w:r>
      <w:r>
        <w:rPr/>
        <w:t>a mechanism-diagnostic</w:t>
      </w:r>
      <w:r>
        <w:rPr>
          <w:spacing w:val="-2"/>
        </w:rPr>
        <w:t> </w:t>
      </w:r>
      <w:r>
        <w:rPr/>
        <w:t>output</w:t>
      </w:r>
      <w:r>
        <w:rPr>
          <w:spacing w:val="-1"/>
        </w:rPr>
        <w:t> </w:t>
      </w:r>
      <w:r>
        <w:rPr/>
        <w:t>of</w:t>
      </w:r>
      <w:r>
        <w:rPr>
          <w:spacing w:val="-2"/>
        </w:rPr>
        <w:t> </w:t>
      </w:r>
      <w:r>
        <w:rPr/>
        <w:t>this</w:t>
      </w:r>
      <w:r>
        <w:rPr>
          <w:spacing w:val="-1"/>
        </w:rPr>
        <w:t> </w:t>
      </w:r>
      <w:r>
        <w:rPr/>
        <w:t>paper’s</w:t>
      </w:r>
      <w:r>
        <w:rPr>
          <w:spacing w:val="-1"/>
        </w:rPr>
        <w:t> </w:t>
      </w:r>
      <w:r>
        <w:rPr/>
        <w:t>calibrated simulation:</w:t>
      </w:r>
      <w:r>
        <w:rPr>
          <w:spacing w:val="-1"/>
        </w:rPr>
        <w:t> </w:t>
      </w:r>
      <w:r>
        <w:rPr/>
        <w:t>it</w:t>
      </w:r>
      <w:r>
        <w:rPr>
          <w:spacing w:val="-1"/>
        </w:rPr>
        <w:t> </w:t>
      </w:r>
      <w:r>
        <w:rPr/>
        <w:t>shows</w:t>
      </w:r>
      <w:r>
        <w:rPr>
          <w:spacing w:val="-1"/>
        </w:rPr>
        <w:t> </w:t>
      </w:r>
      <w:r>
        <w:rPr/>
        <w:t>where the estimated concentration×shock channel and literature-bounded CBDC parameters imply the stability-inclusion trade-off is locally minimised, under this paper’s assumptions and at N=300 Monte Carlo draws per cap. None of these figures is put forward as a portable policy recommendation, and this framing is maintained consistently through</w:t>
      </w:r>
      <w:r>
        <w:rPr>
          <w:spacing w:val="4"/>
        </w:rPr>
        <w:t> </w:t>
      </w:r>
      <w:r>
        <w:rPr/>
        <w:t>the</w:t>
      </w:r>
      <w:r>
        <w:rPr>
          <w:spacing w:val="4"/>
        </w:rPr>
        <w:t> </w:t>
      </w:r>
      <w:r>
        <w:rPr/>
        <w:t>section</w:t>
      </w:r>
      <w:r>
        <w:rPr>
          <w:spacing w:val="4"/>
        </w:rPr>
        <w:t> </w:t>
      </w:r>
      <w:r>
        <w:rPr/>
        <w:t>rather</w:t>
      </w:r>
      <w:r>
        <w:rPr>
          <w:spacing w:val="4"/>
        </w:rPr>
        <w:t> </w:t>
      </w:r>
      <w:r>
        <w:rPr/>
        <w:t>than</w:t>
      </w:r>
      <w:r>
        <w:rPr>
          <w:spacing w:val="5"/>
        </w:rPr>
        <w:t> </w:t>
      </w:r>
      <w:r>
        <w:rPr/>
        <w:t>only in</w:t>
      </w:r>
      <w:r>
        <w:rPr>
          <w:spacing w:val="4"/>
        </w:rPr>
        <w:t> </w:t>
      </w:r>
      <w:r>
        <w:rPr/>
        <w:t>the</w:t>
      </w:r>
      <w:r>
        <w:rPr>
          <w:spacing w:val="4"/>
        </w:rPr>
        <w:t> </w:t>
      </w:r>
      <w:r>
        <w:rPr/>
        <w:t>caveats</w:t>
      </w:r>
      <w:r>
        <w:rPr>
          <w:spacing w:val="5"/>
        </w:rPr>
        <w:t> </w:t>
      </w:r>
      <w:r>
        <w:rPr/>
        <w:t>below</w:t>
      </w:r>
      <w:r>
        <w:rPr>
          <w:spacing w:val="4"/>
        </w:rPr>
        <w:t> </w:t>
      </w:r>
      <w:r>
        <w:rPr/>
        <w:t>each</w:t>
      </w:r>
      <w:r>
        <w:rPr>
          <w:spacing w:val="4"/>
        </w:rPr>
        <w:t> </w:t>
      </w:r>
      <w:r>
        <w:rPr/>
        <w:t>table.</w:t>
      </w:r>
      <w:r>
        <w:rPr>
          <w:spacing w:val="4"/>
        </w:rPr>
        <w:t> </w:t>
      </w:r>
      <w:r>
        <w:rPr>
          <w:spacing w:val="-5"/>
        </w:rPr>
        <w:t>The</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13"/>
        <w:jc w:val="both"/>
      </w:pPr>
      <w:r>
        <w:rPr/>
        <w:t>section’s</w:t>
      </w:r>
      <w:r>
        <w:rPr>
          <w:spacing w:val="-3"/>
        </w:rPr>
        <w:t> </w:t>
      </w:r>
      <w:r>
        <w:rPr/>
        <w:t>actionable</w:t>
      </w:r>
      <w:r>
        <w:rPr>
          <w:spacing w:val="-3"/>
        </w:rPr>
        <w:t> </w:t>
      </w:r>
      <w:r>
        <w:rPr/>
        <w:t>conclusion</w:t>
      </w:r>
      <w:r>
        <w:rPr>
          <w:spacing w:val="-3"/>
        </w:rPr>
        <w:t> </w:t>
      </w:r>
      <w:r>
        <w:rPr/>
        <w:t>is</w:t>
      </w:r>
      <w:r>
        <w:rPr>
          <w:spacing w:val="-3"/>
        </w:rPr>
        <w:t> </w:t>
      </w:r>
      <w:r>
        <w:rPr/>
        <w:t>qualitative</w:t>
      </w:r>
      <w:r>
        <w:rPr>
          <w:spacing w:val="-3"/>
        </w:rPr>
        <w:t> </w:t>
      </w:r>
      <w:r>
        <w:rPr/>
        <w:t>and</w:t>
      </w:r>
      <w:r>
        <w:rPr>
          <w:spacing w:val="-3"/>
        </w:rPr>
        <w:t> </w:t>
      </w:r>
      <w:r>
        <w:rPr/>
        <w:t>robust</w:t>
      </w:r>
      <w:r>
        <w:rPr>
          <w:spacing w:val="-2"/>
        </w:rPr>
        <w:t> </w:t>
      </w:r>
      <w:r>
        <w:rPr/>
        <w:t>across</w:t>
      </w:r>
      <w:r>
        <w:rPr>
          <w:spacing w:val="-3"/>
        </w:rPr>
        <w:t> </w:t>
      </w:r>
      <w:r>
        <w:rPr/>
        <w:t>every</w:t>
      </w:r>
      <w:r>
        <w:rPr>
          <w:spacing w:val="-5"/>
        </w:rPr>
        <w:t> </w:t>
      </w:r>
      <w:r>
        <w:rPr/>
        <w:t>check</w:t>
      </w:r>
      <w:r>
        <w:rPr>
          <w:spacing w:val="-3"/>
        </w:rPr>
        <w:t> </w:t>
      </w:r>
      <w:r>
        <w:rPr/>
        <w:t>performed: a dynamic, tiered holding cap dominates a fixed cap of any level, and the specific threshold</w:t>
      </w:r>
      <w:r>
        <w:rPr>
          <w:spacing w:val="80"/>
        </w:rPr>
        <w:t> </w:t>
      </w:r>
      <w:r>
        <w:rPr/>
        <w:t>at</w:t>
      </w:r>
      <w:r>
        <w:rPr>
          <w:spacing w:val="80"/>
        </w:rPr>
        <w:t> </w:t>
      </w:r>
      <w:r>
        <w:rPr/>
        <w:t>which</w:t>
      </w:r>
      <w:r>
        <w:rPr>
          <w:spacing w:val="80"/>
        </w:rPr>
        <w:t> </w:t>
      </w:r>
      <w:r>
        <w:rPr/>
        <w:t>that</w:t>
      </w:r>
      <w:r>
        <w:rPr>
          <w:spacing w:val="80"/>
        </w:rPr>
        <w:t> </w:t>
      </w:r>
      <w:r>
        <w:rPr/>
        <w:t>dominance</w:t>
      </w:r>
      <w:r>
        <w:rPr>
          <w:spacing w:val="80"/>
        </w:rPr>
        <w:t> </w:t>
      </w:r>
      <w:r>
        <w:rPr/>
        <w:t>is</w:t>
      </w:r>
      <w:r>
        <w:rPr>
          <w:spacing w:val="80"/>
        </w:rPr>
        <w:t> </w:t>
      </w:r>
      <w:r>
        <w:rPr/>
        <w:t>locally</w:t>
      </w:r>
      <w:r>
        <w:rPr>
          <w:spacing w:val="80"/>
        </w:rPr>
        <w:t> </w:t>
      </w:r>
      <w:r>
        <w:rPr/>
        <w:t>sharpest</w:t>
      </w:r>
      <w:r>
        <w:rPr>
          <w:spacing w:val="80"/>
        </w:rPr>
        <w:t> </w:t>
      </w:r>
      <w:r>
        <w:rPr/>
        <w:t>is</w:t>
      </w:r>
      <w:r>
        <w:rPr>
          <w:spacing w:val="80"/>
        </w:rPr>
        <w:t> </w:t>
      </w:r>
      <w:r>
        <w:rPr/>
        <w:t>country-</w:t>
      </w:r>
      <w:r>
        <w:rPr>
          <w:spacing w:val="80"/>
        </w:rPr>
        <w:t> </w:t>
      </w:r>
      <w:r>
        <w:rPr/>
        <w:t>and </w:t>
      </w:r>
      <w:r>
        <w:rPr>
          <w:spacing w:val="-2"/>
        </w:rPr>
        <w:t>assumption-dependent.</w:t>
      </w:r>
    </w:p>
    <w:p>
      <w:pPr>
        <w:pStyle w:val="Heading2"/>
        <w:numPr>
          <w:ilvl w:val="1"/>
          <w:numId w:val="1"/>
        </w:numPr>
        <w:tabs>
          <w:tab w:pos="457" w:val="left" w:leader="none"/>
        </w:tabs>
        <w:spacing w:line="240" w:lineRule="auto" w:before="240" w:after="0"/>
        <w:ind w:left="457" w:right="0" w:hanging="358"/>
        <w:jc w:val="both"/>
        <w:rPr>
          <w:i/>
        </w:rPr>
      </w:pPr>
      <w:r>
        <w:rPr>
          <w:i/>
        </w:rPr>
        <w:t>Problem</w:t>
      </w:r>
      <w:r>
        <w:rPr>
          <w:i/>
          <w:spacing w:val="-13"/>
        </w:rPr>
        <w:t> </w:t>
      </w:r>
      <w:r>
        <w:rPr>
          <w:i/>
          <w:spacing w:val="-2"/>
        </w:rPr>
        <w:t>Formulation</w:t>
      </w:r>
    </w:p>
    <w:p>
      <w:pPr>
        <w:pStyle w:val="BodyText"/>
        <w:spacing w:before="79"/>
        <w:ind w:left="0"/>
        <w:rPr>
          <w:b/>
          <w:i/>
        </w:rPr>
      </w:pPr>
    </w:p>
    <w:p>
      <w:pPr>
        <w:pStyle w:val="BodyText"/>
        <w:tabs>
          <w:tab w:pos="840" w:val="left" w:leader="none"/>
          <w:tab w:pos="1348" w:val="left" w:leader="none"/>
          <w:tab w:pos="1718" w:val="left" w:leader="none"/>
          <w:tab w:pos="1773" w:val="left" w:leader="none"/>
          <w:tab w:pos="1864" w:val="left" w:leader="none"/>
          <w:tab w:pos="2288" w:val="left" w:leader="none"/>
          <w:tab w:pos="2420" w:val="left" w:leader="none"/>
          <w:tab w:pos="2845" w:val="left" w:leader="none"/>
          <w:tab w:pos="2989" w:val="left" w:leader="none"/>
          <w:tab w:pos="3109" w:val="left" w:leader="none"/>
          <w:tab w:pos="3404" w:val="left" w:leader="none"/>
          <w:tab w:pos="3850" w:val="left" w:leader="none"/>
          <w:tab w:pos="4320" w:val="left" w:leader="none"/>
          <w:tab w:pos="4622" w:val="left" w:leader="none"/>
          <w:tab w:pos="4738" w:val="left" w:leader="none"/>
          <w:tab w:pos="5304" w:val="left" w:leader="none"/>
          <w:tab w:pos="5400" w:val="left" w:leader="none"/>
          <w:tab w:pos="5668" w:val="left" w:leader="none"/>
          <w:tab w:pos="6023" w:val="left" w:leader="none"/>
          <w:tab w:pos="6325" w:val="left" w:leader="none"/>
          <w:tab w:pos="6501" w:val="left" w:leader="none"/>
          <w:tab w:pos="7031" w:val="left" w:leader="none"/>
          <w:tab w:pos="7163" w:val="left" w:leader="none"/>
          <w:tab w:pos="7575" w:val="left" w:leader="none"/>
          <w:tab w:pos="7760" w:val="left" w:leader="none"/>
          <w:tab w:pos="7801" w:val="left" w:leader="none"/>
        </w:tabs>
        <w:spacing w:line="480" w:lineRule="auto"/>
        <w:ind w:right="302"/>
      </w:pPr>
      <w:r>
        <w:rPr/>
        <w:t>Within the CBDC design space (No CBDC excluded as a discrete adoption decision): </w:t>
      </w:r>
      <w:r>
        <w:rPr>
          <w:i/>
        </w:rPr>
        <w:t>Pareto</w:t>
      </w:r>
      <w:r>
        <w:rPr>
          <w:i/>
          <w:spacing w:val="-4"/>
        </w:rPr>
        <w:t> </w:t>
      </w:r>
      <w:r>
        <w:rPr>
          <w:i/>
        </w:rPr>
        <w:t>objectives:</w:t>
      </w:r>
      <w:r>
        <w:rPr>
          <w:i/>
          <w:spacing w:val="-4"/>
        </w:rPr>
        <w:t> </w:t>
      </w:r>
      <w:r>
        <w:rPr>
          <w:i/>
        </w:rPr>
        <w:t>min</w:t>
      </w:r>
      <w:r>
        <w:rPr>
          <w:i/>
          <w:spacing w:val="-4"/>
        </w:rPr>
        <w:t> </w:t>
      </w:r>
      <w:r>
        <w:rPr>
          <w:i/>
        </w:rPr>
        <w:t>P(Fail;</w:t>
      </w:r>
      <w:r>
        <w:rPr>
          <w:i/>
          <w:spacing w:val="-4"/>
        </w:rPr>
        <w:t> </w:t>
      </w:r>
      <w:r>
        <w:rPr>
          <w:i/>
        </w:rPr>
        <w:t>cap)</w:t>
      </w:r>
      <w:r>
        <w:rPr>
          <w:i/>
          <w:spacing w:val="-6"/>
        </w:rPr>
        <w:t> </w:t>
      </w:r>
      <w:r>
        <w:rPr>
          <w:i/>
        </w:rPr>
        <w:t>and</w:t>
      </w:r>
      <w:r>
        <w:rPr>
          <w:i/>
          <w:spacing w:val="-4"/>
        </w:rPr>
        <w:t> </w:t>
      </w:r>
      <w:r>
        <w:rPr>
          <w:i/>
        </w:rPr>
        <w:t>max</w:t>
      </w:r>
      <w:r>
        <w:rPr>
          <w:i/>
          <w:spacing w:val="-4"/>
        </w:rPr>
        <w:t> </w:t>
      </w:r>
      <w:r>
        <w:rPr>
          <w:i/>
        </w:rPr>
        <w:t>W(cap),</w:t>
      </w:r>
      <w:r>
        <w:rPr>
          <w:i/>
          <w:spacing w:val="-1"/>
        </w:rPr>
        <w:t> </w:t>
      </w:r>
      <w:r>
        <w:rPr>
          <w:i/>
        </w:rPr>
        <w:t>cap</w:t>
      </w:r>
      <w:r>
        <w:rPr>
          <w:i/>
          <w:spacing w:val="-4"/>
        </w:rPr>
        <w:t> </w:t>
      </w:r>
      <w:r>
        <w:rPr>
          <w:i/>
        </w:rPr>
        <w:t>in</w:t>
      </w:r>
      <w:r>
        <w:rPr>
          <w:i/>
          <w:spacing w:val="-5"/>
        </w:rPr>
        <w:t> </w:t>
      </w:r>
      <w:r>
        <w:rPr>
          <w:i/>
        </w:rPr>
        <w:t>[2.5M,</w:t>
      </w:r>
      <w:r>
        <w:rPr>
          <w:i/>
          <w:spacing w:val="-4"/>
        </w:rPr>
        <w:t> </w:t>
      </w:r>
      <w:r>
        <w:rPr>
          <w:i/>
        </w:rPr>
        <w:t>50M] KRW</w:t>
      </w:r>
      <w:r>
        <w:rPr>
          <w:i/>
          <w:spacing w:val="-6"/>
        </w:rPr>
        <w:t> </w:t>
      </w:r>
      <w:r>
        <w:rPr>
          <w:i/>
        </w:rPr>
        <w:t>(Eq.</w:t>
      </w:r>
      <w:r>
        <w:rPr>
          <w:i/>
          <w:spacing w:val="-4"/>
        </w:rPr>
        <w:t> </w:t>
      </w:r>
      <w:r>
        <w:rPr>
          <w:i/>
        </w:rPr>
        <w:t>3)</w:t>
      </w:r>
      <w:r>
        <w:rPr>
          <w:i/>
        </w:rPr>
        <w:t> </w:t>
      </w:r>
      <w:r>
        <w:rPr/>
        <w:t>Holding-limit</w:t>
      </w:r>
      <w:r>
        <w:rPr>
          <w:spacing w:val="40"/>
        </w:rPr>
        <w:t> </w:t>
      </w:r>
      <w:r>
        <w:rPr/>
        <w:t>results</w:t>
      </w:r>
      <w:r>
        <w:rPr>
          <w:spacing w:val="40"/>
        </w:rPr>
        <w:t> </w:t>
      </w:r>
      <w:r>
        <w:rPr/>
        <w:t>are</w:t>
      </w:r>
      <w:r>
        <w:rPr>
          <w:spacing w:val="40"/>
        </w:rPr>
        <w:t> </w:t>
      </w:r>
      <w:r>
        <w:rPr/>
        <w:t>obtained</w:t>
      </w:r>
      <w:r>
        <w:rPr>
          <w:spacing w:val="40"/>
        </w:rPr>
        <w:t> </w:t>
      </w:r>
      <w:r>
        <w:rPr/>
        <w:t>by</w:t>
      </w:r>
      <w:r>
        <w:rPr>
          <w:spacing w:val="36"/>
        </w:rPr>
        <w:t> </w:t>
      </w:r>
      <w:r>
        <w:rPr/>
        <w:t>direct</w:t>
      </w:r>
      <w:r>
        <w:rPr>
          <w:spacing w:val="40"/>
        </w:rPr>
        <w:t> </w:t>
      </w:r>
      <w:r>
        <w:rPr/>
        <w:t>Monte</w:t>
      </w:r>
      <w:r>
        <w:rPr>
          <w:spacing w:val="38"/>
        </w:rPr>
        <w:t> </w:t>
      </w:r>
      <w:r>
        <w:rPr/>
        <w:t>Carlo</w:t>
      </w:r>
      <w:r>
        <w:rPr>
          <w:spacing w:val="38"/>
        </w:rPr>
        <w:t> </w:t>
      </w:r>
      <w:r>
        <w:rPr/>
        <w:t>re-simulation</w:t>
      </w:r>
      <w:r>
        <w:rPr>
          <w:spacing w:val="39"/>
        </w:rPr>
        <w:t> </w:t>
      </w:r>
      <w:r>
        <w:rPr/>
        <w:t>at</w:t>
      </w:r>
      <w:r>
        <w:rPr>
          <w:spacing w:val="40"/>
        </w:rPr>
        <w:t> </w:t>
      </w:r>
      <w:r>
        <w:rPr/>
        <w:t>each</w:t>
      </w:r>
      <w:r>
        <w:rPr>
          <w:spacing w:val="40"/>
        </w:rPr>
        <w:t> </w:t>
      </w:r>
      <w:r>
        <w:rPr/>
        <w:t>cap </w:t>
      </w:r>
      <w:r>
        <w:rPr>
          <w:spacing w:val="-2"/>
        </w:rPr>
        <w:t>level</w:t>
      </w:r>
      <w:r>
        <w:rPr/>
        <w:tab/>
      </w:r>
      <w:r>
        <w:rPr>
          <w:spacing w:val="-2"/>
        </w:rPr>
        <w:t>(N=300</w:t>
      </w:r>
      <w:r>
        <w:rPr/>
        <w:tab/>
        <w:tab/>
        <w:tab/>
      </w:r>
      <w:r>
        <w:rPr>
          <w:spacing w:val="-4"/>
        </w:rPr>
        <w:t>for</w:t>
      </w:r>
      <w:r>
        <w:rPr/>
        <w:tab/>
        <w:tab/>
      </w:r>
      <w:r>
        <w:rPr>
          <w:spacing w:val="-4"/>
        </w:rPr>
        <w:t>the</w:t>
      </w:r>
      <w:r>
        <w:rPr/>
        <w:tab/>
        <w:tab/>
      </w:r>
      <w:r>
        <w:rPr>
          <w:spacing w:val="-4"/>
        </w:rPr>
        <w:t>Korea</w:t>
      </w:r>
      <w:r>
        <w:rPr/>
        <w:tab/>
      </w:r>
      <w:r>
        <w:rPr>
          <w:spacing w:val="-2"/>
        </w:rPr>
        <w:t>coarse</w:t>
      </w:r>
      <w:r>
        <w:rPr/>
        <w:tab/>
        <w:tab/>
      </w:r>
      <w:r>
        <w:rPr>
          <w:spacing w:val="-4"/>
        </w:rPr>
        <w:t>grid</w:t>
      </w:r>
      <w:r>
        <w:rPr/>
        <w:tab/>
        <w:tab/>
      </w:r>
      <w:r>
        <w:rPr>
          <w:spacing w:val="-4"/>
        </w:rPr>
        <w:t>and</w:t>
      </w:r>
      <w:r>
        <w:rPr/>
        <w:tab/>
      </w:r>
      <w:r>
        <w:rPr>
          <w:spacing w:val="-2"/>
        </w:rPr>
        <w:t>country</w:t>
      </w:r>
      <w:r>
        <w:rPr/>
        <w:tab/>
      </w:r>
      <w:r>
        <w:rPr>
          <w:spacing w:val="-2"/>
        </w:rPr>
        <w:t>grid;</w:t>
      </w:r>
      <w:r>
        <w:rPr/>
        <w:tab/>
        <w:tab/>
      </w:r>
      <w:r>
        <w:rPr>
          <w:spacing w:val="-2"/>
        </w:rPr>
        <w:t>engine </w:t>
      </w:r>
      <w:r>
        <w:rPr/>
        <w:t>python-mt19937-v6.0),</w:t>
      </w:r>
      <w:r>
        <w:rPr>
          <w:spacing w:val="40"/>
        </w:rPr>
        <w:t> </w:t>
      </w:r>
      <w:r>
        <w:rPr/>
        <w:t>replacing</w:t>
      </w:r>
      <w:r>
        <w:rPr>
          <w:spacing w:val="40"/>
        </w:rPr>
        <w:t> </w:t>
      </w:r>
      <w:r>
        <w:rPr/>
        <w:t>the</w:t>
      </w:r>
      <w:r>
        <w:rPr>
          <w:spacing w:val="40"/>
        </w:rPr>
        <w:t> </w:t>
      </w:r>
      <w:r>
        <w:rPr/>
        <w:t>slope-extrapolation</w:t>
      </w:r>
      <w:r>
        <w:rPr>
          <w:spacing w:val="40"/>
        </w:rPr>
        <w:t> </w:t>
      </w:r>
      <w:r>
        <w:rPr/>
        <w:t>used</w:t>
      </w:r>
      <w:r>
        <w:rPr>
          <w:spacing w:val="40"/>
        </w:rPr>
        <w:t> </w:t>
      </w:r>
      <w:r>
        <w:rPr/>
        <w:t>in</w:t>
      </w:r>
      <w:r>
        <w:rPr>
          <w:spacing w:val="40"/>
        </w:rPr>
        <w:t> </w:t>
      </w:r>
      <w:r>
        <w:rPr/>
        <w:t>earlier</w:t>
      </w:r>
      <w:r>
        <w:rPr>
          <w:spacing w:val="40"/>
        </w:rPr>
        <w:t> </w:t>
      </w:r>
      <w:r>
        <w:rPr/>
        <w:t>drafts.</w:t>
      </w:r>
      <w:r>
        <w:rPr>
          <w:spacing w:val="40"/>
        </w:rPr>
        <w:t> </w:t>
      </w:r>
      <w:r>
        <w:rPr/>
        <w:t>A Korea</w:t>
      </w:r>
      <w:r>
        <w:rPr>
          <w:spacing w:val="40"/>
        </w:rPr>
        <w:t> </w:t>
      </w:r>
      <w:r>
        <w:rPr/>
        <w:t>fine-grid</w:t>
      </w:r>
      <w:r>
        <w:rPr>
          <w:spacing w:val="40"/>
        </w:rPr>
        <w:t> </w:t>
      </w:r>
      <w:r>
        <w:rPr/>
        <w:t>over</w:t>
      </w:r>
      <w:r>
        <w:rPr>
          <w:spacing w:val="40"/>
        </w:rPr>
        <w:t> </w:t>
      </w:r>
      <w:r>
        <w:rPr/>
        <w:t>5M-10M</w:t>
      </w:r>
      <w:r>
        <w:rPr>
          <w:spacing w:val="40"/>
        </w:rPr>
        <w:t> </w:t>
      </w:r>
      <w:r>
        <w:rPr/>
        <w:t>KRW</w:t>
      </w:r>
      <w:r>
        <w:rPr>
          <w:spacing w:val="40"/>
        </w:rPr>
        <w:t> </w:t>
      </w:r>
      <w:r>
        <w:rPr/>
        <w:t>was</w:t>
      </w:r>
      <w:r>
        <w:rPr>
          <w:spacing w:val="40"/>
        </w:rPr>
        <w:t> </w:t>
      </w:r>
      <w:r>
        <w:rPr/>
        <w:t>additionally</w:t>
      </w:r>
      <w:r>
        <w:rPr>
          <w:spacing w:val="40"/>
        </w:rPr>
        <w:t> </w:t>
      </w:r>
      <w:r>
        <w:rPr/>
        <w:t>run</w:t>
      </w:r>
      <w:r>
        <w:rPr>
          <w:spacing w:val="40"/>
        </w:rPr>
        <w:t> </w:t>
      </w:r>
      <w:r>
        <w:rPr/>
        <w:t>to</w:t>
      </w:r>
      <w:r>
        <w:rPr>
          <w:spacing w:val="40"/>
        </w:rPr>
        <w:t> </w:t>
      </w:r>
      <w:r>
        <w:rPr/>
        <w:t>diagnose</w:t>
      </w:r>
      <w:r>
        <w:rPr>
          <w:spacing w:val="40"/>
        </w:rPr>
        <w:t> </w:t>
      </w:r>
      <w:r>
        <w:rPr/>
        <w:t>the</w:t>
      </w:r>
      <w:r>
        <w:rPr>
          <w:spacing w:val="40"/>
        </w:rPr>
        <w:t> </w:t>
      </w:r>
      <w:r>
        <w:rPr/>
        <w:t>7.5M coarse-grid minimum. The fine-grid shows a discrete transition immediately above the tier-1</w:t>
      </w:r>
      <w:r>
        <w:rPr>
          <w:spacing w:val="40"/>
        </w:rPr>
        <w:t> </w:t>
      </w:r>
      <w:r>
        <w:rPr/>
        <w:t>threshold:</w:t>
      </w:r>
      <w:r>
        <w:rPr>
          <w:spacing w:val="40"/>
        </w:rPr>
        <w:t> </w:t>
      </w:r>
      <w:r>
        <w:rPr/>
        <w:t>P(Fail)</w:t>
      </w:r>
      <w:r>
        <w:rPr>
          <w:spacing w:val="40"/>
        </w:rPr>
        <w:t> </w:t>
      </w:r>
      <w:r>
        <w:rPr/>
        <w:t>is</w:t>
      </w:r>
      <w:r>
        <w:rPr>
          <w:spacing w:val="40"/>
        </w:rPr>
        <w:t> </w:t>
      </w:r>
      <w:r>
        <w:rPr/>
        <w:t>high</w:t>
      </w:r>
      <w:r>
        <w:rPr>
          <w:spacing w:val="40"/>
        </w:rPr>
        <w:t> </w:t>
      </w:r>
      <w:r>
        <w:rPr/>
        <w:t>at</w:t>
      </w:r>
      <w:r>
        <w:rPr>
          <w:spacing w:val="40"/>
        </w:rPr>
        <w:t> </w:t>
      </w:r>
      <w:r>
        <w:rPr/>
        <w:t>5M</w:t>
      </w:r>
      <w:r>
        <w:rPr>
          <w:spacing w:val="40"/>
        </w:rPr>
        <w:t> </w:t>
      </w:r>
      <w:r>
        <w:rPr/>
        <w:t>but</w:t>
      </w:r>
      <w:r>
        <w:rPr>
          <w:spacing w:val="40"/>
        </w:rPr>
        <w:t> </w:t>
      </w:r>
      <w:r>
        <w:rPr/>
        <w:t>drops</w:t>
      </w:r>
      <w:r>
        <w:rPr>
          <w:spacing w:val="40"/>
        </w:rPr>
        <w:t> </w:t>
      </w:r>
      <w:r>
        <w:rPr/>
        <w:t>at</w:t>
      </w:r>
      <w:r>
        <w:rPr>
          <w:spacing w:val="40"/>
        </w:rPr>
        <w:t> </w:t>
      </w:r>
      <w:r>
        <w:rPr/>
        <w:t>5.5M</w:t>
      </w:r>
      <w:r>
        <w:rPr>
          <w:spacing w:val="40"/>
        </w:rPr>
        <w:t> </w:t>
      </w:r>
      <w:r>
        <w:rPr/>
        <w:t>and</w:t>
      </w:r>
      <w:r>
        <w:rPr>
          <w:spacing w:val="40"/>
        </w:rPr>
        <w:t> </w:t>
      </w:r>
      <w:r>
        <w:rPr/>
        <w:t>then</w:t>
      </w:r>
      <w:r>
        <w:rPr>
          <w:spacing w:val="40"/>
        </w:rPr>
        <w:t> </w:t>
      </w:r>
      <w:r>
        <w:rPr/>
        <w:t>rises</w:t>
      </w:r>
      <w:r>
        <w:rPr>
          <w:spacing w:val="40"/>
        </w:rPr>
        <w:t> </w:t>
      </w:r>
      <w:r>
        <w:rPr/>
        <w:t>gradually through</w:t>
      </w:r>
      <w:r>
        <w:rPr>
          <w:spacing w:val="77"/>
        </w:rPr>
        <w:t> </w:t>
      </w:r>
      <w:r>
        <w:rPr/>
        <w:t>10M.</w:t>
      </w:r>
      <w:r>
        <w:rPr>
          <w:spacing w:val="79"/>
        </w:rPr>
        <w:t> </w:t>
      </w:r>
      <w:r>
        <w:rPr/>
        <w:t>The</w:t>
      </w:r>
      <w:r>
        <w:rPr>
          <w:spacing w:val="76"/>
        </w:rPr>
        <w:t> </w:t>
      </w:r>
      <w:r>
        <w:rPr/>
        <w:t>diagnostic</w:t>
      </w:r>
      <w:r>
        <w:rPr>
          <w:spacing w:val="76"/>
        </w:rPr>
        <w:t> </w:t>
      </w:r>
      <w:r>
        <w:rPr/>
        <w:t>therefore</w:t>
      </w:r>
      <w:r>
        <w:rPr>
          <w:spacing w:val="76"/>
        </w:rPr>
        <w:t> </w:t>
      </w:r>
      <w:r>
        <w:rPr/>
        <w:t>reinterprets</w:t>
      </w:r>
      <w:r>
        <w:rPr>
          <w:spacing w:val="77"/>
        </w:rPr>
        <w:t> </w:t>
      </w:r>
      <w:r>
        <w:rPr/>
        <w:t>the</w:t>
      </w:r>
      <w:r>
        <w:rPr>
          <w:spacing w:val="76"/>
        </w:rPr>
        <w:t> </w:t>
      </w:r>
      <w:r>
        <w:rPr/>
        <w:t>earlier</w:t>
      </w:r>
      <w:r>
        <w:rPr>
          <w:spacing w:val="79"/>
        </w:rPr>
        <w:t> </w:t>
      </w:r>
      <w:r>
        <w:rPr/>
        <w:t>7.5M</w:t>
      </w:r>
      <w:r>
        <w:rPr>
          <w:spacing w:val="77"/>
        </w:rPr>
        <w:t> </w:t>
      </w:r>
      <w:r>
        <w:rPr/>
        <w:t>value</w:t>
      </w:r>
      <w:r>
        <w:rPr>
          <w:spacing w:val="79"/>
        </w:rPr>
        <w:t> </w:t>
      </w:r>
      <w:r>
        <w:rPr/>
        <w:t>as</w:t>
      </w:r>
      <w:r>
        <w:rPr>
          <w:spacing w:val="77"/>
        </w:rPr>
        <w:t> </w:t>
      </w:r>
      <w:r>
        <w:rPr/>
        <w:t>a coarse-grid</w:t>
      </w:r>
      <w:r>
        <w:rPr>
          <w:spacing w:val="40"/>
        </w:rPr>
        <w:t> </w:t>
      </w:r>
      <w:r>
        <w:rPr/>
        <w:t>risk-minimum,</w:t>
      </w:r>
      <w:r>
        <w:rPr>
          <w:spacing w:val="40"/>
        </w:rPr>
        <w:t> </w:t>
      </w:r>
      <w:r>
        <w:rPr/>
        <w:t>not</w:t>
      </w:r>
      <w:r>
        <w:rPr>
          <w:spacing w:val="40"/>
        </w:rPr>
        <w:t> </w:t>
      </w:r>
      <w:r>
        <w:rPr/>
        <w:t>an</w:t>
      </w:r>
      <w:r>
        <w:rPr>
          <w:spacing w:val="40"/>
        </w:rPr>
        <w:t> </w:t>
      </w:r>
      <w:r>
        <w:rPr/>
        <w:t>exact</w:t>
      </w:r>
      <w:r>
        <w:rPr>
          <w:spacing w:val="40"/>
        </w:rPr>
        <w:t> </w:t>
      </w:r>
      <w:r>
        <w:rPr/>
        <w:t>continuous</w:t>
      </w:r>
      <w:r>
        <w:rPr>
          <w:spacing w:val="40"/>
        </w:rPr>
        <w:t> </w:t>
      </w:r>
      <w:r>
        <w:rPr/>
        <w:t>optimum.</w:t>
      </w:r>
      <w:r>
        <w:rPr>
          <w:spacing w:val="40"/>
        </w:rPr>
        <w:t> </w:t>
      </w:r>
      <w:r>
        <w:rPr/>
        <w:t>The</w:t>
      </w:r>
      <w:r>
        <w:rPr>
          <w:spacing w:val="40"/>
        </w:rPr>
        <w:t> </w:t>
      </w:r>
      <w:r>
        <w:rPr/>
        <w:t>mechanism</w:t>
      </w:r>
      <w:r>
        <w:rPr>
          <w:spacing w:val="40"/>
        </w:rPr>
        <w:t> </w:t>
      </w:r>
      <w:r>
        <w:rPr/>
        <w:t>is threshold activation of tiered remuneration rather than dynamic-cap cutting: the path diagnostics show no dynamic-cap cut in the 5M-10M runs, while the tiered structure becomes active only once cap exceeds the 5M tier-1 threshold. Appendix G reports a </w:t>
      </w:r>
      <w:r>
        <w:rPr>
          <w:spacing w:val="-2"/>
        </w:rPr>
        <w:t>supplementary</w:t>
      </w:r>
      <w:r>
        <w:rPr/>
        <w:tab/>
      </w:r>
      <w:r>
        <w:rPr>
          <w:spacing w:val="-2"/>
        </w:rPr>
        <w:t>selected-cap</w:t>
      </w:r>
      <w:r>
        <w:rPr/>
        <w:tab/>
        <w:tab/>
      </w:r>
      <w:r>
        <w:rPr>
          <w:spacing w:val="-2"/>
        </w:rPr>
        <w:t>cross-country</w:t>
      </w:r>
      <w:r>
        <w:rPr/>
        <w:tab/>
      </w:r>
      <w:r>
        <w:rPr>
          <w:spacing w:val="-2"/>
        </w:rPr>
        <w:t>fine-grid</w:t>
      </w:r>
      <w:r>
        <w:rPr/>
        <w:tab/>
      </w:r>
      <w:r>
        <w:rPr>
          <w:spacing w:val="-2"/>
        </w:rPr>
        <w:t>check;</w:t>
      </w:r>
      <w:r>
        <w:rPr/>
        <w:tab/>
        <w:tab/>
      </w:r>
      <w:r>
        <w:rPr>
          <w:spacing w:val="-2"/>
        </w:rPr>
        <w:t>higher-N</w:t>
      </w:r>
      <w:r>
        <w:rPr/>
        <w:tab/>
      </w:r>
      <w:r>
        <w:rPr>
          <w:spacing w:val="-2"/>
        </w:rPr>
        <w:t>archived replication</w:t>
      </w:r>
      <w:r>
        <w:rPr/>
        <w:tab/>
      </w:r>
      <w:r>
        <w:rPr>
          <w:spacing w:val="-6"/>
        </w:rPr>
        <w:t>of</w:t>
      </w:r>
      <w:r>
        <w:rPr/>
        <w:tab/>
        <w:tab/>
      </w:r>
      <w:r>
        <w:rPr>
          <w:spacing w:val="-4"/>
        </w:rPr>
        <w:t>the</w:t>
      </w:r>
      <w:r>
        <w:rPr/>
        <w:tab/>
      </w:r>
      <w:r>
        <w:rPr>
          <w:spacing w:val="-4"/>
        </w:rPr>
        <w:t>full</w:t>
      </w:r>
      <w:r>
        <w:rPr/>
        <w:tab/>
      </w:r>
      <w:r>
        <w:rPr>
          <w:spacing w:val="-4"/>
        </w:rPr>
        <w:t>cap</w:t>
      </w:r>
      <w:r>
        <w:rPr/>
        <w:tab/>
      </w:r>
      <w:r>
        <w:rPr>
          <w:spacing w:val="-2"/>
        </w:rPr>
        <w:t>surface</w:t>
      </w:r>
      <w:r>
        <w:rPr/>
        <w:tab/>
      </w:r>
      <w:r>
        <w:rPr>
          <w:spacing w:val="-2"/>
        </w:rPr>
        <w:t>remains</w:t>
      </w:r>
      <w:r>
        <w:rPr/>
        <w:tab/>
      </w:r>
      <w:r>
        <w:rPr>
          <w:spacing w:val="-2"/>
        </w:rPr>
        <w:t>required</w:t>
      </w:r>
      <w:r>
        <w:rPr/>
        <w:tab/>
      </w:r>
      <w:r>
        <w:rPr>
          <w:spacing w:val="-2"/>
        </w:rPr>
        <w:t>before</w:t>
      </w:r>
      <w:r>
        <w:rPr/>
        <w:tab/>
        <w:tab/>
      </w:r>
      <w:r>
        <w:rPr>
          <w:spacing w:val="-4"/>
        </w:rPr>
        <w:t>firm</w:t>
      </w:r>
      <w:r>
        <w:rPr/>
        <w:tab/>
        <w:tab/>
      </w:r>
      <w:r>
        <w:rPr>
          <w:spacing w:val="-2"/>
        </w:rPr>
        <w:t>policy recommendations.</w:t>
      </w:r>
    </w:p>
    <w:p>
      <w:pPr>
        <w:pStyle w:val="BodyText"/>
        <w:spacing w:after="0" w:line="480" w:lineRule="auto"/>
        <w:sectPr>
          <w:pgSz w:w="11900" w:h="16820"/>
          <w:pgMar w:header="714" w:footer="0" w:top="1340" w:bottom="280" w:left="1700" w:right="1417"/>
        </w:sectPr>
      </w:pPr>
    </w:p>
    <w:p>
      <w:pPr>
        <w:pStyle w:val="BodyText"/>
        <w:spacing w:before="8"/>
        <w:ind w:left="0"/>
        <w:rPr>
          <w:sz w:val="15"/>
        </w:rPr>
      </w:pPr>
    </w:p>
    <w:p>
      <w:pPr>
        <w:spacing w:line="240" w:lineRule="auto"/>
        <w:ind w:left="99" w:right="0" w:firstLine="0"/>
        <w:rPr>
          <w:sz w:val="20"/>
        </w:rPr>
      </w:pPr>
      <w:r>
        <w:rPr>
          <w:sz w:val="20"/>
        </w:rPr>
        <w:drawing>
          <wp:inline distT="0" distB="0" distL="0" distR="0">
            <wp:extent cx="5295429" cy="307238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295429" cy="3072383"/>
                    </a:xfrm>
                    <a:prstGeom prst="rect">
                      <a:avLst/>
                    </a:prstGeom>
                  </pic:spPr>
                </pic:pic>
              </a:graphicData>
            </a:graphic>
          </wp:inline>
        </w:drawing>
      </w:r>
      <w:r>
        <w:rPr>
          <w:sz w:val="20"/>
        </w:rPr>
      </w:r>
    </w:p>
    <w:p>
      <w:pPr>
        <w:pStyle w:val="Heading2"/>
        <w:spacing w:before="221"/>
        <w:ind w:left="274" w:right="475" w:firstLine="0"/>
        <w:jc w:val="center"/>
      </w:pPr>
      <w:r>
        <w:rPr>
          <w:i/>
        </w:rPr>
        <w:t>Figure5.</w:t>
      </w:r>
      <w:r>
        <w:rPr>
          <w:i/>
          <w:spacing w:val="-7"/>
        </w:rPr>
        <w:t> </w:t>
      </w:r>
      <w:r>
        <w:rPr>
          <w:i/>
        </w:rPr>
        <w:t>Stability–inclusion</w:t>
      </w:r>
      <w:r>
        <w:rPr>
          <w:i/>
          <w:spacing w:val="-7"/>
        </w:rPr>
        <w:t> </w:t>
      </w:r>
      <w:r>
        <w:rPr>
          <w:i/>
        </w:rPr>
        <w:t>trade-off</w:t>
      </w:r>
      <w:r>
        <w:rPr>
          <w:i/>
          <w:spacing w:val="-8"/>
        </w:rPr>
        <w:t> </w:t>
      </w:r>
      <w:r>
        <w:rPr>
          <w:i/>
        </w:rPr>
        <w:t>across</w:t>
      </w:r>
      <w:r>
        <w:rPr>
          <w:i/>
          <w:spacing w:val="-7"/>
        </w:rPr>
        <w:t> </w:t>
      </w:r>
      <w:r>
        <w:rPr>
          <w:i/>
        </w:rPr>
        <w:t>candidate</w:t>
      </w:r>
      <w:r>
        <w:rPr>
          <w:i/>
          <w:spacing w:val="-8"/>
        </w:rPr>
        <w:t> </w:t>
      </w:r>
      <w:r>
        <w:rPr>
          <w:i/>
        </w:rPr>
        <w:t>holding</w:t>
      </w:r>
      <w:r>
        <w:rPr>
          <w:i/>
          <w:spacing w:val="-7"/>
        </w:rPr>
        <w:t> </w:t>
      </w:r>
      <w:r>
        <w:rPr>
          <w:i/>
        </w:rPr>
        <w:t>limits</w:t>
      </w:r>
      <w:r>
        <w:rPr>
          <w:i/>
          <w:spacing w:val="-7"/>
        </w:rPr>
        <w:t> </w:t>
      </w:r>
      <w:r>
        <w:rPr>
          <w:i/>
        </w:rPr>
        <w:t>(schematic;</w:t>
      </w:r>
      <w:r>
        <w:rPr/>
        <w:t> endpoints are the two reported grid results, Section 6).</w:t>
      </w:r>
    </w:p>
    <w:p>
      <w:pPr>
        <w:pStyle w:val="BodyText"/>
        <w:spacing w:before="23"/>
        <w:ind w:left="0"/>
        <w:rPr>
          <w:b/>
          <w:i/>
        </w:rPr>
      </w:pPr>
    </w:p>
    <w:p>
      <w:pPr>
        <w:spacing w:line="242" w:lineRule="auto" w:before="0" w:after="50"/>
        <w:ind w:left="346" w:right="628" w:firstLine="0"/>
        <w:jc w:val="center"/>
        <w:rPr>
          <w:b/>
          <w:sz w:val="24"/>
        </w:rPr>
      </w:pPr>
      <w:r>
        <w:rPr>
          <w:b/>
          <w:sz w:val="24"/>
        </w:rPr>
        <w:t>Table7f.</w:t>
      </w:r>
      <w:r>
        <w:rPr>
          <w:b/>
          <w:spacing w:val="-6"/>
          <w:sz w:val="24"/>
        </w:rPr>
        <w:t> </w:t>
      </w:r>
      <w:r>
        <w:rPr>
          <w:b/>
          <w:sz w:val="24"/>
        </w:rPr>
        <w:t>Korea</w:t>
      </w:r>
      <w:r>
        <w:rPr>
          <w:b/>
          <w:spacing w:val="-6"/>
          <w:sz w:val="24"/>
        </w:rPr>
        <w:t> </w:t>
      </w:r>
      <w:r>
        <w:rPr>
          <w:b/>
          <w:sz w:val="24"/>
        </w:rPr>
        <w:t>Fine-Grid</w:t>
      </w:r>
      <w:r>
        <w:rPr>
          <w:b/>
          <w:spacing w:val="-6"/>
          <w:sz w:val="24"/>
        </w:rPr>
        <w:t> </w:t>
      </w:r>
      <w:r>
        <w:rPr>
          <w:b/>
          <w:sz w:val="24"/>
        </w:rPr>
        <w:t>and</w:t>
      </w:r>
      <w:r>
        <w:rPr>
          <w:b/>
          <w:spacing w:val="-6"/>
          <w:sz w:val="24"/>
        </w:rPr>
        <w:t> </w:t>
      </w:r>
      <w:r>
        <w:rPr>
          <w:b/>
          <w:sz w:val="24"/>
        </w:rPr>
        <w:t>Path</w:t>
      </w:r>
      <w:r>
        <w:rPr>
          <w:b/>
          <w:spacing w:val="-3"/>
          <w:sz w:val="24"/>
        </w:rPr>
        <w:t> </w:t>
      </w:r>
      <w:r>
        <w:rPr>
          <w:b/>
          <w:sz w:val="24"/>
        </w:rPr>
        <w:t>Diagnostic</w:t>
      </w:r>
      <w:r>
        <w:rPr>
          <w:b/>
          <w:spacing w:val="-5"/>
          <w:sz w:val="24"/>
        </w:rPr>
        <w:t> </w:t>
      </w:r>
      <w:r>
        <w:rPr>
          <w:b/>
          <w:sz w:val="24"/>
        </w:rPr>
        <w:t>Around</w:t>
      </w:r>
      <w:r>
        <w:rPr>
          <w:b/>
          <w:spacing w:val="-6"/>
          <w:sz w:val="24"/>
        </w:rPr>
        <w:t> </w:t>
      </w:r>
      <w:r>
        <w:rPr>
          <w:b/>
          <w:sz w:val="24"/>
        </w:rPr>
        <w:t>the</w:t>
      </w:r>
      <w:r>
        <w:rPr>
          <w:b/>
          <w:spacing w:val="-5"/>
          <w:sz w:val="24"/>
        </w:rPr>
        <w:t> </w:t>
      </w:r>
      <w:r>
        <w:rPr>
          <w:b/>
          <w:sz w:val="24"/>
        </w:rPr>
        <w:t>Tier-1</w:t>
      </w:r>
      <w:r>
        <w:rPr>
          <w:b/>
          <w:spacing w:val="-7"/>
          <w:sz w:val="24"/>
        </w:rPr>
        <w:t> </w:t>
      </w:r>
      <w:r>
        <w:rPr>
          <w:b/>
          <w:sz w:val="24"/>
        </w:rPr>
        <w:t>Threshold (N=300 direct MC per cap; actual simulation, no imputed values)</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032"/>
        <w:gridCol w:w="938"/>
        <w:gridCol w:w="3589"/>
      </w:tblGrid>
      <w:tr>
        <w:trPr>
          <w:trHeight w:val="280" w:hRule="atLeast"/>
        </w:trPr>
        <w:tc>
          <w:tcPr>
            <w:tcW w:w="710" w:type="dxa"/>
          </w:tcPr>
          <w:p>
            <w:pPr>
              <w:pStyle w:val="TableParagraph"/>
              <w:spacing w:line="249" w:lineRule="exact"/>
              <w:ind w:left="12"/>
              <w:jc w:val="center"/>
              <w:rPr>
                <w:b/>
                <w:sz w:val="22"/>
              </w:rPr>
            </w:pPr>
            <w:r>
              <w:rPr>
                <w:b/>
                <w:spacing w:val="-5"/>
                <w:sz w:val="22"/>
              </w:rPr>
              <w:t>Cap</w:t>
            </w:r>
          </w:p>
        </w:tc>
        <w:tc>
          <w:tcPr>
            <w:tcW w:w="3032" w:type="dxa"/>
          </w:tcPr>
          <w:p>
            <w:pPr>
              <w:pStyle w:val="TableParagraph"/>
              <w:spacing w:line="249" w:lineRule="exact"/>
              <w:ind w:left="85"/>
              <w:jc w:val="center"/>
              <w:rPr>
                <w:b/>
                <w:sz w:val="22"/>
              </w:rPr>
            </w:pPr>
            <w:r>
              <w:rPr>
                <w:b/>
                <w:sz w:val="22"/>
              </w:rPr>
              <w:t>P(Fail)</w:t>
            </w:r>
            <w:r>
              <w:rPr>
                <w:b/>
                <w:spacing w:val="-3"/>
                <w:sz w:val="22"/>
              </w:rPr>
              <w:t> </w:t>
            </w:r>
            <w:r>
              <w:rPr>
                <w:b/>
                <w:sz w:val="22"/>
              </w:rPr>
              <w:t>mean</w:t>
            </w:r>
            <w:r>
              <w:rPr>
                <w:b/>
                <w:spacing w:val="-5"/>
                <w:sz w:val="22"/>
              </w:rPr>
              <w:t> </w:t>
            </w:r>
            <w:r>
              <w:rPr>
                <w:b/>
                <w:sz w:val="22"/>
              </w:rPr>
              <w:t>[Wilson</w:t>
            </w:r>
            <w:r>
              <w:rPr>
                <w:b/>
                <w:spacing w:val="-3"/>
                <w:sz w:val="22"/>
              </w:rPr>
              <w:t> </w:t>
            </w:r>
            <w:r>
              <w:rPr>
                <w:b/>
                <w:sz w:val="22"/>
              </w:rPr>
              <w:t>95%</w:t>
            </w:r>
            <w:r>
              <w:rPr>
                <w:b/>
                <w:spacing w:val="-6"/>
                <w:sz w:val="22"/>
              </w:rPr>
              <w:t> </w:t>
            </w:r>
            <w:r>
              <w:rPr>
                <w:b/>
                <w:spacing w:val="-5"/>
                <w:sz w:val="22"/>
              </w:rPr>
              <w:t>CI]</w:t>
            </w:r>
          </w:p>
        </w:tc>
        <w:tc>
          <w:tcPr>
            <w:tcW w:w="938" w:type="dxa"/>
          </w:tcPr>
          <w:p>
            <w:pPr>
              <w:pStyle w:val="TableParagraph"/>
              <w:spacing w:line="249" w:lineRule="exact"/>
              <w:ind w:left="9" w:right="1"/>
              <w:jc w:val="center"/>
              <w:rPr>
                <w:b/>
                <w:sz w:val="22"/>
              </w:rPr>
            </w:pPr>
            <w:r>
              <w:rPr>
                <w:b/>
                <w:spacing w:val="-2"/>
                <w:sz w:val="22"/>
              </w:rPr>
              <w:t>Welfare</w:t>
            </w:r>
          </w:p>
        </w:tc>
        <w:tc>
          <w:tcPr>
            <w:tcW w:w="3589" w:type="dxa"/>
          </w:tcPr>
          <w:p>
            <w:pPr>
              <w:pStyle w:val="TableParagraph"/>
              <w:spacing w:line="249" w:lineRule="exact"/>
              <w:ind w:left="8" w:right="2"/>
              <w:jc w:val="center"/>
              <w:rPr>
                <w:b/>
                <w:sz w:val="22"/>
              </w:rPr>
            </w:pPr>
            <w:r>
              <w:rPr>
                <w:b/>
                <w:sz w:val="22"/>
              </w:rPr>
              <w:t>Diagnostic</w:t>
            </w:r>
            <w:r>
              <w:rPr>
                <w:b/>
                <w:spacing w:val="-9"/>
                <w:sz w:val="22"/>
              </w:rPr>
              <w:t> </w:t>
            </w:r>
            <w:r>
              <w:rPr>
                <w:b/>
                <w:spacing w:val="-2"/>
                <w:sz w:val="22"/>
              </w:rPr>
              <w:t>interpretation</w:t>
            </w:r>
          </w:p>
        </w:tc>
      </w:tr>
      <w:tr>
        <w:trPr>
          <w:trHeight w:val="282" w:hRule="atLeast"/>
        </w:trPr>
        <w:tc>
          <w:tcPr>
            <w:tcW w:w="710" w:type="dxa"/>
          </w:tcPr>
          <w:p>
            <w:pPr>
              <w:pStyle w:val="TableParagraph"/>
              <w:spacing w:line="249" w:lineRule="exact"/>
              <w:ind w:left="12" w:right="3"/>
              <w:jc w:val="center"/>
              <w:rPr>
                <w:sz w:val="22"/>
              </w:rPr>
            </w:pPr>
            <w:r>
              <w:rPr>
                <w:spacing w:val="-5"/>
                <w:sz w:val="22"/>
              </w:rPr>
              <w:t>5M</w:t>
            </w:r>
          </w:p>
        </w:tc>
        <w:tc>
          <w:tcPr>
            <w:tcW w:w="3032" w:type="dxa"/>
          </w:tcPr>
          <w:p>
            <w:pPr>
              <w:pStyle w:val="TableParagraph"/>
              <w:spacing w:line="249" w:lineRule="exact"/>
              <w:ind w:left="85" w:right="2"/>
              <w:jc w:val="center"/>
              <w:rPr>
                <w:sz w:val="22"/>
              </w:rPr>
            </w:pPr>
            <w:r>
              <w:rPr>
                <w:sz w:val="22"/>
              </w:rPr>
              <w:t>0.2641 [0.2174, </w:t>
            </w:r>
            <w:r>
              <w:rPr>
                <w:spacing w:val="-2"/>
                <w:sz w:val="22"/>
              </w:rPr>
              <w:t>0.3167]</w:t>
            </w:r>
          </w:p>
        </w:tc>
        <w:tc>
          <w:tcPr>
            <w:tcW w:w="938" w:type="dxa"/>
          </w:tcPr>
          <w:p>
            <w:pPr>
              <w:pStyle w:val="TableParagraph"/>
              <w:spacing w:line="249" w:lineRule="exact"/>
              <w:ind w:left="9"/>
              <w:jc w:val="center"/>
              <w:rPr>
                <w:sz w:val="22"/>
              </w:rPr>
            </w:pPr>
            <w:r>
              <w:rPr>
                <w:spacing w:val="-2"/>
                <w:sz w:val="22"/>
              </w:rPr>
              <w:t>0.6930</w:t>
            </w:r>
          </w:p>
        </w:tc>
        <w:tc>
          <w:tcPr>
            <w:tcW w:w="3589" w:type="dxa"/>
          </w:tcPr>
          <w:p>
            <w:pPr>
              <w:pStyle w:val="TableParagraph"/>
              <w:spacing w:line="249" w:lineRule="exact"/>
              <w:ind w:left="8"/>
              <w:jc w:val="center"/>
              <w:rPr>
                <w:sz w:val="22"/>
              </w:rPr>
            </w:pPr>
            <w:r>
              <w:rPr>
                <w:sz w:val="22"/>
              </w:rPr>
              <w:t>Tier-1</w:t>
            </w:r>
            <w:r>
              <w:rPr>
                <w:spacing w:val="-4"/>
                <w:sz w:val="22"/>
              </w:rPr>
              <w:t> </w:t>
            </w:r>
            <w:r>
              <w:rPr>
                <w:sz w:val="22"/>
              </w:rPr>
              <w:t>threshold</w:t>
            </w:r>
            <w:r>
              <w:rPr>
                <w:spacing w:val="-4"/>
                <w:sz w:val="22"/>
              </w:rPr>
              <w:t> </w:t>
            </w:r>
            <w:r>
              <w:rPr>
                <w:sz w:val="22"/>
              </w:rPr>
              <w:t>point;</w:t>
            </w:r>
            <w:r>
              <w:rPr>
                <w:spacing w:val="-3"/>
                <w:sz w:val="22"/>
              </w:rPr>
              <w:t> </w:t>
            </w:r>
            <w:r>
              <w:rPr>
                <w:sz w:val="22"/>
              </w:rPr>
              <w:t>high</w:t>
            </w:r>
            <w:r>
              <w:rPr>
                <w:spacing w:val="-3"/>
                <w:sz w:val="22"/>
              </w:rPr>
              <w:t> </w:t>
            </w:r>
            <w:r>
              <w:rPr>
                <w:spacing w:val="-4"/>
                <w:sz w:val="22"/>
              </w:rPr>
              <w:t>risk</w:t>
            </w:r>
          </w:p>
        </w:tc>
      </w:tr>
      <w:tr>
        <w:trPr>
          <w:trHeight w:val="280" w:hRule="atLeast"/>
        </w:trPr>
        <w:tc>
          <w:tcPr>
            <w:tcW w:w="710" w:type="dxa"/>
          </w:tcPr>
          <w:p>
            <w:pPr>
              <w:pStyle w:val="TableParagraph"/>
              <w:spacing w:line="246" w:lineRule="exact"/>
              <w:ind w:left="12" w:right="1"/>
              <w:jc w:val="center"/>
              <w:rPr>
                <w:sz w:val="22"/>
              </w:rPr>
            </w:pPr>
            <w:r>
              <w:rPr>
                <w:spacing w:val="-4"/>
                <w:sz w:val="22"/>
              </w:rPr>
              <w:t>5.5M</w:t>
            </w:r>
          </w:p>
        </w:tc>
        <w:tc>
          <w:tcPr>
            <w:tcW w:w="3032" w:type="dxa"/>
          </w:tcPr>
          <w:p>
            <w:pPr>
              <w:pStyle w:val="TableParagraph"/>
              <w:spacing w:line="246" w:lineRule="exact"/>
              <w:ind w:left="85" w:right="2"/>
              <w:jc w:val="center"/>
              <w:rPr>
                <w:sz w:val="22"/>
              </w:rPr>
            </w:pPr>
            <w:r>
              <w:rPr>
                <w:sz w:val="22"/>
              </w:rPr>
              <w:t>0.1091 [0.0786, </w:t>
            </w:r>
            <w:r>
              <w:rPr>
                <w:spacing w:val="-2"/>
                <w:sz w:val="22"/>
              </w:rPr>
              <w:t>0.1494]</w:t>
            </w:r>
          </w:p>
        </w:tc>
        <w:tc>
          <w:tcPr>
            <w:tcW w:w="938" w:type="dxa"/>
          </w:tcPr>
          <w:p>
            <w:pPr>
              <w:pStyle w:val="TableParagraph"/>
              <w:spacing w:line="246" w:lineRule="exact"/>
              <w:ind w:left="9"/>
              <w:jc w:val="center"/>
              <w:rPr>
                <w:sz w:val="22"/>
              </w:rPr>
            </w:pPr>
            <w:r>
              <w:rPr>
                <w:spacing w:val="-2"/>
                <w:sz w:val="22"/>
              </w:rPr>
              <w:t>0.7491</w:t>
            </w:r>
          </w:p>
        </w:tc>
        <w:tc>
          <w:tcPr>
            <w:tcW w:w="3589" w:type="dxa"/>
          </w:tcPr>
          <w:p>
            <w:pPr>
              <w:pStyle w:val="TableParagraph"/>
              <w:spacing w:line="246" w:lineRule="exact"/>
              <w:ind w:left="8" w:right="4"/>
              <w:jc w:val="center"/>
              <w:rPr>
                <w:sz w:val="22"/>
              </w:rPr>
            </w:pPr>
            <w:r>
              <w:rPr>
                <w:sz w:val="22"/>
              </w:rPr>
              <w:t>Lowest</w:t>
            </w:r>
            <w:r>
              <w:rPr>
                <w:spacing w:val="-7"/>
                <w:sz w:val="22"/>
              </w:rPr>
              <w:t> </w:t>
            </w:r>
            <w:r>
              <w:rPr>
                <w:sz w:val="22"/>
              </w:rPr>
              <w:t>tested</w:t>
            </w:r>
            <w:r>
              <w:rPr>
                <w:spacing w:val="-5"/>
                <w:sz w:val="22"/>
              </w:rPr>
              <w:t> </w:t>
            </w:r>
            <w:r>
              <w:rPr>
                <w:sz w:val="22"/>
              </w:rPr>
              <w:t>fine-grid</w:t>
            </w:r>
            <w:r>
              <w:rPr>
                <w:spacing w:val="-4"/>
                <w:sz w:val="22"/>
              </w:rPr>
              <w:t> </w:t>
            </w:r>
            <w:r>
              <w:rPr>
                <w:spacing w:val="-2"/>
                <w:sz w:val="22"/>
              </w:rPr>
              <w:t>point</w:t>
            </w:r>
          </w:p>
        </w:tc>
      </w:tr>
      <w:tr>
        <w:trPr>
          <w:trHeight w:val="280" w:hRule="atLeast"/>
        </w:trPr>
        <w:tc>
          <w:tcPr>
            <w:tcW w:w="710" w:type="dxa"/>
          </w:tcPr>
          <w:p>
            <w:pPr>
              <w:pStyle w:val="TableParagraph"/>
              <w:spacing w:line="246" w:lineRule="exact"/>
              <w:ind w:left="12" w:right="3"/>
              <w:jc w:val="center"/>
              <w:rPr>
                <w:sz w:val="22"/>
              </w:rPr>
            </w:pPr>
            <w:r>
              <w:rPr>
                <w:spacing w:val="-5"/>
                <w:sz w:val="22"/>
              </w:rPr>
              <w:t>6M</w:t>
            </w:r>
          </w:p>
        </w:tc>
        <w:tc>
          <w:tcPr>
            <w:tcW w:w="3032" w:type="dxa"/>
          </w:tcPr>
          <w:p>
            <w:pPr>
              <w:pStyle w:val="TableParagraph"/>
              <w:spacing w:line="246" w:lineRule="exact"/>
              <w:ind w:left="85" w:right="2"/>
              <w:jc w:val="center"/>
              <w:rPr>
                <w:sz w:val="22"/>
              </w:rPr>
            </w:pPr>
            <w:r>
              <w:rPr>
                <w:sz w:val="22"/>
              </w:rPr>
              <w:t>0.1101 [0.0795, </w:t>
            </w:r>
            <w:r>
              <w:rPr>
                <w:spacing w:val="-2"/>
                <w:sz w:val="22"/>
              </w:rPr>
              <w:t>0.1506]</w:t>
            </w:r>
          </w:p>
        </w:tc>
        <w:tc>
          <w:tcPr>
            <w:tcW w:w="938" w:type="dxa"/>
          </w:tcPr>
          <w:p>
            <w:pPr>
              <w:pStyle w:val="TableParagraph"/>
              <w:spacing w:line="246" w:lineRule="exact"/>
              <w:ind w:left="9"/>
              <w:jc w:val="center"/>
              <w:rPr>
                <w:sz w:val="22"/>
              </w:rPr>
            </w:pPr>
            <w:r>
              <w:rPr>
                <w:spacing w:val="-2"/>
                <w:sz w:val="22"/>
              </w:rPr>
              <w:t>0.7496</w:t>
            </w:r>
          </w:p>
        </w:tc>
        <w:tc>
          <w:tcPr>
            <w:tcW w:w="3589" w:type="dxa"/>
          </w:tcPr>
          <w:p>
            <w:pPr>
              <w:pStyle w:val="TableParagraph"/>
              <w:spacing w:line="246"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9" w:lineRule="exact"/>
              <w:ind w:left="12" w:right="1"/>
              <w:jc w:val="center"/>
              <w:rPr>
                <w:sz w:val="22"/>
              </w:rPr>
            </w:pPr>
            <w:r>
              <w:rPr>
                <w:spacing w:val="-4"/>
                <w:sz w:val="22"/>
              </w:rPr>
              <w:t>6.5M</w:t>
            </w:r>
          </w:p>
        </w:tc>
        <w:tc>
          <w:tcPr>
            <w:tcW w:w="3032" w:type="dxa"/>
          </w:tcPr>
          <w:p>
            <w:pPr>
              <w:pStyle w:val="TableParagraph"/>
              <w:spacing w:line="249" w:lineRule="exact"/>
              <w:ind w:left="85" w:right="2"/>
              <w:jc w:val="center"/>
              <w:rPr>
                <w:sz w:val="22"/>
              </w:rPr>
            </w:pPr>
            <w:r>
              <w:rPr>
                <w:sz w:val="22"/>
              </w:rPr>
              <w:t>0.1111 [0.0803, </w:t>
            </w:r>
            <w:r>
              <w:rPr>
                <w:spacing w:val="-2"/>
                <w:sz w:val="22"/>
              </w:rPr>
              <w:t>0.1517]</w:t>
            </w:r>
          </w:p>
        </w:tc>
        <w:tc>
          <w:tcPr>
            <w:tcW w:w="938" w:type="dxa"/>
          </w:tcPr>
          <w:p>
            <w:pPr>
              <w:pStyle w:val="TableParagraph"/>
              <w:spacing w:line="249" w:lineRule="exact"/>
              <w:ind w:left="9"/>
              <w:jc w:val="center"/>
              <w:rPr>
                <w:sz w:val="22"/>
              </w:rPr>
            </w:pPr>
            <w:r>
              <w:rPr>
                <w:spacing w:val="-2"/>
                <w:sz w:val="22"/>
              </w:rPr>
              <w:t>0.7501</w:t>
            </w:r>
          </w:p>
        </w:tc>
        <w:tc>
          <w:tcPr>
            <w:tcW w:w="3589" w:type="dxa"/>
          </w:tcPr>
          <w:p>
            <w:pPr>
              <w:pStyle w:val="TableParagraph"/>
              <w:spacing w:line="249"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9" w:lineRule="exact"/>
              <w:ind w:left="12" w:right="3"/>
              <w:jc w:val="center"/>
              <w:rPr>
                <w:sz w:val="22"/>
              </w:rPr>
            </w:pPr>
            <w:r>
              <w:rPr>
                <w:spacing w:val="-5"/>
                <w:sz w:val="22"/>
              </w:rPr>
              <w:t>7M</w:t>
            </w:r>
          </w:p>
        </w:tc>
        <w:tc>
          <w:tcPr>
            <w:tcW w:w="3032" w:type="dxa"/>
          </w:tcPr>
          <w:p>
            <w:pPr>
              <w:pStyle w:val="TableParagraph"/>
              <w:spacing w:line="249" w:lineRule="exact"/>
              <w:ind w:left="85" w:right="2"/>
              <w:jc w:val="center"/>
              <w:rPr>
                <w:sz w:val="22"/>
              </w:rPr>
            </w:pPr>
            <w:r>
              <w:rPr>
                <w:sz w:val="22"/>
              </w:rPr>
              <w:t>0.1120 [0.0811, </w:t>
            </w:r>
            <w:r>
              <w:rPr>
                <w:spacing w:val="-2"/>
                <w:sz w:val="22"/>
              </w:rPr>
              <w:t>0.1527]</w:t>
            </w:r>
          </w:p>
        </w:tc>
        <w:tc>
          <w:tcPr>
            <w:tcW w:w="938" w:type="dxa"/>
          </w:tcPr>
          <w:p>
            <w:pPr>
              <w:pStyle w:val="TableParagraph"/>
              <w:spacing w:line="249" w:lineRule="exact"/>
              <w:ind w:left="9"/>
              <w:jc w:val="center"/>
              <w:rPr>
                <w:sz w:val="22"/>
              </w:rPr>
            </w:pPr>
            <w:r>
              <w:rPr>
                <w:spacing w:val="-2"/>
                <w:sz w:val="22"/>
              </w:rPr>
              <w:t>0.7506</w:t>
            </w:r>
          </w:p>
        </w:tc>
        <w:tc>
          <w:tcPr>
            <w:tcW w:w="3589" w:type="dxa"/>
          </w:tcPr>
          <w:p>
            <w:pPr>
              <w:pStyle w:val="TableParagraph"/>
              <w:spacing w:line="249"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9" w:lineRule="exact"/>
              <w:ind w:left="12" w:right="1"/>
              <w:jc w:val="center"/>
              <w:rPr>
                <w:sz w:val="22"/>
              </w:rPr>
            </w:pPr>
            <w:r>
              <w:rPr>
                <w:spacing w:val="-4"/>
                <w:sz w:val="22"/>
              </w:rPr>
              <w:t>7.5M</w:t>
            </w:r>
          </w:p>
        </w:tc>
        <w:tc>
          <w:tcPr>
            <w:tcW w:w="3032" w:type="dxa"/>
          </w:tcPr>
          <w:p>
            <w:pPr>
              <w:pStyle w:val="TableParagraph"/>
              <w:spacing w:line="249" w:lineRule="exact"/>
              <w:ind w:left="85" w:right="2"/>
              <w:jc w:val="center"/>
              <w:rPr>
                <w:sz w:val="22"/>
              </w:rPr>
            </w:pPr>
            <w:r>
              <w:rPr>
                <w:sz w:val="22"/>
              </w:rPr>
              <w:t>0.1130 [0.0820, </w:t>
            </w:r>
            <w:r>
              <w:rPr>
                <w:spacing w:val="-2"/>
                <w:sz w:val="22"/>
              </w:rPr>
              <w:t>0.1538]</w:t>
            </w:r>
          </w:p>
        </w:tc>
        <w:tc>
          <w:tcPr>
            <w:tcW w:w="938" w:type="dxa"/>
          </w:tcPr>
          <w:p>
            <w:pPr>
              <w:pStyle w:val="TableParagraph"/>
              <w:spacing w:line="249" w:lineRule="exact"/>
              <w:ind w:left="9"/>
              <w:jc w:val="center"/>
              <w:rPr>
                <w:sz w:val="22"/>
              </w:rPr>
            </w:pPr>
            <w:r>
              <w:rPr>
                <w:spacing w:val="-2"/>
                <w:sz w:val="22"/>
              </w:rPr>
              <w:t>0.7511</w:t>
            </w:r>
          </w:p>
        </w:tc>
        <w:tc>
          <w:tcPr>
            <w:tcW w:w="3589" w:type="dxa"/>
          </w:tcPr>
          <w:p>
            <w:pPr>
              <w:pStyle w:val="TableParagraph"/>
              <w:spacing w:line="249"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2" w:hRule="atLeast"/>
        </w:trPr>
        <w:tc>
          <w:tcPr>
            <w:tcW w:w="710" w:type="dxa"/>
          </w:tcPr>
          <w:p>
            <w:pPr>
              <w:pStyle w:val="TableParagraph"/>
              <w:spacing w:line="249" w:lineRule="exact"/>
              <w:ind w:left="12" w:right="3"/>
              <w:jc w:val="center"/>
              <w:rPr>
                <w:sz w:val="22"/>
              </w:rPr>
            </w:pPr>
            <w:r>
              <w:rPr>
                <w:spacing w:val="-5"/>
                <w:sz w:val="22"/>
              </w:rPr>
              <w:t>8M</w:t>
            </w:r>
          </w:p>
        </w:tc>
        <w:tc>
          <w:tcPr>
            <w:tcW w:w="3032" w:type="dxa"/>
          </w:tcPr>
          <w:p>
            <w:pPr>
              <w:pStyle w:val="TableParagraph"/>
              <w:spacing w:line="249" w:lineRule="exact"/>
              <w:ind w:left="85" w:right="2"/>
              <w:jc w:val="center"/>
              <w:rPr>
                <w:sz w:val="22"/>
              </w:rPr>
            </w:pPr>
            <w:r>
              <w:rPr>
                <w:sz w:val="22"/>
              </w:rPr>
              <w:t>0.1140 [0.0828, </w:t>
            </w:r>
            <w:r>
              <w:rPr>
                <w:spacing w:val="-2"/>
                <w:sz w:val="22"/>
              </w:rPr>
              <w:t>0.1549]</w:t>
            </w:r>
          </w:p>
        </w:tc>
        <w:tc>
          <w:tcPr>
            <w:tcW w:w="938" w:type="dxa"/>
          </w:tcPr>
          <w:p>
            <w:pPr>
              <w:pStyle w:val="TableParagraph"/>
              <w:spacing w:line="249" w:lineRule="exact"/>
              <w:ind w:left="9"/>
              <w:jc w:val="center"/>
              <w:rPr>
                <w:sz w:val="22"/>
              </w:rPr>
            </w:pPr>
            <w:r>
              <w:rPr>
                <w:spacing w:val="-2"/>
                <w:sz w:val="22"/>
              </w:rPr>
              <w:t>0.7516</w:t>
            </w:r>
          </w:p>
        </w:tc>
        <w:tc>
          <w:tcPr>
            <w:tcW w:w="3589" w:type="dxa"/>
          </w:tcPr>
          <w:p>
            <w:pPr>
              <w:pStyle w:val="TableParagraph"/>
              <w:spacing w:line="249"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6" w:lineRule="exact"/>
              <w:ind w:left="12" w:right="1"/>
              <w:jc w:val="center"/>
              <w:rPr>
                <w:sz w:val="22"/>
              </w:rPr>
            </w:pPr>
            <w:r>
              <w:rPr>
                <w:spacing w:val="-4"/>
                <w:sz w:val="22"/>
              </w:rPr>
              <w:t>8.5M</w:t>
            </w:r>
          </w:p>
        </w:tc>
        <w:tc>
          <w:tcPr>
            <w:tcW w:w="3032" w:type="dxa"/>
          </w:tcPr>
          <w:p>
            <w:pPr>
              <w:pStyle w:val="TableParagraph"/>
              <w:spacing w:line="246" w:lineRule="exact"/>
              <w:ind w:left="85" w:right="2"/>
              <w:jc w:val="center"/>
              <w:rPr>
                <w:sz w:val="22"/>
              </w:rPr>
            </w:pPr>
            <w:r>
              <w:rPr>
                <w:sz w:val="22"/>
              </w:rPr>
              <w:t>0.1151 [0.0838, </w:t>
            </w:r>
            <w:r>
              <w:rPr>
                <w:spacing w:val="-2"/>
                <w:sz w:val="22"/>
              </w:rPr>
              <w:t>0.1562]</w:t>
            </w:r>
          </w:p>
        </w:tc>
        <w:tc>
          <w:tcPr>
            <w:tcW w:w="938" w:type="dxa"/>
          </w:tcPr>
          <w:p>
            <w:pPr>
              <w:pStyle w:val="TableParagraph"/>
              <w:spacing w:line="246" w:lineRule="exact"/>
              <w:ind w:left="9"/>
              <w:jc w:val="center"/>
              <w:rPr>
                <w:sz w:val="22"/>
              </w:rPr>
            </w:pPr>
            <w:r>
              <w:rPr>
                <w:spacing w:val="-2"/>
                <w:sz w:val="22"/>
              </w:rPr>
              <w:t>0.7521</w:t>
            </w:r>
          </w:p>
        </w:tc>
        <w:tc>
          <w:tcPr>
            <w:tcW w:w="3589" w:type="dxa"/>
          </w:tcPr>
          <w:p>
            <w:pPr>
              <w:pStyle w:val="TableParagraph"/>
              <w:spacing w:line="246"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6" w:lineRule="exact"/>
              <w:ind w:left="12" w:right="3"/>
              <w:jc w:val="center"/>
              <w:rPr>
                <w:sz w:val="22"/>
              </w:rPr>
            </w:pPr>
            <w:r>
              <w:rPr>
                <w:spacing w:val="-5"/>
                <w:sz w:val="22"/>
              </w:rPr>
              <w:t>9M</w:t>
            </w:r>
          </w:p>
        </w:tc>
        <w:tc>
          <w:tcPr>
            <w:tcW w:w="3032" w:type="dxa"/>
          </w:tcPr>
          <w:p>
            <w:pPr>
              <w:pStyle w:val="TableParagraph"/>
              <w:spacing w:line="246" w:lineRule="exact"/>
              <w:ind w:left="85" w:right="2"/>
              <w:jc w:val="center"/>
              <w:rPr>
                <w:sz w:val="22"/>
              </w:rPr>
            </w:pPr>
            <w:r>
              <w:rPr>
                <w:sz w:val="22"/>
              </w:rPr>
              <w:t>0.1161 [0.0846, </w:t>
            </w:r>
            <w:r>
              <w:rPr>
                <w:spacing w:val="-2"/>
                <w:sz w:val="22"/>
              </w:rPr>
              <w:t>0.1573]</w:t>
            </w:r>
          </w:p>
        </w:tc>
        <w:tc>
          <w:tcPr>
            <w:tcW w:w="938" w:type="dxa"/>
          </w:tcPr>
          <w:p>
            <w:pPr>
              <w:pStyle w:val="TableParagraph"/>
              <w:spacing w:line="246" w:lineRule="exact"/>
              <w:ind w:left="9"/>
              <w:jc w:val="center"/>
              <w:rPr>
                <w:sz w:val="22"/>
              </w:rPr>
            </w:pPr>
            <w:r>
              <w:rPr>
                <w:spacing w:val="-2"/>
                <w:sz w:val="22"/>
              </w:rPr>
              <w:t>0.7525</w:t>
            </w:r>
          </w:p>
        </w:tc>
        <w:tc>
          <w:tcPr>
            <w:tcW w:w="3589" w:type="dxa"/>
          </w:tcPr>
          <w:p>
            <w:pPr>
              <w:pStyle w:val="TableParagraph"/>
              <w:spacing w:line="246"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9" w:lineRule="exact"/>
              <w:ind w:left="12" w:right="1"/>
              <w:jc w:val="center"/>
              <w:rPr>
                <w:sz w:val="22"/>
              </w:rPr>
            </w:pPr>
            <w:r>
              <w:rPr>
                <w:spacing w:val="-4"/>
                <w:sz w:val="22"/>
              </w:rPr>
              <w:t>9.5M</w:t>
            </w:r>
          </w:p>
        </w:tc>
        <w:tc>
          <w:tcPr>
            <w:tcW w:w="3032" w:type="dxa"/>
          </w:tcPr>
          <w:p>
            <w:pPr>
              <w:pStyle w:val="TableParagraph"/>
              <w:spacing w:line="249" w:lineRule="exact"/>
              <w:ind w:left="85" w:right="2"/>
              <w:jc w:val="center"/>
              <w:rPr>
                <w:sz w:val="22"/>
              </w:rPr>
            </w:pPr>
            <w:r>
              <w:rPr>
                <w:sz w:val="22"/>
              </w:rPr>
              <w:t>0.1171 [0.0855, </w:t>
            </w:r>
            <w:r>
              <w:rPr>
                <w:spacing w:val="-2"/>
                <w:sz w:val="22"/>
              </w:rPr>
              <w:t>0.1584]</w:t>
            </w:r>
          </w:p>
        </w:tc>
        <w:tc>
          <w:tcPr>
            <w:tcW w:w="938" w:type="dxa"/>
          </w:tcPr>
          <w:p>
            <w:pPr>
              <w:pStyle w:val="TableParagraph"/>
              <w:spacing w:line="249" w:lineRule="exact"/>
              <w:ind w:left="9"/>
              <w:jc w:val="center"/>
              <w:rPr>
                <w:sz w:val="22"/>
              </w:rPr>
            </w:pPr>
            <w:r>
              <w:rPr>
                <w:spacing w:val="-2"/>
                <w:sz w:val="22"/>
              </w:rPr>
              <w:t>0.7530</w:t>
            </w:r>
          </w:p>
        </w:tc>
        <w:tc>
          <w:tcPr>
            <w:tcW w:w="3589" w:type="dxa"/>
          </w:tcPr>
          <w:p>
            <w:pPr>
              <w:pStyle w:val="TableParagraph"/>
              <w:spacing w:line="249"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r>
        <w:trPr>
          <w:trHeight w:val="280" w:hRule="atLeast"/>
        </w:trPr>
        <w:tc>
          <w:tcPr>
            <w:tcW w:w="710" w:type="dxa"/>
          </w:tcPr>
          <w:p>
            <w:pPr>
              <w:pStyle w:val="TableParagraph"/>
              <w:spacing w:line="249" w:lineRule="exact"/>
              <w:ind w:left="12" w:right="3"/>
              <w:jc w:val="center"/>
              <w:rPr>
                <w:sz w:val="22"/>
              </w:rPr>
            </w:pPr>
            <w:r>
              <w:rPr>
                <w:spacing w:val="-5"/>
                <w:sz w:val="22"/>
              </w:rPr>
              <w:t>10M</w:t>
            </w:r>
          </w:p>
        </w:tc>
        <w:tc>
          <w:tcPr>
            <w:tcW w:w="3032" w:type="dxa"/>
          </w:tcPr>
          <w:p>
            <w:pPr>
              <w:pStyle w:val="TableParagraph"/>
              <w:spacing w:line="249" w:lineRule="exact"/>
              <w:ind w:left="85" w:right="2"/>
              <w:jc w:val="center"/>
              <w:rPr>
                <w:sz w:val="22"/>
              </w:rPr>
            </w:pPr>
            <w:r>
              <w:rPr>
                <w:sz w:val="22"/>
              </w:rPr>
              <w:t>0.1181 [0.0863, </w:t>
            </w:r>
            <w:r>
              <w:rPr>
                <w:spacing w:val="-2"/>
                <w:sz w:val="22"/>
              </w:rPr>
              <w:t>0.1595]</w:t>
            </w:r>
          </w:p>
        </w:tc>
        <w:tc>
          <w:tcPr>
            <w:tcW w:w="938" w:type="dxa"/>
          </w:tcPr>
          <w:p>
            <w:pPr>
              <w:pStyle w:val="TableParagraph"/>
              <w:spacing w:line="249" w:lineRule="exact"/>
              <w:ind w:left="9"/>
              <w:jc w:val="center"/>
              <w:rPr>
                <w:sz w:val="22"/>
              </w:rPr>
            </w:pPr>
            <w:r>
              <w:rPr>
                <w:spacing w:val="-2"/>
                <w:sz w:val="22"/>
              </w:rPr>
              <w:t>0.7535</w:t>
            </w:r>
          </w:p>
        </w:tc>
        <w:tc>
          <w:tcPr>
            <w:tcW w:w="3589" w:type="dxa"/>
          </w:tcPr>
          <w:p>
            <w:pPr>
              <w:pStyle w:val="TableParagraph"/>
              <w:spacing w:line="249" w:lineRule="exact"/>
              <w:ind w:left="8" w:right="1"/>
              <w:jc w:val="center"/>
              <w:rPr>
                <w:sz w:val="22"/>
              </w:rPr>
            </w:pPr>
            <w:r>
              <w:rPr>
                <w:sz w:val="22"/>
              </w:rPr>
              <w:t>Rises</w:t>
            </w:r>
            <w:r>
              <w:rPr>
                <w:spacing w:val="-6"/>
                <w:sz w:val="22"/>
              </w:rPr>
              <w:t> </w:t>
            </w:r>
            <w:r>
              <w:rPr>
                <w:sz w:val="22"/>
              </w:rPr>
              <w:t>gradually</w:t>
            </w:r>
            <w:r>
              <w:rPr>
                <w:spacing w:val="-3"/>
                <w:sz w:val="22"/>
              </w:rPr>
              <w:t> </w:t>
            </w:r>
            <w:r>
              <w:rPr>
                <w:sz w:val="22"/>
              </w:rPr>
              <w:t>above</w:t>
            </w:r>
            <w:r>
              <w:rPr>
                <w:spacing w:val="-5"/>
                <w:sz w:val="22"/>
              </w:rPr>
              <w:t> </w:t>
            </w:r>
            <w:r>
              <w:rPr>
                <w:sz w:val="22"/>
              </w:rPr>
              <w:t>local</w:t>
            </w:r>
            <w:r>
              <w:rPr>
                <w:spacing w:val="-4"/>
                <w:sz w:val="22"/>
              </w:rPr>
              <w:t> </w:t>
            </w:r>
            <w:r>
              <w:rPr>
                <w:spacing w:val="-2"/>
                <w:sz w:val="22"/>
              </w:rPr>
              <w:t>minimum</w:t>
            </w:r>
          </w:p>
        </w:tc>
      </w:tr>
    </w:tbl>
    <w:p>
      <w:pPr>
        <w:pStyle w:val="BodyText"/>
        <w:ind w:right="379"/>
        <w:jc w:val="both"/>
      </w:pPr>
      <w:r>
        <w:rPr/>
        <w:t>Notes: This is an actual v6.0 fine-grid run, not an imputed diagnostic. The lowest tested Korea cap is 5.5M, below the coarse-grid 7.5M benchmark. Path checks show no dynamic-cap cut in the 5M-10M runs; the discontinuity is therefore attributed to the tier-1 threshold/tiered-remuneration activation. Appendix G reports a supplementary selected-cap cross-country check; higher-N full-surface replication remains future work.</w:t>
      </w:r>
    </w:p>
    <w:p>
      <w:pPr>
        <w:pStyle w:val="Heading2"/>
        <w:numPr>
          <w:ilvl w:val="1"/>
          <w:numId w:val="1"/>
        </w:numPr>
        <w:tabs>
          <w:tab w:pos="457" w:val="left" w:leader="none"/>
        </w:tabs>
        <w:spacing w:line="240" w:lineRule="auto" w:before="236" w:after="0"/>
        <w:ind w:left="457" w:right="0" w:hanging="358"/>
        <w:jc w:val="left"/>
        <w:rPr>
          <w:i/>
        </w:rPr>
      </w:pPr>
      <w:r>
        <w:rPr>
          <w:i/>
          <w:spacing w:val="-2"/>
        </w:rPr>
        <w:t>Policy-Threshold</w:t>
      </w:r>
      <w:r>
        <w:rPr>
          <w:i/>
          <w:spacing w:val="2"/>
        </w:rPr>
        <w:t> </w:t>
      </w:r>
      <w:r>
        <w:rPr>
          <w:i/>
          <w:spacing w:val="-2"/>
        </w:rPr>
        <w:t>Sensitivity</w:t>
      </w:r>
      <w:r>
        <w:rPr>
          <w:i/>
          <w:spacing w:val="3"/>
        </w:rPr>
        <w:t> </w:t>
      </w:r>
      <w:r>
        <w:rPr>
          <w:i/>
          <w:spacing w:val="-2"/>
        </w:rPr>
        <w:t>to</w:t>
      </w:r>
      <w:r>
        <w:rPr>
          <w:i/>
          <w:spacing w:val="3"/>
        </w:rPr>
        <w:t> </w:t>
      </w:r>
      <w:r>
        <w:rPr>
          <w:i/>
          <w:spacing w:val="-2"/>
        </w:rPr>
        <w:t>Simulation</w:t>
      </w:r>
      <w:r>
        <w:rPr>
          <w:i/>
          <w:spacing w:val="3"/>
        </w:rPr>
        <w:t> </w:t>
      </w:r>
      <w:r>
        <w:rPr>
          <w:i/>
          <w:spacing w:val="-2"/>
        </w:rPr>
        <w:t>Assumptions</w:t>
      </w:r>
    </w:p>
    <w:p>
      <w:pPr>
        <w:pStyle w:val="BodyText"/>
        <w:spacing w:before="80"/>
        <w:ind w:left="0"/>
        <w:rPr>
          <w:b/>
          <w:i/>
        </w:rPr>
      </w:pPr>
    </w:p>
    <w:p>
      <w:pPr>
        <w:pStyle w:val="BodyText"/>
        <w:spacing w:line="480" w:lineRule="auto" w:before="1"/>
        <w:ind w:right="382"/>
        <w:jc w:val="both"/>
      </w:pPr>
      <w:r>
        <w:rPr/>
        <w:t>Because</w:t>
      </w:r>
      <w:r>
        <w:rPr>
          <w:spacing w:val="80"/>
        </w:rPr>
        <w:t> </w:t>
      </w:r>
      <w:r>
        <w:rPr/>
        <w:t>the</w:t>
      </w:r>
      <w:r>
        <w:rPr>
          <w:spacing w:val="80"/>
        </w:rPr>
        <w:t> </w:t>
      </w:r>
      <w:r>
        <w:rPr/>
        <w:t>5.5M-KRW</w:t>
      </w:r>
      <w:r>
        <w:rPr>
          <w:spacing w:val="80"/>
        </w:rPr>
        <w:t> </w:t>
      </w:r>
      <w:r>
        <w:rPr/>
        <w:t>risk-minimising</w:t>
      </w:r>
      <w:r>
        <w:rPr>
          <w:spacing w:val="80"/>
        </w:rPr>
        <w:t> </w:t>
      </w:r>
      <w:r>
        <w:rPr/>
        <w:t>threshold</w:t>
      </w:r>
      <w:r>
        <w:rPr>
          <w:spacing w:val="80"/>
        </w:rPr>
        <w:t> </w:t>
      </w:r>
      <w:r>
        <w:rPr/>
        <w:t>(Table</w:t>
      </w:r>
      <w:r>
        <w:rPr>
          <w:spacing w:val="80"/>
        </w:rPr>
        <w:t> </w:t>
      </w:r>
      <w:r>
        <w:rPr/>
        <w:t>7f)</w:t>
      </w:r>
      <w:r>
        <w:rPr>
          <w:spacing w:val="80"/>
        </w:rPr>
        <w:t> </w:t>
      </w:r>
      <w:r>
        <w:rPr/>
        <w:t>is</w:t>
      </w:r>
      <w:r>
        <w:rPr>
          <w:spacing w:val="80"/>
        </w:rPr>
        <w:t> </w:t>
      </w:r>
      <w:r>
        <w:rPr/>
        <w:t>the</w:t>
      </w:r>
      <w:r>
        <w:rPr>
          <w:spacing w:val="80"/>
        </w:rPr>
        <w:t> </w:t>
      </w:r>
      <w:r>
        <w:rPr/>
        <w:t>most policy-salient</w:t>
      </w:r>
      <w:r>
        <w:rPr>
          <w:spacing w:val="12"/>
        </w:rPr>
        <w:t> </w:t>
      </w:r>
      <w:r>
        <w:rPr/>
        <w:t>single</w:t>
      </w:r>
      <w:r>
        <w:rPr>
          <w:spacing w:val="10"/>
        </w:rPr>
        <w:t> </w:t>
      </w:r>
      <w:r>
        <w:rPr/>
        <w:t>number</w:t>
      </w:r>
      <w:r>
        <w:rPr>
          <w:spacing w:val="13"/>
        </w:rPr>
        <w:t> </w:t>
      </w:r>
      <w:r>
        <w:rPr/>
        <w:t>in</w:t>
      </w:r>
      <w:r>
        <w:rPr>
          <w:spacing w:val="11"/>
        </w:rPr>
        <w:t> </w:t>
      </w:r>
      <w:r>
        <w:rPr/>
        <w:t>the</w:t>
      </w:r>
      <w:r>
        <w:rPr>
          <w:spacing w:val="10"/>
        </w:rPr>
        <w:t> </w:t>
      </w:r>
      <w:r>
        <w:rPr/>
        <w:t>paper,</w:t>
      </w:r>
      <w:r>
        <w:rPr>
          <w:spacing w:val="11"/>
        </w:rPr>
        <w:t> </w:t>
      </w:r>
      <w:r>
        <w:rPr/>
        <w:t>its</w:t>
      </w:r>
      <w:r>
        <w:rPr>
          <w:spacing w:val="11"/>
        </w:rPr>
        <w:t> </w:t>
      </w:r>
      <w:r>
        <w:rPr/>
        <w:t>sensitivity</w:t>
      </w:r>
      <w:r>
        <w:rPr>
          <w:spacing w:val="10"/>
        </w:rPr>
        <w:t> </w:t>
      </w:r>
      <w:r>
        <w:rPr/>
        <w:t>to</w:t>
      </w:r>
      <w:r>
        <w:rPr>
          <w:spacing w:val="11"/>
        </w:rPr>
        <w:t> </w:t>
      </w:r>
      <w:r>
        <w:rPr/>
        <w:t>the</w:t>
      </w:r>
      <w:r>
        <w:rPr>
          <w:spacing w:val="10"/>
        </w:rPr>
        <w:t> </w:t>
      </w:r>
      <w:r>
        <w:rPr/>
        <w:t>underlying</w:t>
      </w:r>
      <w:r>
        <w:rPr>
          <w:spacing w:val="11"/>
        </w:rPr>
        <w:t> </w:t>
      </w:r>
      <w:r>
        <w:rPr>
          <w:spacing w:val="-2"/>
        </w:rPr>
        <w:t>simulation</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81"/>
        <w:jc w:val="both"/>
      </w:pPr>
      <w:r>
        <w:rPr/>
        <w:t>assumptions</w:t>
      </w:r>
      <w:r>
        <w:rPr>
          <w:spacing w:val="80"/>
        </w:rPr>
        <w:t> </w:t>
      </w:r>
      <w:r>
        <w:rPr/>
        <w:t>is</w:t>
      </w:r>
      <w:r>
        <w:rPr>
          <w:spacing w:val="80"/>
        </w:rPr>
        <w:t> </w:t>
      </w:r>
      <w:r>
        <w:rPr/>
        <w:t>tested</w:t>
      </w:r>
      <w:r>
        <w:rPr>
          <w:spacing w:val="80"/>
        </w:rPr>
        <w:t> </w:t>
      </w:r>
      <w:r>
        <w:rPr/>
        <w:t>directly</w:t>
      </w:r>
      <w:r>
        <w:rPr>
          <w:spacing w:val="80"/>
        </w:rPr>
        <w:t> </w:t>
      </w:r>
      <w:r>
        <w:rPr/>
        <w:t>rather</w:t>
      </w:r>
      <w:r>
        <w:rPr>
          <w:spacing w:val="80"/>
        </w:rPr>
        <w:t> </w:t>
      </w:r>
      <w:r>
        <w:rPr/>
        <w:t>than</w:t>
      </w:r>
      <w:r>
        <w:rPr>
          <w:spacing w:val="80"/>
        </w:rPr>
        <w:t> </w:t>
      </w:r>
      <w:r>
        <w:rPr/>
        <w:t>asserted.</w:t>
      </w:r>
      <w:r>
        <w:rPr>
          <w:spacing w:val="80"/>
        </w:rPr>
        <w:t> </w:t>
      </w:r>
      <w:r>
        <w:rPr/>
        <w:t>Two</w:t>
      </w:r>
      <w:r>
        <w:rPr>
          <w:spacing w:val="80"/>
        </w:rPr>
        <w:t> </w:t>
      </w:r>
      <w:r>
        <w:rPr/>
        <w:t>sources</w:t>
      </w:r>
      <w:r>
        <w:rPr>
          <w:spacing w:val="80"/>
        </w:rPr>
        <w:t> </w:t>
      </w:r>
      <w:r>
        <w:rPr/>
        <w:t>of</w:t>
      </w:r>
      <w:r>
        <w:rPr>
          <w:spacing w:val="80"/>
        </w:rPr>
        <w:t> </w:t>
      </w:r>
      <w:r>
        <w:rPr/>
        <w:t>assumption-dependence are checked: (a) the assumed shock magnitude, and (b) the literature-bound CBDC-specific coefficients that govern the holding-limit channel (Table 3).</w:t>
      </w:r>
    </w:p>
    <w:p>
      <w:pPr>
        <w:spacing w:before="240" w:after="56"/>
        <w:ind w:left="1926" w:right="477" w:hanging="1732"/>
        <w:jc w:val="both"/>
        <w:rPr>
          <w:b/>
          <w:sz w:val="24"/>
        </w:rPr>
      </w:pPr>
      <w:r>
        <w:rPr>
          <w:b/>
          <w:sz w:val="24"/>
        </w:rPr>
        <w:t>Table7g.</w:t>
      </w:r>
      <w:r>
        <w:rPr>
          <w:b/>
          <w:spacing w:val="-7"/>
          <w:sz w:val="24"/>
        </w:rPr>
        <w:t> </w:t>
      </w:r>
      <w:r>
        <w:rPr>
          <w:b/>
          <w:sz w:val="24"/>
        </w:rPr>
        <w:t>Risk-Minimising</w:t>
      </w:r>
      <w:r>
        <w:rPr>
          <w:b/>
          <w:spacing w:val="-5"/>
          <w:sz w:val="24"/>
        </w:rPr>
        <w:t> </w:t>
      </w:r>
      <w:r>
        <w:rPr>
          <w:b/>
          <w:sz w:val="24"/>
        </w:rPr>
        <w:t>Cap:</w:t>
      </w:r>
      <w:r>
        <w:rPr>
          <w:b/>
          <w:spacing w:val="-5"/>
          <w:sz w:val="24"/>
        </w:rPr>
        <w:t> </w:t>
      </w:r>
      <w:r>
        <w:rPr>
          <w:b/>
          <w:sz w:val="24"/>
        </w:rPr>
        <w:t>Sensitivity</w:t>
      </w:r>
      <w:r>
        <w:rPr>
          <w:b/>
          <w:spacing w:val="-4"/>
          <w:sz w:val="24"/>
        </w:rPr>
        <w:t> </w:t>
      </w:r>
      <w:r>
        <w:rPr>
          <w:b/>
          <w:sz w:val="24"/>
        </w:rPr>
        <w:t>to</w:t>
      </w:r>
      <w:r>
        <w:rPr>
          <w:b/>
          <w:spacing w:val="-5"/>
          <w:sz w:val="24"/>
        </w:rPr>
        <w:t> </w:t>
      </w:r>
      <w:r>
        <w:rPr>
          <w:b/>
          <w:sz w:val="24"/>
        </w:rPr>
        <w:t>Shock</w:t>
      </w:r>
      <w:r>
        <w:rPr>
          <w:b/>
          <w:spacing w:val="-6"/>
          <w:sz w:val="24"/>
        </w:rPr>
        <w:t> </w:t>
      </w:r>
      <w:r>
        <w:rPr>
          <w:b/>
          <w:sz w:val="24"/>
        </w:rPr>
        <w:t>Magnitude</w:t>
      </w:r>
      <w:r>
        <w:rPr>
          <w:b/>
          <w:spacing w:val="-5"/>
          <w:sz w:val="24"/>
        </w:rPr>
        <w:t> </w:t>
      </w:r>
      <w:r>
        <w:rPr>
          <w:b/>
          <w:sz w:val="24"/>
        </w:rPr>
        <w:t>and</w:t>
      </w:r>
      <w:r>
        <w:rPr>
          <w:b/>
          <w:spacing w:val="-6"/>
          <w:sz w:val="24"/>
        </w:rPr>
        <w:t> </w:t>
      </w:r>
      <w:r>
        <w:rPr>
          <w:b/>
          <w:sz w:val="24"/>
        </w:rPr>
        <w:t>Coefficient Range (Korea, N=120–150 direct MC per cap)</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1"/>
        <w:gridCol w:w="1514"/>
        <w:gridCol w:w="2181"/>
        <w:gridCol w:w="1840"/>
      </w:tblGrid>
      <w:tr>
        <w:trPr>
          <w:trHeight w:val="280" w:hRule="atLeast"/>
        </w:trPr>
        <w:tc>
          <w:tcPr>
            <w:tcW w:w="2761" w:type="dxa"/>
          </w:tcPr>
          <w:p>
            <w:pPr>
              <w:pStyle w:val="TableParagraph"/>
              <w:spacing w:line="246" w:lineRule="exact"/>
              <w:ind w:left="11" w:right="3"/>
              <w:jc w:val="center"/>
              <w:rPr>
                <w:b/>
                <w:sz w:val="22"/>
              </w:rPr>
            </w:pPr>
            <w:r>
              <w:rPr>
                <w:b/>
                <w:sz w:val="22"/>
              </w:rPr>
              <w:t>Perturbed</w:t>
            </w:r>
            <w:r>
              <w:rPr>
                <w:b/>
                <w:spacing w:val="-6"/>
                <w:sz w:val="22"/>
              </w:rPr>
              <w:t> </w:t>
            </w:r>
            <w:r>
              <w:rPr>
                <w:b/>
                <w:spacing w:val="-2"/>
                <w:sz w:val="22"/>
              </w:rPr>
              <w:t>input</w:t>
            </w:r>
          </w:p>
        </w:tc>
        <w:tc>
          <w:tcPr>
            <w:tcW w:w="1514" w:type="dxa"/>
          </w:tcPr>
          <w:p>
            <w:pPr>
              <w:pStyle w:val="TableParagraph"/>
              <w:spacing w:line="246" w:lineRule="exact"/>
              <w:ind w:left="8"/>
              <w:jc w:val="center"/>
              <w:rPr>
                <w:b/>
                <w:sz w:val="22"/>
              </w:rPr>
            </w:pPr>
            <w:r>
              <w:rPr>
                <w:b/>
                <w:spacing w:val="-2"/>
                <w:sz w:val="22"/>
              </w:rPr>
              <w:t>Setting</w:t>
            </w:r>
          </w:p>
        </w:tc>
        <w:tc>
          <w:tcPr>
            <w:tcW w:w="2181" w:type="dxa"/>
          </w:tcPr>
          <w:p>
            <w:pPr>
              <w:pStyle w:val="TableParagraph"/>
              <w:spacing w:line="246" w:lineRule="exact"/>
              <w:ind w:left="8"/>
              <w:jc w:val="center"/>
              <w:rPr>
                <w:b/>
                <w:sz w:val="22"/>
              </w:rPr>
            </w:pPr>
            <w:r>
              <w:rPr>
                <w:b/>
                <w:spacing w:val="-2"/>
                <w:sz w:val="22"/>
              </w:rPr>
              <w:t>Risk-minimising</w:t>
            </w:r>
            <w:r>
              <w:rPr>
                <w:b/>
                <w:spacing w:val="13"/>
                <w:sz w:val="22"/>
              </w:rPr>
              <w:t> </w:t>
            </w:r>
            <w:r>
              <w:rPr>
                <w:b/>
                <w:spacing w:val="-5"/>
                <w:sz w:val="22"/>
              </w:rPr>
              <w:t>cap</w:t>
            </w:r>
          </w:p>
        </w:tc>
        <w:tc>
          <w:tcPr>
            <w:tcW w:w="1840" w:type="dxa"/>
          </w:tcPr>
          <w:p>
            <w:pPr>
              <w:pStyle w:val="TableParagraph"/>
              <w:spacing w:line="246" w:lineRule="exact"/>
              <w:ind w:left="7" w:right="1"/>
              <w:jc w:val="center"/>
              <w:rPr>
                <w:b/>
                <w:sz w:val="22"/>
              </w:rPr>
            </w:pPr>
            <w:r>
              <w:rPr>
                <w:b/>
                <w:spacing w:val="-12"/>
                <w:sz w:val="22"/>
              </w:rPr>
              <w:t>P(Fail)</w:t>
            </w:r>
            <w:r>
              <w:rPr>
                <w:b/>
                <w:spacing w:val="-16"/>
                <w:sz w:val="22"/>
              </w:rPr>
              <w:t> </w:t>
            </w:r>
            <w:r>
              <w:rPr>
                <w:b/>
                <w:spacing w:val="-12"/>
                <w:sz w:val="22"/>
              </w:rPr>
              <w:t>at</w:t>
            </w:r>
            <w:r>
              <w:rPr>
                <w:b/>
                <w:spacing w:val="-16"/>
                <w:sz w:val="22"/>
              </w:rPr>
              <w:t> </w:t>
            </w:r>
            <w:r>
              <w:rPr>
                <w:b/>
                <w:spacing w:val="-12"/>
                <w:sz w:val="22"/>
              </w:rPr>
              <w:t>minimum</w:t>
            </w:r>
          </w:p>
        </w:tc>
      </w:tr>
      <w:tr>
        <w:trPr>
          <w:trHeight w:val="280" w:hRule="atLeast"/>
        </w:trPr>
        <w:tc>
          <w:tcPr>
            <w:tcW w:w="2761" w:type="dxa"/>
          </w:tcPr>
          <w:p>
            <w:pPr>
              <w:pStyle w:val="TableParagraph"/>
              <w:spacing w:line="246" w:lineRule="exact"/>
              <w:ind w:left="11"/>
              <w:jc w:val="center"/>
              <w:rPr>
                <w:sz w:val="22"/>
              </w:rPr>
            </w:pPr>
            <w:r>
              <w:rPr>
                <w:sz w:val="22"/>
              </w:rPr>
              <w:t>Shock</w:t>
            </w:r>
            <w:r>
              <w:rPr>
                <w:spacing w:val="-5"/>
                <w:sz w:val="22"/>
              </w:rPr>
              <w:t> </w:t>
            </w:r>
            <w:r>
              <w:rPr>
                <w:spacing w:val="-2"/>
                <w:sz w:val="22"/>
              </w:rPr>
              <w:t>severity</w:t>
            </w:r>
          </w:p>
        </w:tc>
        <w:tc>
          <w:tcPr>
            <w:tcW w:w="1514" w:type="dxa"/>
          </w:tcPr>
          <w:p>
            <w:pPr>
              <w:pStyle w:val="TableParagraph"/>
              <w:spacing w:line="246" w:lineRule="exact"/>
              <w:ind w:left="84" w:right="2"/>
              <w:jc w:val="center"/>
              <w:rPr>
                <w:sz w:val="22"/>
              </w:rPr>
            </w:pPr>
            <w:r>
              <w:rPr>
                <w:sz w:val="22"/>
              </w:rPr>
              <w:t>Low</w:t>
            </w:r>
            <w:r>
              <w:rPr>
                <w:spacing w:val="-3"/>
                <w:sz w:val="22"/>
              </w:rPr>
              <w:t> </w:t>
            </w:r>
            <w:r>
              <w:rPr>
                <w:spacing w:val="-2"/>
                <w:sz w:val="22"/>
              </w:rPr>
              <w:t>(0.60)</w:t>
            </w:r>
          </w:p>
        </w:tc>
        <w:tc>
          <w:tcPr>
            <w:tcW w:w="2181" w:type="dxa"/>
          </w:tcPr>
          <w:p>
            <w:pPr>
              <w:pStyle w:val="TableParagraph"/>
              <w:spacing w:line="246" w:lineRule="exact"/>
              <w:ind w:left="8" w:right="1"/>
              <w:jc w:val="center"/>
              <w:rPr>
                <w:sz w:val="22"/>
              </w:rPr>
            </w:pPr>
            <w:r>
              <w:rPr>
                <w:spacing w:val="-4"/>
                <w:sz w:val="22"/>
              </w:rPr>
              <w:t>5.5M</w:t>
            </w:r>
          </w:p>
        </w:tc>
        <w:tc>
          <w:tcPr>
            <w:tcW w:w="1840" w:type="dxa"/>
          </w:tcPr>
          <w:p>
            <w:pPr>
              <w:pStyle w:val="TableParagraph"/>
              <w:spacing w:line="246" w:lineRule="exact"/>
              <w:ind w:left="7"/>
              <w:jc w:val="center"/>
              <w:rPr>
                <w:sz w:val="22"/>
              </w:rPr>
            </w:pPr>
            <w:r>
              <w:rPr>
                <w:spacing w:val="-2"/>
                <w:sz w:val="22"/>
              </w:rPr>
              <w:t>0.045</w:t>
            </w:r>
          </w:p>
        </w:tc>
      </w:tr>
      <w:tr>
        <w:trPr>
          <w:trHeight w:val="280" w:hRule="atLeast"/>
        </w:trPr>
        <w:tc>
          <w:tcPr>
            <w:tcW w:w="2761" w:type="dxa"/>
          </w:tcPr>
          <w:p>
            <w:pPr>
              <w:pStyle w:val="TableParagraph"/>
              <w:spacing w:line="249" w:lineRule="exact"/>
              <w:ind w:left="11"/>
              <w:jc w:val="center"/>
              <w:rPr>
                <w:sz w:val="22"/>
              </w:rPr>
            </w:pPr>
            <w:r>
              <w:rPr>
                <w:sz w:val="22"/>
              </w:rPr>
              <w:t>Shock</w:t>
            </w:r>
            <w:r>
              <w:rPr>
                <w:spacing w:val="-5"/>
                <w:sz w:val="22"/>
              </w:rPr>
              <w:t> </w:t>
            </w:r>
            <w:r>
              <w:rPr>
                <w:spacing w:val="-2"/>
                <w:sz w:val="22"/>
              </w:rPr>
              <w:t>severity</w:t>
            </w:r>
          </w:p>
        </w:tc>
        <w:tc>
          <w:tcPr>
            <w:tcW w:w="1514" w:type="dxa"/>
          </w:tcPr>
          <w:p>
            <w:pPr>
              <w:pStyle w:val="TableParagraph"/>
              <w:spacing w:line="249" w:lineRule="exact"/>
              <w:ind w:left="84"/>
              <w:jc w:val="center"/>
              <w:rPr>
                <w:sz w:val="22"/>
              </w:rPr>
            </w:pPr>
            <w:r>
              <w:rPr>
                <w:sz w:val="22"/>
              </w:rPr>
              <w:t>Baseline</w:t>
            </w:r>
            <w:r>
              <w:rPr>
                <w:spacing w:val="-8"/>
                <w:sz w:val="22"/>
              </w:rPr>
              <w:t> </w:t>
            </w:r>
            <w:r>
              <w:rPr>
                <w:spacing w:val="-2"/>
                <w:sz w:val="22"/>
              </w:rPr>
              <w:t>(0.75)</w:t>
            </w:r>
          </w:p>
        </w:tc>
        <w:tc>
          <w:tcPr>
            <w:tcW w:w="2181" w:type="dxa"/>
          </w:tcPr>
          <w:p>
            <w:pPr>
              <w:pStyle w:val="TableParagraph"/>
              <w:spacing w:line="249" w:lineRule="exact"/>
              <w:ind w:left="8" w:right="1"/>
              <w:jc w:val="center"/>
              <w:rPr>
                <w:sz w:val="22"/>
              </w:rPr>
            </w:pPr>
            <w:r>
              <w:rPr>
                <w:spacing w:val="-4"/>
                <w:sz w:val="22"/>
              </w:rPr>
              <w:t>5.5M</w:t>
            </w:r>
          </w:p>
        </w:tc>
        <w:tc>
          <w:tcPr>
            <w:tcW w:w="1840" w:type="dxa"/>
          </w:tcPr>
          <w:p>
            <w:pPr>
              <w:pStyle w:val="TableParagraph"/>
              <w:spacing w:line="249" w:lineRule="exact"/>
              <w:ind w:left="7"/>
              <w:jc w:val="center"/>
              <w:rPr>
                <w:sz w:val="22"/>
              </w:rPr>
            </w:pPr>
            <w:r>
              <w:rPr>
                <w:spacing w:val="-2"/>
                <w:sz w:val="22"/>
              </w:rPr>
              <w:t>0.109</w:t>
            </w:r>
          </w:p>
        </w:tc>
      </w:tr>
      <w:tr>
        <w:trPr>
          <w:trHeight w:val="280" w:hRule="atLeast"/>
        </w:trPr>
        <w:tc>
          <w:tcPr>
            <w:tcW w:w="2761" w:type="dxa"/>
          </w:tcPr>
          <w:p>
            <w:pPr>
              <w:pStyle w:val="TableParagraph"/>
              <w:spacing w:line="249" w:lineRule="exact"/>
              <w:ind w:left="11"/>
              <w:jc w:val="center"/>
              <w:rPr>
                <w:sz w:val="22"/>
              </w:rPr>
            </w:pPr>
            <w:r>
              <w:rPr>
                <w:sz w:val="22"/>
              </w:rPr>
              <w:t>Shock</w:t>
            </w:r>
            <w:r>
              <w:rPr>
                <w:spacing w:val="-5"/>
                <w:sz w:val="22"/>
              </w:rPr>
              <w:t> </w:t>
            </w:r>
            <w:r>
              <w:rPr>
                <w:spacing w:val="-2"/>
                <w:sz w:val="22"/>
              </w:rPr>
              <w:t>severity</w:t>
            </w:r>
          </w:p>
        </w:tc>
        <w:tc>
          <w:tcPr>
            <w:tcW w:w="1514" w:type="dxa"/>
          </w:tcPr>
          <w:p>
            <w:pPr>
              <w:pStyle w:val="TableParagraph"/>
              <w:spacing w:line="249" w:lineRule="exact"/>
              <w:ind w:left="84" w:right="2"/>
              <w:jc w:val="center"/>
              <w:rPr>
                <w:sz w:val="22"/>
              </w:rPr>
            </w:pPr>
            <w:r>
              <w:rPr>
                <w:sz w:val="22"/>
              </w:rPr>
              <w:t>High</w:t>
            </w:r>
            <w:r>
              <w:rPr>
                <w:spacing w:val="-1"/>
                <w:sz w:val="22"/>
              </w:rPr>
              <w:t> </w:t>
            </w:r>
            <w:r>
              <w:rPr>
                <w:spacing w:val="-2"/>
                <w:sz w:val="22"/>
              </w:rPr>
              <w:t>(0.90)</w:t>
            </w:r>
          </w:p>
        </w:tc>
        <w:tc>
          <w:tcPr>
            <w:tcW w:w="2181" w:type="dxa"/>
          </w:tcPr>
          <w:p>
            <w:pPr>
              <w:pStyle w:val="TableParagraph"/>
              <w:spacing w:line="249" w:lineRule="exact"/>
              <w:ind w:left="8" w:right="1"/>
              <w:jc w:val="center"/>
              <w:rPr>
                <w:sz w:val="22"/>
              </w:rPr>
            </w:pPr>
            <w:r>
              <w:rPr>
                <w:spacing w:val="-4"/>
                <w:sz w:val="22"/>
              </w:rPr>
              <w:t>5.5M</w:t>
            </w:r>
          </w:p>
        </w:tc>
        <w:tc>
          <w:tcPr>
            <w:tcW w:w="1840" w:type="dxa"/>
          </w:tcPr>
          <w:p>
            <w:pPr>
              <w:pStyle w:val="TableParagraph"/>
              <w:spacing w:line="249" w:lineRule="exact"/>
              <w:ind w:left="7"/>
              <w:jc w:val="center"/>
              <w:rPr>
                <w:sz w:val="22"/>
              </w:rPr>
            </w:pPr>
            <w:r>
              <w:rPr>
                <w:spacing w:val="-2"/>
                <w:sz w:val="22"/>
              </w:rPr>
              <w:t>0.258</w:t>
            </w:r>
          </w:p>
        </w:tc>
      </w:tr>
      <w:tr>
        <w:trPr>
          <w:trHeight w:val="280" w:hRule="atLeast"/>
        </w:trPr>
        <w:tc>
          <w:tcPr>
            <w:tcW w:w="2761" w:type="dxa"/>
          </w:tcPr>
          <w:p>
            <w:pPr>
              <w:pStyle w:val="TableParagraph"/>
              <w:spacing w:line="249" w:lineRule="exact"/>
              <w:ind w:left="11" w:right="2"/>
              <w:jc w:val="center"/>
              <w:rPr>
                <w:sz w:val="22"/>
              </w:rPr>
            </w:pPr>
            <w:r>
              <w:rPr>
                <w:spacing w:val="-2"/>
                <w:sz w:val="22"/>
              </w:rPr>
              <w:t>OUTFLOW_CAP_SLOPE</w:t>
            </w:r>
          </w:p>
        </w:tc>
        <w:tc>
          <w:tcPr>
            <w:tcW w:w="1514" w:type="dxa"/>
          </w:tcPr>
          <w:p>
            <w:pPr>
              <w:pStyle w:val="TableParagraph"/>
              <w:spacing w:line="249" w:lineRule="exact"/>
              <w:ind w:left="84" w:right="2"/>
              <w:jc w:val="center"/>
              <w:rPr>
                <w:sz w:val="22"/>
              </w:rPr>
            </w:pPr>
            <w:r>
              <w:rPr>
                <w:sz w:val="22"/>
              </w:rPr>
              <w:t>Low</w:t>
            </w:r>
            <w:r>
              <w:rPr>
                <w:spacing w:val="-5"/>
                <w:sz w:val="22"/>
              </w:rPr>
              <w:t> </w:t>
            </w:r>
            <w:r>
              <w:rPr>
                <w:spacing w:val="-2"/>
                <w:sz w:val="22"/>
              </w:rPr>
              <w:t>(0.050)</w:t>
            </w:r>
          </w:p>
        </w:tc>
        <w:tc>
          <w:tcPr>
            <w:tcW w:w="2181" w:type="dxa"/>
          </w:tcPr>
          <w:p>
            <w:pPr>
              <w:pStyle w:val="TableParagraph"/>
              <w:spacing w:line="249" w:lineRule="exact"/>
              <w:ind w:left="8" w:right="1"/>
              <w:jc w:val="center"/>
              <w:rPr>
                <w:sz w:val="22"/>
              </w:rPr>
            </w:pPr>
            <w:r>
              <w:rPr>
                <w:spacing w:val="-4"/>
                <w:sz w:val="22"/>
              </w:rPr>
              <w:t>5.5M</w:t>
            </w:r>
          </w:p>
        </w:tc>
        <w:tc>
          <w:tcPr>
            <w:tcW w:w="1840" w:type="dxa"/>
          </w:tcPr>
          <w:p>
            <w:pPr>
              <w:pStyle w:val="TableParagraph"/>
              <w:spacing w:line="249" w:lineRule="exact"/>
              <w:ind w:left="7"/>
              <w:jc w:val="center"/>
              <w:rPr>
                <w:sz w:val="22"/>
              </w:rPr>
            </w:pPr>
            <w:r>
              <w:rPr>
                <w:spacing w:val="-2"/>
                <w:sz w:val="22"/>
              </w:rPr>
              <w:t>0.107</w:t>
            </w:r>
          </w:p>
        </w:tc>
      </w:tr>
      <w:tr>
        <w:trPr>
          <w:trHeight w:val="282" w:hRule="atLeast"/>
        </w:trPr>
        <w:tc>
          <w:tcPr>
            <w:tcW w:w="2761" w:type="dxa"/>
          </w:tcPr>
          <w:p>
            <w:pPr>
              <w:pStyle w:val="TableParagraph"/>
              <w:spacing w:line="249" w:lineRule="exact"/>
              <w:ind w:left="11" w:right="2"/>
              <w:jc w:val="center"/>
              <w:rPr>
                <w:sz w:val="22"/>
              </w:rPr>
            </w:pPr>
            <w:r>
              <w:rPr>
                <w:spacing w:val="-2"/>
                <w:sz w:val="22"/>
              </w:rPr>
              <w:t>OUTFLOW_CAP_SLOPE</w:t>
            </w:r>
          </w:p>
        </w:tc>
        <w:tc>
          <w:tcPr>
            <w:tcW w:w="1514" w:type="dxa"/>
          </w:tcPr>
          <w:p>
            <w:pPr>
              <w:pStyle w:val="TableParagraph"/>
              <w:spacing w:line="249" w:lineRule="exact"/>
              <w:ind w:left="84" w:right="2"/>
              <w:jc w:val="center"/>
              <w:rPr>
                <w:sz w:val="22"/>
              </w:rPr>
            </w:pPr>
            <w:r>
              <w:rPr>
                <w:sz w:val="22"/>
              </w:rPr>
              <w:t>High</w:t>
            </w:r>
            <w:r>
              <w:rPr>
                <w:spacing w:val="-1"/>
                <w:sz w:val="22"/>
              </w:rPr>
              <w:t> </w:t>
            </w:r>
            <w:r>
              <w:rPr>
                <w:spacing w:val="-2"/>
                <w:sz w:val="22"/>
              </w:rPr>
              <w:t>(0.080)</w:t>
            </w:r>
          </w:p>
        </w:tc>
        <w:tc>
          <w:tcPr>
            <w:tcW w:w="2181" w:type="dxa"/>
          </w:tcPr>
          <w:p>
            <w:pPr>
              <w:pStyle w:val="TableParagraph"/>
              <w:spacing w:line="249" w:lineRule="exact"/>
              <w:ind w:left="8" w:right="1"/>
              <w:jc w:val="center"/>
              <w:rPr>
                <w:sz w:val="22"/>
              </w:rPr>
            </w:pPr>
            <w:r>
              <w:rPr>
                <w:spacing w:val="-4"/>
                <w:sz w:val="22"/>
              </w:rPr>
              <w:t>5.5M</w:t>
            </w:r>
          </w:p>
        </w:tc>
        <w:tc>
          <w:tcPr>
            <w:tcW w:w="1840" w:type="dxa"/>
          </w:tcPr>
          <w:p>
            <w:pPr>
              <w:pStyle w:val="TableParagraph"/>
              <w:spacing w:line="249" w:lineRule="exact"/>
              <w:ind w:left="7"/>
              <w:jc w:val="center"/>
              <w:rPr>
                <w:sz w:val="22"/>
              </w:rPr>
            </w:pPr>
            <w:r>
              <w:rPr>
                <w:spacing w:val="-2"/>
                <w:sz w:val="22"/>
              </w:rPr>
              <w:t>0.112</w:t>
            </w:r>
          </w:p>
        </w:tc>
      </w:tr>
      <w:tr>
        <w:trPr>
          <w:trHeight w:val="280" w:hRule="atLeast"/>
        </w:trPr>
        <w:tc>
          <w:tcPr>
            <w:tcW w:w="2761" w:type="dxa"/>
          </w:tcPr>
          <w:p>
            <w:pPr>
              <w:pStyle w:val="TableParagraph"/>
              <w:spacing w:line="246" w:lineRule="exact"/>
              <w:ind w:left="11" w:right="2"/>
              <w:jc w:val="center"/>
              <w:rPr>
                <w:sz w:val="22"/>
              </w:rPr>
            </w:pPr>
            <w:r>
              <w:rPr>
                <w:spacing w:val="-2"/>
                <w:sz w:val="22"/>
              </w:rPr>
              <w:t>OUTFLOW_CAP_BASE</w:t>
            </w:r>
          </w:p>
        </w:tc>
        <w:tc>
          <w:tcPr>
            <w:tcW w:w="1514" w:type="dxa"/>
          </w:tcPr>
          <w:p>
            <w:pPr>
              <w:pStyle w:val="TableParagraph"/>
              <w:spacing w:line="246" w:lineRule="exact"/>
              <w:ind w:left="84" w:right="2"/>
              <w:jc w:val="center"/>
              <w:rPr>
                <w:sz w:val="22"/>
              </w:rPr>
            </w:pPr>
            <w:r>
              <w:rPr>
                <w:sz w:val="22"/>
              </w:rPr>
              <w:t>Low</w:t>
            </w:r>
            <w:r>
              <w:rPr>
                <w:spacing w:val="-5"/>
                <w:sz w:val="22"/>
              </w:rPr>
              <w:t> </w:t>
            </w:r>
            <w:r>
              <w:rPr>
                <w:spacing w:val="-2"/>
                <w:sz w:val="22"/>
              </w:rPr>
              <w:t>(0.040)</w:t>
            </w:r>
          </w:p>
        </w:tc>
        <w:tc>
          <w:tcPr>
            <w:tcW w:w="2181" w:type="dxa"/>
          </w:tcPr>
          <w:p>
            <w:pPr>
              <w:pStyle w:val="TableParagraph"/>
              <w:spacing w:line="246" w:lineRule="exact"/>
              <w:ind w:left="8" w:right="1"/>
              <w:jc w:val="center"/>
              <w:rPr>
                <w:sz w:val="22"/>
              </w:rPr>
            </w:pPr>
            <w:r>
              <w:rPr>
                <w:spacing w:val="-4"/>
                <w:sz w:val="22"/>
              </w:rPr>
              <w:t>5.5M</w:t>
            </w:r>
          </w:p>
        </w:tc>
        <w:tc>
          <w:tcPr>
            <w:tcW w:w="1840" w:type="dxa"/>
          </w:tcPr>
          <w:p>
            <w:pPr>
              <w:pStyle w:val="TableParagraph"/>
              <w:spacing w:line="246" w:lineRule="exact"/>
              <w:ind w:left="7"/>
              <w:jc w:val="center"/>
              <w:rPr>
                <w:sz w:val="22"/>
              </w:rPr>
            </w:pPr>
            <w:r>
              <w:rPr>
                <w:spacing w:val="-2"/>
                <w:sz w:val="22"/>
              </w:rPr>
              <w:t>0.103</w:t>
            </w:r>
          </w:p>
        </w:tc>
      </w:tr>
      <w:tr>
        <w:trPr>
          <w:trHeight w:val="280" w:hRule="atLeast"/>
        </w:trPr>
        <w:tc>
          <w:tcPr>
            <w:tcW w:w="2761" w:type="dxa"/>
          </w:tcPr>
          <w:p>
            <w:pPr>
              <w:pStyle w:val="TableParagraph"/>
              <w:spacing w:line="246" w:lineRule="exact"/>
              <w:ind w:left="11" w:right="2"/>
              <w:jc w:val="center"/>
              <w:rPr>
                <w:sz w:val="22"/>
              </w:rPr>
            </w:pPr>
            <w:r>
              <w:rPr>
                <w:spacing w:val="-2"/>
                <w:sz w:val="22"/>
              </w:rPr>
              <w:t>OUTFLOW_CAP_BASE</w:t>
            </w:r>
          </w:p>
        </w:tc>
        <w:tc>
          <w:tcPr>
            <w:tcW w:w="1514" w:type="dxa"/>
          </w:tcPr>
          <w:p>
            <w:pPr>
              <w:pStyle w:val="TableParagraph"/>
              <w:spacing w:line="246" w:lineRule="exact"/>
              <w:ind w:left="84" w:right="2"/>
              <w:jc w:val="center"/>
              <w:rPr>
                <w:sz w:val="22"/>
              </w:rPr>
            </w:pPr>
            <w:r>
              <w:rPr>
                <w:sz w:val="22"/>
              </w:rPr>
              <w:t>High</w:t>
            </w:r>
            <w:r>
              <w:rPr>
                <w:spacing w:val="-1"/>
                <w:sz w:val="22"/>
              </w:rPr>
              <w:t> </w:t>
            </w:r>
            <w:r>
              <w:rPr>
                <w:spacing w:val="-2"/>
                <w:sz w:val="22"/>
              </w:rPr>
              <w:t>(0.060)</w:t>
            </w:r>
          </w:p>
        </w:tc>
        <w:tc>
          <w:tcPr>
            <w:tcW w:w="2181" w:type="dxa"/>
          </w:tcPr>
          <w:p>
            <w:pPr>
              <w:pStyle w:val="TableParagraph"/>
              <w:spacing w:line="246" w:lineRule="exact"/>
              <w:ind w:left="8" w:right="1"/>
              <w:jc w:val="center"/>
              <w:rPr>
                <w:sz w:val="22"/>
              </w:rPr>
            </w:pPr>
            <w:r>
              <w:rPr>
                <w:spacing w:val="-4"/>
                <w:sz w:val="22"/>
              </w:rPr>
              <w:t>5.5M</w:t>
            </w:r>
          </w:p>
        </w:tc>
        <w:tc>
          <w:tcPr>
            <w:tcW w:w="1840" w:type="dxa"/>
          </w:tcPr>
          <w:p>
            <w:pPr>
              <w:pStyle w:val="TableParagraph"/>
              <w:spacing w:line="246" w:lineRule="exact"/>
              <w:ind w:left="7"/>
              <w:jc w:val="center"/>
              <w:rPr>
                <w:sz w:val="22"/>
              </w:rPr>
            </w:pPr>
            <w:r>
              <w:rPr>
                <w:spacing w:val="-2"/>
                <w:sz w:val="22"/>
              </w:rPr>
              <w:t>0.115</w:t>
            </w:r>
          </w:p>
        </w:tc>
      </w:tr>
      <w:tr>
        <w:trPr>
          <w:trHeight w:val="570" w:hRule="atLeast"/>
        </w:trPr>
        <w:tc>
          <w:tcPr>
            <w:tcW w:w="2761" w:type="dxa"/>
          </w:tcPr>
          <w:p>
            <w:pPr>
              <w:pStyle w:val="TableParagraph"/>
              <w:spacing w:line="249" w:lineRule="exact"/>
              <w:ind w:left="11" w:right="4"/>
              <w:jc w:val="center"/>
              <w:rPr>
                <w:sz w:val="22"/>
              </w:rPr>
            </w:pPr>
            <w:r>
              <w:rPr>
                <w:spacing w:val="-2"/>
                <w:sz w:val="22"/>
              </w:rPr>
              <w:t>OUTFLOW_DIGITAL_SE</w:t>
            </w:r>
          </w:p>
          <w:p>
            <w:pPr>
              <w:pStyle w:val="TableParagraph"/>
              <w:spacing w:before="37"/>
              <w:ind w:left="11" w:right="3"/>
              <w:jc w:val="center"/>
              <w:rPr>
                <w:sz w:val="22"/>
              </w:rPr>
            </w:pPr>
            <w:r>
              <w:rPr>
                <w:spacing w:val="-2"/>
                <w:sz w:val="22"/>
              </w:rPr>
              <w:t>NSITIVITY</w:t>
            </w:r>
          </w:p>
        </w:tc>
        <w:tc>
          <w:tcPr>
            <w:tcW w:w="1514" w:type="dxa"/>
          </w:tcPr>
          <w:p>
            <w:pPr>
              <w:pStyle w:val="TableParagraph"/>
              <w:spacing w:before="139"/>
              <w:ind w:left="84" w:right="2"/>
              <w:jc w:val="center"/>
              <w:rPr>
                <w:sz w:val="22"/>
              </w:rPr>
            </w:pPr>
            <w:r>
              <w:rPr>
                <w:sz w:val="22"/>
              </w:rPr>
              <w:t>Low</w:t>
            </w:r>
            <w:r>
              <w:rPr>
                <w:spacing w:val="-5"/>
                <w:sz w:val="22"/>
              </w:rPr>
              <w:t> </w:t>
            </w:r>
            <w:r>
              <w:rPr>
                <w:spacing w:val="-2"/>
                <w:sz w:val="22"/>
              </w:rPr>
              <w:t>(0.280)</w:t>
            </w:r>
          </w:p>
        </w:tc>
        <w:tc>
          <w:tcPr>
            <w:tcW w:w="2181" w:type="dxa"/>
          </w:tcPr>
          <w:p>
            <w:pPr>
              <w:pStyle w:val="TableParagraph"/>
              <w:spacing w:before="139"/>
              <w:ind w:left="8" w:right="1"/>
              <w:jc w:val="center"/>
              <w:rPr>
                <w:sz w:val="22"/>
              </w:rPr>
            </w:pPr>
            <w:r>
              <w:rPr>
                <w:spacing w:val="-4"/>
                <w:sz w:val="22"/>
              </w:rPr>
              <w:t>5.5M</w:t>
            </w:r>
          </w:p>
        </w:tc>
        <w:tc>
          <w:tcPr>
            <w:tcW w:w="1840" w:type="dxa"/>
          </w:tcPr>
          <w:p>
            <w:pPr>
              <w:pStyle w:val="TableParagraph"/>
              <w:spacing w:before="139"/>
              <w:ind w:left="7"/>
              <w:jc w:val="center"/>
              <w:rPr>
                <w:sz w:val="22"/>
              </w:rPr>
            </w:pPr>
            <w:r>
              <w:rPr>
                <w:spacing w:val="-2"/>
                <w:sz w:val="22"/>
              </w:rPr>
              <w:t>0.086</w:t>
            </w:r>
          </w:p>
        </w:tc>
      </w:tr>
      <w:tr>
        <w:trPr>
          <w:trHeight w:val="572" w:hRule="atLeast"/>
        </w:trPr>
        <w:tc>
          <w:tcPr>
            <w:tcW w:w="2761" w:type="dxa"/>
          </w:tcPr>
          <w:p>
            <w:pPr>
              <w:pStyle w:val="TableParagraph"/>
              <w:spacing w:line="249" w:lineRule="exact"/>
              <w:ind w:left="11" w:right="4"/>
              <w:jc w:val="center"/>
              <w:rPr>
                <w:sz w:val="22"/>
              </w:rPr>
            </w:pPr>
            <w:r>
              <w:rPr>
                <w:spacing w:val="-2"/>
                <w:sz w:val="22"/>
              </w:rPr>
              <w:t>OUTFLOW_DIGITAL_SE</w:t>
            </w:r>
          </w:p>
          <w:p>
            <w:pPr>
              <w:pStyle w:val="TableParagraph"/>
              <w:spacing w:before="37"/>
              <w:ind w:left="11" w:right="3"/>
              <w:jc w:val="center"/>
              <w:rPr>
                <w:sz w:val="22"/>
              </w:rPr>
            </w:pPr>
            <w:r>
              <w:rPr>
                <w:spacing w:val="-2"/>
                <w:sz w:val="22"/>
              </w:rPr>
              <w:t>NSITIVITY</w:t>
            </w:r>
          </w:p>
        </w:tc>
        <w:tc>
          <w:tcPr>
            <w:tcW w:w="1514" w:type="dxa"/>
          </w:tcPr>
          <w:p>
            <w:pPr>
              <w:pStyle w:val="TableParagraph"/>
              <w:spacing w:before="139"/>
              <w:ind w:left="84" w:right="2"/>
              <w:jc w:val="center"/>
              <w:rPr>
                <w:sz w:val="22"/>
              </w:rPr>
            </w:pPr>
            <w:r>
              <w:rPr>
                <w:sz w:val="22"/>
              </w:rPr>
              <w:t>High</w:t>
            </w:r>
            <w:r>
              <w:rPr>
                <w:spacing w:val="-1"/>
                <w:sz w:val="22"/>
              </w:rPr>
              <w:t> </w:t>
            </w:r>
            <w:r>
              <w:rPr>
                <w:spacing w:val="-2"/>
                <w:sz w:val="22"/>
              </w:rPr>
              <w:t>(0.420)</w:t>
            </w:r>
          </w:p>
        </w:tc>
        <w:tc>
          <w:tcPr>
            <w:tcW w:w="2181" w:type="dxa"/>
          </w:tcPr>
          <w:p>
            <w:pPr>
              <w:pStyle w:val="TableParagraph"/>
              <w:spacing w:before="139"/>
              <w:ind w:left="8" w:right="1"/>
              <w:jc w:val="center"/>
              <w:rPr>
                <w:sz w:val="22"/>
              </w:rPr>
            </w:pPr>
            <w:r>
              <w:rPr>
                <w:spacing w:val="-4"/>
                <w:sz w:val="22"/>
              </w:rPr>
              <w:t>5.5M</w:t>
            </w:r>
          </w:p>
        </w:tc>
        <w:tc>
          <w:tcPr>
            <w:tcW w:w="1840" w:type="dxa"/>
          </w:tcPr>
          <w:p>
            <w:pPr>
              <w:pStyle w:val="TableParagraph"/>
              <w:spacing w:before="139"/>
              <w:ind w:left="7"/>
              <w:jc w:val="center"/>
              <w:rPr>
                <w:sz w:val="22"/>
              </w:rPr>
            </w:pPr>
            <w:r>
              <w:rPr>
                <w:spacing w:val="-2"/>
                <w:sz w:val="22"/>
              </w:rPr>
              <w:t>0.138</w:t>
            </w:r>
          </w:p>
        </w:tc>
      </w:tr>
    </w:tbl>
    <w:p>
      <w:pPr>
        <w:tabs>
          <w:tab w:pos="1629" w:val="left" w:leader="none"/>
          <w:tab w:pos="2068" w:val="left" w:leader="none"/>
        </w:tabs>
        <w:spacing w:line="240" w:lineRule="auto" w:before="0"/>
        <w:ind w:left="99" w:right="182" w:firstLine="0"/>
        <w:jc w:val="left"/>
        <w:rPr>
          <w:i/>
          <w:sz w:val="24"/>
        </w:rPr>
      </w:pPr>
      <w:r>
        <w:rPr>
          <w:i/>
          <w:sz w:val="24"/>
        </w:rPr>
        <w:t>Notes:</w:t>
      </w:r>
      <w:r>
        <w:rPr>
          <w:i/>
          <w:spacing w:val="80"/>
          <w:sz w:val="24"/>
        </w:rPr>
        <w:t> </w:t>
      </w:r>
      <w:r>
        <w:rPr>
          <w:i/>
          <w:sz w:val="24"/>
        </w:rPr>
        <w:t>The</w:t>
      </w:r>
      <w:r>
        <w:rPr>
          <w:i/>
          <w:spacing w:val="80"/>
          <w:sz w:val="24"/>
        </w:rPr>
        <w:t> </w:t>
      </w:r>
      <w:r>
        <w:rPr>
          <w:i/>
          <w:sz w:val="24"/>
        </w:rPr>
        <w:t>risk-minimising</w:t>
      </w:r>
      <w:r>
        <w:rPr>
          <w:i/>
          <w:spacing w:val="80"/>
          <w:sz w:val="24"/>
        </w:rPr>
        <w:t> </w:t>
      </w:r>
      <w:r>
        <w:rPr>
          <w:i/>
          <w:sz w:val="24"/>
        </w:rPr>
        <w:t>cap</w:t>
      </w:r>
      <w:r>
        <w:rPr>
          <w:i/>
          <w:spacing w:val="80"/>
          <w:sz w:val="24"/>
        </w:rPr>
        <w:t> </w:t>
      </w:r>
      <w:r>
        <w:rPr>
          <w:i/>
          <w:sz w:val="24"/>
        </w:rPr>
        <w:t>location</w:t>
      </w:r>
      <w:r>
        <w:rPr>
          <w:i/>
          <w:spacing w:val="80"/>
          <w:sz w:val="24"/>
        </w:rPr>
        <w:t> </w:t>
      </w:r>
      <w:r>
        <w:rPr>
          <w:i/>
          <w:sz w:val="24"/>
        </w:rPr>
        <w:t>(5.5M</w:t>
      </w:r>
      <w:r>
        <w:rPr>
          <w:i/>
          <w:spacing w:val="80"/>
          <w:sz w:val="24"/>
        </w:rPr>
        <w:t> </w:t>
      </w:r>
      <w:r>
        <w:rPr>
          <w:i/>
          <w:sz w:val="24"/>
        </w:rPr>
        <w:t>KRW)</w:t>
      </w:r>
      <w:r>
        <w:rPr>
          <w:i/>
          <w:spacing w:val="40"/>
          <w:sz w:val="24"/>
        </w:rPr>
        <w:t> </w:t>
      </w:r>
      <w:r>
        <w:rPr>
          <w:i/>
          <w:sz w:val="24"/>
        </w:rPr>
        <w:t>is</w:t>
      </w:r>
      <w:r>
        <w:rPr>
          <w:i/>
          <w:spacing w:val="80"/>
          <w:sz w:val="24"/>
        </w:rPr>
        <w:t> </w:t>
      </w:r>
      <w:r>
        <w:rPr>
          <w:i/>
          <w:sz w:val="24"/>
        </w:rPr>
        <w:t>invariant</w:t>
      </w:r>
      <w:r>
        <w:rPr>
          <w:i/>
          <w:spacing w:val="80"/>
          <w:sz w:val="24"/>
        </w:rPr>
        <w:t> </w:t>
      </w:r>
      <w:r>
        <w:rPr>
          <w:i/>
          <w:sz w:val="24"/>
        </w:rPr>
        <w:t>across</w:t>
      </w:r>
      <w:r>
        <w:rPr>
          <w:i/>
          <w:spacing w:val="80"/>
          <w:sz w:val="24"/>
        </w:rPr>
        <w:t> </w:t>
      </w:r>
      <w:r>
        <w:rPr>
          <w:i/>
          <w:sz w:val="24"/>
        </w:rPr>
        <w:t>all</w:t>
      </w:r>
      <w:r>
        <w:rPr>
          <w:i/>
          <w:spacing w:val="80"/>
          <w:sz w:val="24"/>
        </w:rPr>
        <w:t> </w:t>
      </w:r>
      <w:r>
        <w:rPr>
          <w:i/>
          <w:sz w:val="24"/>
        </w:rPr>
        <w:t>9</w:t>
      </w:r>
      <w:r>
        <w:rPr>
          <w:i/>
          <w:sz w:val="24"/>
        </w:rPr>
        <w:t> </w:t>
      </w:r>
      <w:r>
        <w:rPr>
          <w:i/>
          <w:spacing w:val="-2"/>
          <w:sz w:val="24"/>
        </w:rPr>
        <w:t>perturbations</w:t>
      </w:r>
      <w:r>
        <w:rPr>
          <w:i/>
          <w:sz w:val="24"/>
        </w:rPr>
        <w:tab/>
      </w:r>
      <w:r>
        <w:rPr>
          <w:i/>
          <w:spacing w:val="-10"/>
          <w:sz w:val="24"/>
        </w:rPr>
        <w:t>—</w:t>
      </w:r>
      <w:r>
        <w:rPr>
          <w:i/>
          <w:sz w:val="24"/>
        </w:rPr>
        <w:tab/>
        <w:t>three</w:t>
      </w:r>
      <w:r>
        <w:rPr>
          <w:i/>
          <w:spacing w:val="80"/>
          <w:sz w:val="24"/>
        </w:rPr>
        <w:t> </w:t>
      </w:r>
      <w:r>
        <w:rPr>
          <w:i/>
          <w:sz w:val="24"/>
        </w:rPr>
        <w:t>shock</w:t>
      </w:r>
      <w:r>
        <w:rPr>
          <w:i/>
          <w:spacing w:val="80"/>
          <w:sz w:val="24"/>
        </w:rPr>
        <w:t> </w:t>
      </w:r>
      <w:r>
        <w:rPr>
          <w:i/>
          <w:sz w:val="24"/>
        </w:rPr>
        <w:t>levels</w:t>
      </w:r>
      <w:r>
        <w:rPr>
          <w:i/>
          <w:spacing w:val="80"/>
          <w:sz w:val="24"/>
        </w:rPr>
        <w:t> </w:t>
      </w:r>
      <w:r>
        <w:rPr>
          <w:i/>
          <w:sz w:val="24"/>
        </w:rPr>
        <w:t>spanning</w:t>
      </w:r>
      <w:r>
        <w:rPr>
          <w:i/>
          <w:spacing w:val="80"/>
          <w:sz w:val="24"/>
        </w:rPr>
        <w:t> </w:t>
      </w:r>
      <w:r>
        <w:rPr>
          <w:i/>
          <w:sz w:val="24"/>
        </w:rPr>
        <w:t>the</w:t>
      </w:r>
      <w:r>
        <w:rPr>
          <w:i/>
          <w:spacing w:val="80"/>
          <w:sz w:val="24"/>
        </w:rPr>
        <w:t> </w:t>
      </w:r>
      <w:r>
        <w:rPr>
          <w:i/>
          <w:sz w:val="24"/>
        </w:rPr>
        <w:t>calibrated</w:t>
      </w:r>
      <w:r>
        <w:rPr>
          <w:i/>
          <w:spacing w:val="80"/>
          <w:sz w:val="24"/>
        </w:rPr>
        <w:t> </w:t>
      </w:r>
      <w:r>
        <w:rPr>
          <w:i/>
          <w:sz w:val="24"/>
        </w:rPr>
        <w:t>range,</w:t>
      </w:r>
      <w:r>
        <w:rPr>
          <w:i/>
          <w:spacing w:val="80"/>
          <w:sz w:val="24"/>
        </w:rPr>
        <w:t> </w:t>
      </w:r>
      <w:r>
        <w:rPr>
          <w:i/>
          <w:sz w:val="24"/>
        </w:rPr>
        <w:t>and</w:t>
      </w:r>
      <w:r>
        <w:rPr>
          <w:i/>
          <w:spacing w:val="80"/>
          <w:sz w:val="24"/>
        </w:rPr>
        <w:t> </w:t>
      </w:r>
      <w:r>
        <w:rPr>
          <w:i/>
          <w:sz w:val="24"/>
        </w:rPr>
        <w:t>the literature-cited low/high</w:t>
      </w:r>
      <w:r>
        <w:rPr>
          <w:i/>
          <w:spacing w:val="40"/>
          <w:sz w:val="24"/>
        </w:rPr>
        <w:t> </w:t>
      </w:r>
      <w:r>
        <w:rPr>
          <w:i/>
          <w:sz w:val="24"/>
        </w:rPr>
        <w:t>bounds (Table</w:t>
      </w:r>
      <w:r>
        <w:rPr>
          <w:i/>
          <w:spacing w:val="40"/>
          <w:sz w:val="24"/>
        </w:rPr>
        <w:t> </w:t>
      </w:r>
      <w:r>
        <w:rPr>
          <w:i/>
          <w:sz w:val="24"/>
        </w:rPr>
        <w:t>3) of</w:t>
      </w:r>
      <w:r>
        <w:rPr>
          <w:i/>
          <w:spacing w:val="40"/>
          <w:sz w:val="24"/>
        </w:rPr>
        <w:t> </w:t>
      </w:r>
      <w:r>
        <w:rPr>
          <w:i/>
          <w:sz w:val="24"/>
        </w:rPr>
        <w:t>the two coefficients</w:t>
      </w:r>
      <w:r>
        <w:rPr>
          <w:i/>
          <w:spacing w:val="40"/>
          <w:sz w:val="24"/>
        </w:rPr>
        <w:t> </w:t>
      </w:r>
      <w:r>
        <w:rPr>
          <w:i/>
          <w:sz w:val="24"/>
        </w:rPr>
        <w:t>that</w:t>
      </w:r>
      <w:r>
        <w:rPr>
          <w:i/>
          <w:spacing w:val="40"/>
          <w:sz w:val="24"/>
        </w:rPr>
        <w:t> </w:t>
      </w:r>
      <w:r>
        <w:rPr>
          <w:i/>
          <w:sz w:val="24"/>
        </w:rPr>
        <w:t>most directly govern the dynamic-cap holding-limit mechanism (cap slope and cap base) plus the</w:t>
      </w:r>
      <w:r>
        <w:rPr>
          <w:i/>
          <w:spacing w:val="40"/>
          <w:sz w:val="24"/>
        </w:rPr>
        <w:t> </w:t>
      </w:r>
      <w:r>
        <w:rPr>
          <w:i/>
          <w:sz w:val="24"/>
        </w:rPr>
        <w:t>largest</w:t>
      </w:r>
      <w:r>
        <w:rPr>
          <w:i/>
          <w:spacing w:val="38"/>
          <w:sz w:val="24"/>
        </w:rPr>
        <w:t> </w:t>
      </w:r>
      <w:r>
        <w:rPr>
          <w:i/>
          <w:sz w:val="24"/>
        </w:rPr>
        <w:t>single</w:t>
      </w:r>
      <w:r>
        <w:rPr>
          <w:i/>
          <w:spacing w:val="37"/>
          <w:sz w:val="24"/>
        </w:rPr>
        <w:t> </w:t>
      </w:r>
      <w:r>
        <w:rPr>
          <w:i/>
          <w:sz w:val="24"/>
        </w:rPr>
        <w:t>sensitivity-driving</w:t>
      </w:r>
      <w:r>
        <w:rPr>
          <w:i/>
          <w:spacing w:val="37"/>
          <w:sz w:val="24"/>
        </w:rPr>
        <w:t> </w:t>
      </w:r>
      <w:r>
        <w:rPr>
          <w:i/>
          <w:sz w:val="24"/>
        </w:rPr>
        <w:t>coefficient</w:t>
      </w:r>
      <w:r>
        <w:rPr>
          <w:i/>
          <w:spacing w:val="38"/>
          <w:sz w:val="24"/>
        </w:rPr>
        <w:t> </w:t>
      </w:r>
      <w:r>
        <w:rPr>
          <w:i/>
          <w:sz w:val="24"/>
        </w:rPr>
        <w:t>(digital</w:t>
      </w:r>
      <w:r>
        <w:rPr>
          <w:i/>
          <w:spacing w:val="40"/>
          <w:sz w:val="24"/>
        </w:rPr>
        <w:t> </w:t>
      </w:r>
      <w:r>
        <w:rPr>
          <w:i/>
          <w:sz w:val="24"/>
        </w:rPr>
        <w:t>outflow</w:t>
      </w:r>
      <w:r>
        <w:rPr>
          <w:i/>
          <w:spacing w:val="39"/>
          <w:sz w:val="24"/>
        </w:rPr>
        <w:t> </w:t>
      </w:r>
      <w:r>
        <w:rPr>
          <w:i/>
          <w:sz w:val="24"/>
        </w:rPr>
        <w:t>sensitivity).</w:t>
      </w:r>
      <w:r>
        <w:rPr>
          <w:i/>
          <w:spacing w:val="37"/>
          <w:sz w:val="24"/>
        </w:rPr>
        <w:t> </w:t>
      </w:r>
      <w:r>
        <w:rPr>
          <w:i/>
          <w:sz w:val="24"/>
        </w:rPr>
        <w:t>Only</w:t>
      </w:r>
      <w:r>
        <w:rPr>
          <w:i/>
          <w:spacing w:val="39"/>
          <w:sz w:val="24"/>
        </w:rPr>
        <w:t> </w:t>
      </w:r>
      <w:r>
        <w:rPr>
          <w:i/>
          <w:sz w:val="24"/>
        </w:rPr>
        <w:t>P(Fail) at</w:t>
      </w:r>
      <w:r>
        <w:rPr>
          <w:i/>
          <w:spacing w:val="40"/>
          <w:sz w:val="24"/>
        </w:rPr>
        <w:t> </w:t>
      </w:r>
      <w:r>
        <w:rPr>
          <w:i/>
          <w:sz w:val="24"/>
        </w:rPr>
        <w:t>the</w:t>
      </w:r>
      <w:r>
        <w:rPr>
          <w:i/>
          <w:spacing w:val="40"/>
          <w:sz w:val="24"/>
        </w:rPr>
        <w:t> </w:t>
      </w:r>
      <w:r>
        <w:rPr>
          <w:i/>
          <w:sz w:val="24"/>
        </w:rPr>
        <w:t>minimum</w:t>
      </w:r>
      <w:r>
        <w:rPr>
          <w:i/>
          <w:spacing w:val="40"/>
          <w:sz w:val="24"/>
        </w:rPr>
        <w:t> </w:t>
      </w:r>
      <w:r>
        <w:rPr>
          <w:i/>
          <w:sz w:val="24"/>
        </w:rPr>
        <w:t>moves</w:t>
      </w:r>
      <w:r>
        <w:rPr>
          <w:i/>
          <w:spacing w:val="40"/>
          <w:sz w:val="24"/>
        </w:rPr>
        <w:t> </w:t>
      </w:r>
      <w:r>
        <w:rPr>
          <w:i/>
          <w:sz w:val="24"/>
        </w:rPr>
        <w:t>(from</w:t>
      </w:r>
      <w:r>
        <w:rPr>
          <w:i/>
          <w:spacing w:val="40"/>
          <w:sz w:val="24"/>
        </w:rPr>
        <w:t> </w:t>
      </w:r>
      <w:r>
        <w:rPr>
          <w:i/>
          <w:sz w:val="24"/>
        </w:rPr>
        <w:t>0.045</w:t>
      </w:r>
      <w:r>
        <w:rPr>
          <w:i/>
          <w:spacing w:val="40"/>
          <w:sz w:val="24"/>
        </w:rPr>
        <w:t> </w:t>
      </w:r>
      <w:r>
        <w:rPr>
          <w:i/>
          <w:sz w:val="24"/>
        </w:rPr>
        <w:t>to</w:t>
      </w:r>
      <w:r>
        <w:rPr>
          <w:i/>
          <w:spacing w:val="40"/>
          <w:sz w:val="24"/>
        </w:rPr>
        <w:t> </w:t>
      </w:r>
      <w:r>
        <w:rPr>
          <w:i/>
          <w:sz w:val="24"/>
        </w:rPr>
        <w:t>0.258</w:t>
      </w:r>
      <w:r>
        <w:rPr>
          <w:i/>
          <w:spacing w:val="40"/>
          <w:sz w:val="24"/>
        </w:rPr>
        <w:t> </w:t>
      </w:r>
      <w:r>
        <w:rPr>
          <w:i/>
          <w:sz w:val="24"/>
        </w:rPr>
        <w:t>as</w:t>
      </w:r>
      <w:r>
        <w:rPr>
          <w:i/>
          <w:spacing w:val="40"/>
          <w:sz w:val="24"/>
        </w:rPr>
        <w:t> </w:t>
      </w:r>
      <w:r>
        <w:rPr>
          <w:i/>
          <w:sz w:val="24"/>
        </w:rPr>
        <w:t>shock</w:t>
      </w:r>
      <w:r>
        <w:rPr>
          <w:i/>
          <w:spacing w:val="40"/>
          <w:sz w:val="24"/>
        </w:rPr>
        <w:t> </w:t>
      </w:r>
      <w:r>
        <w:rPr>
          <w:i/>
          <w:sz w:val="24"/>
        </w:rPr>
        <w:t>rises,</w:t>
      </w:r>
      <w:r>
        <w:rPr>
          <w:i/>
          <w:spacing w:val="40"/>
          <w:sz w:val="24"/>
        </w:rPr>
        <w:t> </w:t>
      </w:r>
      <w:r>
        <w:rPr>
          <w:i/>
          <w:sz w:val="24"/>
        </w:rPr>
        <w:t>and</w:t>
      </w:r>
      <w:r>
        <w:rPr>
          <w:i/>
          <w:spacing w:val="40"/>
          <w:sz w:val="24"/>
        </w:rPr>
        <w:t> </w:t>
      </w:r>
      <w:r>
        <w:rPr>
          <w:i/>
          <w:sz w:val="24"/>
        </w:rPr>
        <w:t>by</w:t>
      </w:r>
      <w:r>
        <w:rPr>
          <w:i/>
          <w:spacing w:val="40"/>
          <w:sz w:val="24"/>
        </w:rPr>
        <w:t> </w:t>
      </w:r>
      <w:r>
        <w:rPr>
          <w:i/>
          <w:sz w:val="24"/>
        </w:rPr>
        <w:t>roughly</w:t>
      </w:r>
      <w:r>
        <w:rPr>
          <w:i/>
          <w:spacing w:val="80"/>
          <w:sz w:val="24"/>
        </w:rPr>
        <w:t> </w:t>
      </w:r>
      <w:r>
        <w:rPr>
          <w:i/>
          <w:sz w:val="24"/>
        </w:rPr>
        <w:t>±25% across the coefficient ranges), confirming that the threshold mechanism’s location is structural</w:t>
      </w:r>
      <w:r>
        <w:rPr>
          <w:i/>
          <w:spacing w:val="80"/>
          <w:sz w:val="24"/>
        </w:rPr>
        <w:t> </w:t>
      </w:r>
      <w:r>
        <w:rPr>
          <w:i/>
          <w:sz w:val="24"/>
        </w:rPr>
        <w:t>—</w:t>
      </w:r>
      <w:r>
        <w:rPr>
          <w:i/>
          <w:spacing w:val="80"/>
          <w:sz w:val="24"/>
        </w:rPr>
        <w:t> </w:t>
      </w:r>
      <w:r>
        <w:rPr>
          <w:i/>
          <w:sz w:val="24"/>
        </w:rPr>
        <w:t>driven</w:t>
      </w:r>
      <w:r>
        <w:rPr>
          <w:i/>
          <w:spacing w:val="40"/>
          <w:sz w:val="24"/>
        </w:rPr>
        <w:t> </w:t>
      </w:r>
      <w:r>
        <w:rPr>
          <w:i/>
          <w:sz w:val="24"/>
        </w:rPr>
        <w:t>by</w:t>
      </w:r>
      <w:r>
        <w:rPr>
          <w:i/>
          <w:spacing w:val="40"/>
          <w:sz w:val="24"/>
        </w:rPr>
        <w:t> </w:t>
      </w:r>
      <w:r>
        <w:rPr>
          <w:i/>
          <w:sz w:val="24"/>
        </w:rPr>
        <w:t>tier-1</w:t>
      </w:r>
      <w:r>
        <w:rPr>
          <w:i/>
          <w:spacing w:val="40"/>
          <w:sz w:val="24"/>
        </w:rPr>
        <w:t> </w:t>
      </w:r>
      <w:r>
        <w:rPr>
          <w:i/>
          <w:sz w:val="24"/>
        </w:rPr>
        <w:t>threshold/tiered-remuneration</w:t>
      </w:r>
      <w:r>
        <w:rPr>
          <w:i/>
          <w:spacing w:val="40"/>
          <w:sz w:val="24"/>
        </w:rPr>
        <w:t> </w:t>
      </w:r>
      <w:r>
        <w:rPr>
          <w:i/>
          <w:sz w:val="24"/>
        </w:rPr>
        <w:t>activation</w:t>
      </w:r>
      <w:r>
        <w:rPr>
          <w:i/>
          <w:spacing w:val="40"/>
          <w:sz w:val="24"/>
        </w:rPr>
        <w:t> </w:t>
      </w:r>
      <w:r>
        <w:rPr>
          <w:i/>
          <w:sz w:val="24"/>
        </w:rPr>
        <w:t>(consistent with</w:t>
      </w:r>
      <w:r>
        <w:rPr>
          <w:i/>
          <w:spacing w:val="32"/>
          <w:sz w:val="24"/>
        </w:rPr>
        <w:t> </w:t>
      </w:r>
      <w:r>
        <w:rPr>
          <w:i/>
          <w:sz w:val="24"/>
        </w:rPr>
        <w:t>Table</w:t>
      </w:r>
      <w:r>
        <w:rPr>
          <w:i/>
          <w:spacing w:val="31"/>
          <w:sz w:val="24"/>
        </w:rPr>
        <w:t> </w:t>
      </w:r>
      <w:r>
        <w:rPr>
          <w:i/>
          <w:sz w:val="24"/>
        </w:rPr>
        <w:t>7a</w:t>
      </w:r>
      <w:r>
        <w:rPr>
          <w:i/>
          <w:spacing w:val="32"/>
          <w:sz w:val="24"/>
        </w:rPr>
        <w:t> </w:t>
      </w:r>
      <w:r>
        <w:rPr>
          <w:i/>
          <w:sz w:val="24"/>
        </w:rPr>
        <w:t>path</w:t>
      </w:r>
      <w:r>
        <w:rPr>
          <w:i/>
          <w:spacing w:val="32"/>
          <w:sz w:val="24"/>
        </w:rPr>
        <w:t> </w:t>
      </w:r>
      <w:r>
        <w:rPr>
          <w:i/>
          <w:sz w:val="24"/>
        </w:rPr>
        <w:t>diagnostics</w:t>
      </w:r>
      <w:r>
        <w:rPr>
          <w:i/>
          <w:spacing w:val="32"/>
          <w:sz w:val="24"/>
        </w:rPr>
        <w:t> </w:t>
      </w:r>
      <w:r>
        <w:rPr>
          <w:i/>
          <w:sz w:val="24"/>
        </w:rPr>
        <w:t>showing</w:t>
      </w:r>
      <w:r>
        <w:rPr>
          <w:i/>
          <w:spacing w:val="32"/>
          <w:sz w:val="24"/>
        </w:rPr>
        <w:t> </w:t>
      </w:r>
      <w:r>
        <w:rPr>
          <w:i/>
          <w:sz w:val="24"/>
        </w:rPr>
        <w:t>no</w:t>
      </w:r>
      <w:r>
        <w:rPr>
          <w:i/>
          <w:spacing w:val="32"/>
          <w:sz w:val="24"/>
        </w:rPr>
        <w:t> </w:t>
      </w:r>
      <w:r>
        <w:rPr>
          <w:i/>
          <w:sz w:val="24"/>
        </w:rPr>
        <w:t>dynamic-cap</w:t>
      </w:r>
      <w:r>
        <w:rPr>
          <w:i/>
          <w:spacing w:val="32"/>
          <w:sz w:val="24"/>
        </w:rPr>
        <w:t> </w:t>
      </w:r>
      <w:r>
        <w:rPr>
          <w:i/>
          <w:sz w:val="24"/>
        </w:rPr>
        <w:t>cut</w:t>
      </w:r>
      <w:r>
        <w:rPr>
          <w:i/>
          <w:spacing w:val="32"/>
          <w:sz w:val="24"/>
        </w:rPr>
        <w:t> </w:t>
      </w:r>
      <w:r>
        <w:rPr>
          <w:i/>
          <w:sz w:val="24"/>
        </w:rPr>
        <w:t>in</w:t>
      </w:r>
      <w:r>
        <w:rPr>
          <w:i/>
          <w:spacing w:val="32"/>
          <w:sz w:val="24"/>
        </w:rPr>
        <w:t> </w:t>
      </w:r>
      <w:r>
        <w:rPr>
          <w:i/>
          <w:sz w:val="24"/>
        </w:rPr>
        <w:t>the</w:t>
      </w:r>
      <w:r>
        <w:rPr>
          <w:i/>
          <w:spacing w:val="31"/>
          <w:sz w:val="24"/>
        </w:rPr>
        <w:t> </w:t>
      </w:r>
      <w:r>
        <w:rPr>
          <w:i/>
          <w:sz w:val="24"/>
        </w:rPr>
        <w:t>5M–10M</w:t>
      </w:r>
      <w:r>
        <w:rPr>
          <w:i/>
          <w:spacing w:val="31"/>
          <w:sz w:val="24"/>
        </w:rPr>
        <w:t> </w:t>
      </w:r>
      <w:r>
        <w:rPr>
          <w:i/>
          <w:sz w:val="24"/>
        </w:rPr>
        <w:t>range), not by the literature-bounded parameter point estimates</w:t>
      </w:r>
      <w:r>
        <w:rPr>
          <w:i/>
          <w:spacing w:val="40"/>
          <w:sz w:val="24"/>
        </w:rPr>
        <w:t> </w:t>
      </w:r>
      <w:r>
        <w:rPr>
          <w:i/>
          <w:sz w:val="24"/>
        </w:rPr>
        <w:t>—</w:t>
      </w:r>
      <w:r>
        <w:rPr>
          <w:i/>
          <w:spacing w:val="40"/>
          <w:sz w:val="24"/>
        </w:rPr>
        <w:t> </w:t>
      </w:r>
      <w:r>
        <w:rPr>
          <w:i/>
          <w:sz w:val="24"/>
        </w:rPr>
        <w:t>while its magnitude is, as stated</w:t>
      </w:r>
      <w:r>
        <w:rPr>
          <w:i/>
          <w:spacing w:val="80"/>
          <w:sz w:val="24"/>
        </w:rPr>
        <w:t> </w:t>
      </w:r>
      <w:r>
        <w:rPr>
          <w:i/>
          <w:sz w:val="24"/>
        </w:rPr>
        <w:t>throughout,</w:t>
      </w:r>
      <w:r>
        <w:rPr>
          <w:i/>
          <w:spacing w:val="80"/>
          <w:sz w:val="24"/>
        </w:rPr>
        <w:t> </w:t>
      </w:r>
      <w:r>
        <w:rPr>
          <w:i/>
          <w:sz w:val="24"/>
        </w:rPr>
        <w:t>sensitive</w:t>
      </w:r>
      <w:r>
        <w:rPr>
          <w:i/>
          <w:spacing w:val="80"/>
          <w:sz w:val="24"/>
        </w:rPr>
        <w:t> </w:t>
      </w:r>
      <w:r>
        <w:rPr>
          <w:i/>
          <w:sz w:val="24"/>
        </w:rPr>
        <w:t>to</w:t>
      </w:r>
      <w:r>
        <w:rPr>
          <w:i/>
          <w:spacing w:val="80"/>
          <w:sz w:val="24"/>
        </w:rPr>
        <w:t> </w:t>
      </w:r>
      <w:r>
        <w:rPr>
          <w:i/>
          <w:sz w:val="24"/>
        </w:rPr>
        <w:t>assumptions.</w:t>
      </w:r>
      <w:r>
        <w:rPr>
          <w:i/>
          <w:spacing w:val="80"/>
          <w:sz w:val="24"/>
        </w:rPr>
        <w:t> </w:t>
      </w:r>
      <w:r>
        <w:rPr>
          <w:i/>
          <w:sz w:val="24"/>
        </w:rPr>
        <w:t>This</w:t>
      </w:r>
      <w:r>
        <w:rPr>
          <w:i/>
          <w:spacing w:val="80"/>
          <w:sz w:val="24"/>
        </w:rPr>
        <w:t> </w:t>
      </w:r>
      <w:r>
        <w:rPr>
          <w:i/>
          <w:sz w:val="24"/>
        </w:rPr>
        <w:t>distinction</w:t>
      </w:r>
      <w:r>
        <w:rPr>
          <w:i/>
          <w:spacing w:val="80"/>
          <w:sz w:val="24"/>
        </w:rPr>
        <w:t> </w:t>
      </w:r>
      <w:r>
        <w:rPr>
          <w:i/>
          <w:sz w:val="24"/>
        </w:rPr>
        <w:t>(location</w:t>
      </w:r>
      <w:r>
        <w:rPr>
          <w:i/>
          <w:spacing w:val="80"/>
          <w:sz w:val="24"/>
        </w:rPr>
        <w:t> </w:t>
      </w:r>
      <w:r>
        <w:rPr>
          <w:i/>
          <w:sz w:val="24"/>
        </w:rPr>
        <w:t>is</w:t>
      </w:r>
      <w:r>
        <w:rPr>
          <w:i/>
          <w:spacing w:val="80"/>
          <w:sz w:val="24"/>
        </w:rPr>
        <w:t> </w:t>
      </w:r>
      <w:r>
        <w:rPr>
          <w:i/>
          <w:sz w:val="24"/>
        </w:rPr>
        <w:t>robust; magnitude</w:t>
      </w:r>
      <w:r>
        <w:rPr>
          <w:i/>
          <w:spacing w:val="40"/>
          <w:sz w:val="24"/>
        </w:rPr>
        <w:t> </w:t>
      </w:r>
      <w:r>
        <w:rPr>
          <w:i/>
          <w:sz w:val="24"/>
        </w:rPr>
        <w:t>is</w:t>
      </w:r>
      <w:r>
        <w:rPr>
          <w:i/>
          <w:spacing w:val="40"/>
          <w:sz w:val="24"/>
        </w:rPr>
        <w:t> </w:t>
      </w:r>
      <w:r>
        <w:rPr>
          <w:i/>
          <w:sz w:val="24"/>
        </w:rPr>
        <w:t>assumption-sensitive)</w:t>
      </w:r>
      <w:r>
        <w:rPr>
          <w:i/>
          <w:spacing w:val="40"/>
          <w:sz w:val="24"/>
        </w:rPr>
        <w:t> </w:t>
      </w:r>
      <w:r>
        <w:rPr>
          <w:i/>
          <w:sz w:val="24"/>
        </w:rPr>
        <w:t>is</w:t>
      </w:r>
      <w:r>
        <w:rPr>
          <w:i/>
          <w:spacing w:val="40"/>
          <w:sz w:val="24"/>
        </w:rPr>
        <w:t> </w:t>
      </w:r>
      <w:r>
        <w:rPr>
          <w:i/>
          <w:sz w:val="24"/>
        </w:rPr>
        <w:t>the</w:t>
      </w:r>
      <w:r>
        <w:rPr>
          <w:i/>
          <w:spacing w:val="40"/>
          <w:sz w:val="24"/>
        </w:rPr>
        <w:t> </w:t>
      </w:r>
      <w:r>
        <w:rPr>
          <w:i/>
          <w:sz w:val="24"/>
        </w:rPr>
        <w:t>basis</w:t>
      </w:r>
      <w:r>
        <w:rPr>
          <w:i/>
          <w:spacing w:val="40"/>
          <w:sz w:val="24"/>
        </w:rPr>
        <w:t> </w:t>
      </w:r>
      <w:r>
        <w:rPr>
          <w:i/>
          <w:sz w:val="24"/>
        </w:rPr>
        <w:t>for</w:t>
      </w:r>
      <w:r>
        <w:rPr>
          <w:i/>
          <w:spacing w:val="40"/>
          <w:sz w:val="24"/>
        </w:rPr>
        <w:t> </w:t>
      </w:r>
      <w:r>
        <w:rPr>
          <w:i/>
          <w:sz w:val="24"/>
        </w:rPr>
        <w:t>treating</w:t>
      </w:r>
      <w:r>
        <w:rPr>
          <w:i/>
          <w:spacing w:val="40"/>
          <w:sz w:val="24"/>
        </w:rPr>
        <w:t> </w:t>
      </w:r>
      <w:r>
        <w:rPr>
          <w:i/>
          <w:sz w:val="24"/>
        </w:rPr>
        <w:t>5.5M</w:t>
      </w:r>
      <w:r>
        <w:rPr>
          <w:i/>
          <w:spacing w:val="40"/>
          <w:sz w:val="24"/>
        </w:rPr>
        <w:t> </w:t>
      </w:r>
      <w:r>
        <w:rPr>
          <w:i/>
          <w:sz w:val="24"/>
        </w:rPr>
        <w:t>as</w:t>
      </w:r>
      <w:r>
        <w:rPr>
          <w:i/>
          <w:spacing w:val="40"/>
          <w:sz w:val="24"/>
        </w:rPr>
        <w:t> </w:t>
      </w:r>
      <w:r>
        <w:rPr>
          <w:i/>
          <w:sz w:val="24"/>
        </w:rPr>
        <w:t>a</w:t>
      </w:r>
      <w:r>
        <w:rPr>
          <w:i/>
          <w:spacing w:val="40"/>
          <w:sz w:val="24"/>
        </w:rPr>
        <w:t> </w:t>
      </w:r>
      <w:r>
        <w:rPr>
          <w:i/>
          <w:sz w:val="24"/>
        </w:rPr>
        <w:t>mechanism diagnostic worth reporting, while declining to treat the associated P(Fail) level as a portable policy number.</w:t>
      </w:r>
    </w:p>
    <w:p>
      <w:pPr>
        <w:pStyle w:val="Heading2"/>
        <w:numPr>
          <w:ilvl w:val="1"/>
          <w:numId w:val="1"/>
        </w:numPr>
        <w:tabs>
          <w:tab w:pos="457" w:val="left" w:leader="none"/>
        </w:tabs>
        <w:spacing w:line="240" w:lineRule="auto" w:before="233" w:after="0"/>
        <w:ind w:left="457" w:right="0" w:hanging="358"/>
        <w:jc w:val="left"/>
        <w:rPr>
          <w:i/>
        </w:rPr>
      </w:pPr>
      <w:r>
        <w:rPr>
          <w:i/>
        </w:rPr>
        <w:t>Contextualising</w:t>
      </w:r>
      <w:r>
        <w:rPr>
          <w:i/>
          <w:spacing w:val="-15"/>
        </w:rPr>
        <w:t> </w:t>
      </w:r>
      <w:r>
        <w:rPr>
          <w:i/>
        </w:rPr>
        <w:t>the</w:t>
      </w:r>
      <w:r>
        <w:rPr>
          <w:i/>
          <w:spacing w:val="-12"/>
        </w:rPr>
        <w:t> </w:t>
      </w:r>
      <w:r>
        <w:rPr>
          <w:i/>
        </w:rPr>
        <w:t>5.5M</w:t>
      </w:r>
      <w:r>
        <w:rPr>
          <w:i/>
          <w:spacing w:val="-12"/>
        </w:rPr>
        <w:t> </w:t>
      </w:r>
      <w:r>
        <w:rPr>
          <w:i/>
        </w:rPr>
        <w:t>KRW</w:t>
      </w:r>
      <w:r>
        <w:rPr>
          <w:i/>
          <w:spacing w:val="-14"/>
        </w:rPr>
        <w:t> </w:t>
      </w:r>
      <w:r>
        <w:rPr>
          <w:i/>
        </w:rPr>
        <w:t>Threshold</w:t>
      </w:r>
      <w:r>
        <w:rPr>
          <w:i/>
          <w:spacing w:val="-12"/>
        </w:rPr>
        <w:t> </w:t>
      </w:r>
      <w:r>
        <w:rPr>
          <w:i/>
        </w:rPr>
        <w:t>Against</w:t>
      </w:r>
      <w:r>
        <w:rPr>
          <w:i/>
          <w:spacing w:val="-13"/>
        </w:rPr>
        <w:t> </w:t>
      </w:r>
      <w:r>
        <w:rPr>
          <w:i/>
        </w:rPr>
        <w:t>Real-World</w:t>
      </w:r>
      <w:r>
        <w:rPr>
          <w:i/>
          <w:spacing w:val="-12"/>
        </w:rPr>
        <w:t> </w:t>
      </w:r>
      <w:r>
        <w:rPr>
          <w:i/>
          <w:spacing w:val="-2"/>
        </w:rPr>
        <w:t>Benchmarks</w:t>
      </w:r>
    </w:p>
    <w:p>
      <w:pPr>
        <w:pStyle w:val="BodyText"/>
        <w:spacing w:before="81"/>
        <w:ind w:left="0"/>
        <w:rPr>
          <w:b/>
          <w:i/>
        </w:rPr>
      </w:pPr>
    </w:p>
    <w:p>
      <w:pPr>
        <w:pStyle w:val="BodyText"/>
        <w:spacing w:line="480" w:lineRule="auto"/>
        <w:ind w:right="379"/>
        <w:jc w:val="both"/>
      </w:pPr>
      <w:r>
        <w:rPr/>
        <w:t>Three real-world benchmarks help contextualise the 5.5M KRW simulation threshold (approximately USD</w:t>
      </w:r>
      <w:r>
        <w:rPr>
          <w:spacing w:val="-15"/>
        </w:rPr>
        <w:t> </w:t>
      </w:r>
      <w:r>
        <w:rPr/>
        <w:t>4,000 at 2024 exchange rates). First, Korea’s deposit insurance limit under the Korea Deposit Insurance Corporation (KDIC) is 50 million KRW per depositor</w:t>
      </w:r>
      <w:r>
        <w:rPr>
          <w:spacing w:val="48"/>
        </w:rPr>
        <w:t> </w:t>
      </w:r>
      <w:r>
        <w:rPr/>
        <w:t>per</w:t>
      </w:r>
      <w:r>
        <w:rPr>
          <w:spacing w:val="50"/>
        </w:rPr>
        <w:t> </w:t>
      </w:r>
      <w:r>
        <w:rPr/>
        <w:t>institution</w:t>
      </w:r>
      <w:r>
        <w:rPr>
          <w:spacing w:val="49"/>
        </w:rPr>
        <w:t> </w:t>
      </w:r>
      <w:r>
        <w:rPr/>
        <w:t>(approximately</w:t>
      </w:r>
      <w:r>
        <w:rPr>
          <w:spacing w:val="46"/>
        </w:rPr>
        <w:t> </w:t>
      </w:r>
      <w:r>
        <w:rPr/>
        <w:t>USD</w:t>
      </w:r>
      <w:r>
        <w:rPr>
          <w:spacing w:val="-15"/>
        </w:rPr>
        <w:t> </w:t>
      </w:r>
      <w:r>
        <w:rPr/>
        <w:t>37,000)</w:t>
      </w:r>
      <w:r>
        <w:rPr>
          <w:spacing w:val="73"/>
          <w:w w:val="150"/>
        </w:rPr>
        <w:t> </w:t>
      </w:r>
      <w:r>
        <w:rPr/>
        <w:t>—</w:t>
      </w:r>
      <w:r>
        <w:rPr>
          <w:spacing w:val="76"/>
          <w:w w:val="150"/>
        </w:rPr>
        <w:t> </w:t>
      </w:r>
      <w:r>
        <w:rPr/>
        <w:t>roughly</w:t>
      </w:r>
      <w:r>
        <w:rPr>
          <w:spacing w:val="46"/>
        </w:rPr>
        <w:t> </w:t>
      </w:r>
      <w:r>
        <w:rPr/>
        <w:t>nine</w:t>
      </w:r>
      <w:r>
        <w:rPr>
          <w:spacing w:val="51"/>
        </w:rPr>
        <w:t> </w:t>
      </w:r>
      <w:r>
        <w:rPr/>
        <w:t>times</w:t>
      </w:r>
      <w:r>
        <w:rPr>
          <w:spacing w:val="51"/>
        </w:rPr>
        <w:t> </w:t>
      </w:r>
      <w:r>
        <w:rPr>
          <w:spacing w:val="-5"/>
        </w:rPr>
        <w:t>the</w:t>
      </w:r>
    </w:p>
    <w:p>
      <w:pPr>
        <w:pStyle w:val="BodyText"/>
        <w:spacing w:line="274" w:lineRule="exact"/>
      </w:pPr>
      <w:r>
        <w:rPr/>
        <w:t>5.5M</w:t>
      </w:r>
      <w:r>
        <w:rPr>
          <w:spacing w:val="34"/>
        </w:rPr>
        <w:t> </w:t>
      </w:r>
      <w:r>
        <w:rPr/>
        <w:t>KRW</w:t>
      </w:r>
      <w:r>
        <w:rPr>
          <w:spacing w:val="36"/>
        </w:rPr>
        <w:t> </w:t>
      </w:r>
      <w:r>
        <w:rPr/>
        <w:t>simulation</w:t>
      </w:r>
      <w:r>
        <w:rPr>
          <w:spacing w:val="35"/>
        </w:rPr>
        <w:t> </w:t>
      </w:r>
      <w:r>
        <w:rPr/>
        <w:t>threshold.</w:t>
      </w:r>
      <w:r>
        <w:rPr>
          <w:spacing w:val="35"/>
        </w:rPr>
        <w:t> </w:t>
      </w:r>
      <w:r>
        <w:rPr/>
        <w:t>This</w:t>
      </w:r>
      <w:r>
        <w:rPr>
          <w:spacing w:val="35"/>
        </w:rPr>
        <w:t> </w:t>
      </w:r>
      <w:r>
        <w:rPr/>
        <w:t>large</w:t>
      </w:r>
      <w:r>
        <w:rPr>
          <w:spacing w:val="33"/>
        </w:rPr>
        <w:t> </w:t>
      </w:r>
      <w:r>
        <w:rPr/>
        <w:t>gap</w:t>
      </w:r>
      <w:r>
        <w:rPr>
          <w:spacing w:val="35"/>
        </w:rPr>
        <w:t> </w:t>
      </w:r>
      <w:r>
        <w:rPr/>
        <w:t>underscores</w:t>
      </w:r>
      <w:r>
        <w:rPr>
          <w:spacing w:val="35"/>
        </w:rPr>
        <w:t> </w:t>
      </w:r>
      <w:r>
        <w:rPr/>
        <w:t>that</w:t>
      </w:r>
      <w:r>
        <w:rPr>
          <w:spacing w:val="35"/>
        </w:rPr>
        <w:t> </w:t>
      </w:r>
      <w:r>
        <w:rPr/>
        <w:t>the</w:t>
      </w:r>
      <w:r>
        <w:rPr>
          <w:spacing w:val="36"/>
        </w:rPr>
        <w:t> </w:t>
      </w:r>
      <w:r>
        <w:rPr/>
        <w:t>5.5M</w:t>
      </w:r>
      <w:r>
        <w:rPr>
          <w:spacing w:val="34"/>
        </w:rPr>
        <w:t> </w:t>
      </w:r>
      <w:r>
        <w:rPr>
          <w:spacing w:val="-5"/>
        </w:rPr>
        <w:t>KRW</w:t>
      </w:r>
    </w:p>
    <w:p>
      <w:pPr>
        <w:pStyle w:val="BodyText"/>
        <w:spacing w:after="0" w:line="274" w:lineRule="exact"/>
        <w:sectPr>
          <w:pgSz w:w="11900" w:h="16820"/>
          <w:pgMar w:header="714" w:footer="0" w:top="1340" w:bottom="280" w:left="1700" w:right="1417"/>
        </w:sectPr>
      </w:pPr>
    </w:p>
    <w:p>
      <w:pPr>
        <w:pStyle w:val="BodyText"/>
        <w:tabs>
          <w:tab w:pos="916" w:val="left" w:leader="none"/>
          <w:tab w:pos="1363" w:val="left" w:leader="none"/>
          <w:tab w:pos="1754" w:val="left" w:leader="none"/>
          <w:tab w:pos="3982" w:val="left" w:leader="none"/>
          <w:tab w:pos="5253" w:val="left" w:leader="none"/>
          <w:tab w:pos="6282" w:val="left" w:leader="none"/>
          <w:tab w:pos="6755" w:val="left" w:leader="none"/>
          <w:tab w:pos="7333" w:val="left" w:leader="none"/>
        </w:tabs>
        <w:spacing w:line="480" w:lineRule="auto" w:before="79"/>
        <w:ind w:right="300"/>
      </w:pPr>
      <w:r>
        <w:rPr>
          <w:spacing w:val="-2"/>
        </w:rPr>
        <w:t>result</w:t>
      </w:r>
      <w:r>
        <w:rPr/>
        <w:tab/>
      </w:r>
      <w:r>
        <w:rPr>
          <w:spacing w:val="-6"/>
        </w:rPr>
        <w:t>is</w:t>
      </w:r>
      <w:r>
        <w:rPr/>
        <w:tab/>
      </w:r>
      <w:r>
        <w:rPr>
          <w:spacing w:val="-10"/>
        </w:rPr>
        <w:t>a</w:t>
      </w:r>
      <w:r>
        <w:rPr/>
        <w:tab/>
      </w:r>
      <w:r>
        <w:rPr>
          <w:spacing w:val="-2"/>
        </w:rPr>
        <w:t>stability-mechanism</w:t>
      </w:r>
      <w:r>
        <w:rPr/>
        <w:tab/>
      </w:r>
      <w:r>
        <w:rPr>
          <w:spacing w:val="-2"/>
        </w:rPr>
        <w:t>diagnostic</w:t>
      </w:r>
      <w:r>
        <w:rPr/>
        <w:tab/>
      </w:r>
      <w:r>
        <w:rPr>
          <w:spacing w:val="-2"/>
        </w:rPr>
        <w:t>specific</w:t>
      </w:r>
      <w:r>
        <w:rPr/>
        <w:tab/>
      </w:r>
      <w:r>
        <w:rPr>
          <w:spacing w:val="-6"/>
        </w:rPr>
        <w:t>to</w:t>
      </w:r>
      <w:r>
        <w:rPr/>
        <w:tab/>
      </w:r>
      <w:r>
        <w:rPr>
          <w:spacing w:val="-4"/>
        </w:rPr>
        <w:t>the</w:t>
      </w:r>
      <w:r>
        <w:rPr/>
        <w:tab/>
      </w:r>
      <w:r>
        <w:rPr>
          <w:spacing w:val="-2"/>
        </w:rPr>
        <w:t>high-shock, </w:t>
      </w:r>
      <w:r>
        <w:rPr/>
        <w:t>high-digital-penetration scenario modelled here, not a proposal for the overall deposit protection framework. Under lower shock levels (e.g. S=0.60), Table 7g shows P(Fail) falls to 4.5% at the same 5.5M threshold, suggesting that less severe but more realistic baseline shocks would allow higher caps while maintaining feasibility.</w:t>
      </w:r>
    </w:p>
    <w:p>
      <w:pPr>
        <w:pStyle w:val="BodyText"/>
        <w:spacing w:line="480" w:lineRule="auto"/>
        <w:ind w:right="381"/>
        <w:jc w:val="both"/>
      </w:pPr>
      <w:r>
        <w:rPr/>
        <w:t>Second,</w:t>
      </w:r>
      <w:r>
        <w:rPr>
          <w:spacing w:val="-5"/>
        </w:rPr>
        <w:t> </w:t>
      </w:r>
      <w:r>
        <w:rPr/>
        <w:t>the</w:t>
      </w:r>
      <w:r>
        <w:rPr>
          <w:spacing w:val="-5"/>
        </w:rPr>
        <w:t> </w:t>
      </w:r>
      <w:r>
        <w:rPr/>
        <w:t>European</w:t>
      </w:r>
      <w:r>
        <w:rPr>
          <w:spacing w:val="-5"/>
        </w:rPr>
        <w:t> </w:t>
      </w:r>
      <w:r>
        <w:rPr/>
        <w:t>Central</w:t>
      </w:r>
      <w:r>
        <w:rPr>
          <w:spacing w:val="-4"/>
        </w:rPr>
        <w:t> </w:t>
      </w:r>
      <w:r>
        <w:rPr/>
        <w:t>Bank’s</w:t>
      </w:r>
      <w:r>
        <w:rPr>
          <w:spacing w:val="-4"/>
        </w:rPr>
        <w:t> </w:t>
      </w:r>
      <w:r>
        <w:rPr/>
        <w:t>digital</w:t>
      </w:r>
      <w:r>
        <w:rPr>
          <w:spacing w:val="-4"/>
        </w:rPr>
        <w:t> </w:t>
      </w:r>
      <w:r>
        <w:rPr/>
        <w:t>euro</w:t>
      </w:r>
      <w:r>
        <w:rPr>
          <w:spacing w:val="-2"/>
        </w:rPr>
        <w:t> </w:t>
      </w:r>
      <w:r>
        <w:rPr/>
        <w:t>proposal</w:t>
      </w:r>
      <w:r>
        <w:rPr>
          <w:spacing w:val="-4"/>
        </w:rPr>
        <w:t> </w:t>
      </w:r>
      <w:r>
        <w:rPr/>
        <w:t>(ECB,</w:t>
      </w:r>
      <w:r>
        <w:rPr>
          <w:spacing w:val="-5"/>
        </w:rPr>
        <w:t> </w:t>
      </w:r>
      <w:r>
        <w:rPr/>
        <w:t>2023)</w:t>
      </w:r>
      <w:r>
        <w:rPr>
          <w:spacing w:val="-5"/>
        </w:rPr>
        <w:t> </w:t>
      </w:r>
      <w:r>
        <w:rPr/>
        <w:t>has</w:t>
      </w:r>
      <w:r>
        <w:rPr>
          <w:spacing w:val="-2"/>
        </w:rPr>
        <w:t> </w:t>
      </w:r>
      <w:r>
        <w:rPr/>
        <w:t>discussed a holding limit of approximately</w:t>
      </w:r>
      <w:r>
        <w:rPr>
          <w:spacing w:val="40"/>
        </w:rPr>
        <w:t> </w:t>
      </w:r>
      <w:r>
        <w:rPr/>
        <w:t>€3,000 per person (roughly 4.4M KRW-equivalent</w:t>
      </w:r>
      <w:r>
        <w:rPr>
          <w:spacing w:val="40"/>
        </w:rPr>
        <w:t> </w:t>
      </w:r>
      <w:r>
        <w:rPr/>
        <w:t>at mid-2024 rates). Our 5.5M KRW threshold falls in a broadly compatible range for the</w:t>
      </w:r>
      <w:r>
        <w:rPr>
          <w:spacing w:val="-2"/>
        </w:rPr>
        <w:t> </w:t>
      </w:r>
      <w:r>
        <w:rPr/>
        <w:t>EU</w:t>
      </w:r>
      <w:r>
        <w:rPr>
          <w:spacing w:val="-2"/>
        </w:rPr>
        <w:t> </w:t>
      </w:r>
      <w:r>
        <w:rPr/>
        <w:t>scenarios (Table 5:</w:t>
      </w:r>
      <w:r>
        <w:rPr>
          <w:spacing w:val="-1"/>
        </w:rPr>
        <w:t> </w:t>
      </w:r>
      <w:r>
        <w:rPr/>
        <w:t>EU P(Fail)=2.4%</w:t>
      </w:r>
      <w:r>
        <w:rPr>
          <w:spacing w:val="-2"/>
        </w:rPr>
        <w:t> </w:t>
      </w:r>
      <w:r>
        <w:rPr/>
        <w:t>at 7.5M,</w:t>
      </w:r>
      <w:r>
        <w:rPr>
          <w:spacing w:val="-1"/>
        </w:rPr>
        <w:t> </w:t>
      </w:r>
      <w:r>
        <w:rPr/>
        <w:t>well below</w:t>
      </w:r>
      <w:r>
        <w:rPr>
          <w:spacing w:val="-1"/>
        </w:rPr>
        <w:t> </w:t>
      </w:r>
      <w:r>
        <w:rPr/>
        <w:t>p*=5%), though</w:t>
      </w:r>
      <w:r>
        <w:rPr>
          <w:spacing w:val="-1"/>
        </w:rPr>
        <w:t> </w:t>
      </w:r>
      <w:r>
        <w:rPr/>
        <w:t>the EU’s lower digital adoption (D=0.74 vs Korea’s D=0.92) means the stability frontier is more forgiving. Third, the Bank of Korea’s CBDC pilot discussions have not publicly specified a holding limit. We report the 5.5M–7.5M KRW coarse-grid range here only to show how the estimated outflow channel translates into a concrete number under this paper’s assumptions, not as a suggested calibration input: higher-N full-surface</w:t>
      </w:r>
      <w:r>
        <w:rPr>
          <w:spacing w:val="-1"/>
        </w:rPr>
        <w:t> </w:t>
      </w:r>
      <w:r>
        <w:rPr/>
        <w:t>replication</w:t>
      </w:r>
      <w:r>
        <w:rPr>
          <w:spacing w:val="-1"/>
        </w:rPr>
        <w:t> </w:t>
      </w:r>
      <w:r>
        <w:rPr/>
        <w:t>has not been</w:t>
      </w:r>
      <w:r>
        <w:rPr>
          <w:spacing w:val="-1"/>
        </w:rPr>
        <w:t> </w:t>
      </w:r>
      <w:r>
        <w:rPr/>
        <w:t>completed</w:t>
      </w:r>
      <w:r>
        <w:rPr>
          <w:spacing w:val="-2"/>
        </w:rPr>
        <w:t> </w:t>
      </w:r>
      <w:r>
        <w:rPr/>
        <w:t>(§7.4,</w:t>
      </w:r>
      <w:r>
        <w:rPr>
          <w:spacing w:val="-2"/>
        </w:rPr>
        <w:t> </w:t>
      </w:r>
      <w:r>
        <w:rPr/>
        <w:t>priority</w:t>
      </w:r>
      <w:r>
        <w:rPr>
          <w:spacing w:val="-5"/>
        </w:rPr>
        <w:t> </w:t>
      </w:r>
      <w:r>
        <w:rPr/>
        <w:t>iv),</w:t>
      </w:r>
      <w:r>
        <w:rPr>
          <w:spacing w:val="-2"/>
        </w:rPr>
        <w:t> </w:t>
      </w:r>
      <w:r>
        <w:rPr/>
        <w:t>and,</w:t>
      </w:r>
      <w:r>
        <w:rPr>
          <w:spacing w:val="-1"/>
        </w:rPr>
        <w:t> </w:t>
      </w:r>
      <w:r>
        <w:rPr/>
        <w:t>consistent with the framing at the start of Section 6, no cap value in this paper should be read as a policy recommendation.</w:t>
      </w:r>
    </w:p>
    <w:p>
      <w:pPr>
        <w:pStyle w:val="ListParagraph"/>
        <w:numPr>
          <w:ilvl w:val="1"/>
          <w:numId w:val="1"/>
        </w:numPr>
        <w:tabs>
          <w:tab w:pos="457" w:val="left" w:leader="none"/>
        </w:tabs>
        <w:spacing w:line="240" w:lineRule="auto" w:before="235" w:after="0"/>
        <w:ind w:left="457" w:right="0" w:hanging="358"/>
        <w:jc w:val="both"/>
        <w:rPr>
          <w:b/>
          <w:i/>
          <w:sz w:val="24"/>
        </w:rPr>
      </w:pPr>
      <w:r>
        <w:rPr>
          <w:b/>
          <w:i/>
          <w:sz w:val="24"/>
        </w:rPr>
        <w:t>Shock</w:t>
      </w:r>
      <w:r>
        <w:rPr>
          <w:b/>
          <w:i/>
          <w:spacing w:val="-8"/>
          <w:sz w:val="24"/>
        </w:rPr>
        <w:t> </w:t>
      </w:r>
      <w:r>
        <w:rPr>
          <w:b/>
          <w:i/>
          <w:sz w:val="24"/>
        </w:rPr>
        <w:t>Is</w:t>
      </w:r>
      <w:r>
        <w:rPr>
          <w:b/>
          <w:i/>
          <w:spacing w:val="-8"/>
          <w:sz w:val="24"/>
        </w:rPr>
        <w:t> </w:t>
      </w:r>
      <w:r>
        <w:rPr>
          <w:b/>
          <w:i/>
          <w:sz w:val="24"/>
        </w:rPr>
        <w:t>the</w:t>
      </w:r>
      <w:r>
        <w:rPr>
          <w:b/>
          <w:i/>
          <w:spacing w:val="-8"/>
          <w:sz w:val="24"/>
        </w:rPr>
        <w:t> </w:t>
      </w:r>
      <w:r>
        <w:rPr>
          <w:b/>
          <w:i/>
          <w:sz w:val="24"/>
        </w:rPr>
        <w:t>Binding</w:t>
      </w:r>
      <w:r>
        <w:rPr>
          <w:b/>
          <w:i/>
          <w:spacing w:val="-9"/>
          <w:sz w:val="24"/>
        </w:rPr>
        <w:t> </w:t>
      </w:r>
      <w:r>
        <w:rPr>
          <w:b/>
          <w:i/>
          <w:sz w:val="24"/>
        </w:rPr>
        <w:t>Constraint</w:t>
      </w:r>
      <w:r>
        <w:rPr>
          <w:b/>
          <w:i/>
          <w:spacing w:val="-8"/>
          <w:sz w:val="24"/>
        </w:rPr>
        <w:t> </w:t>
      </w:r>
      <w:r>
        <w:rPr>
          <w:b/>
          <w:i/>
          <w:sz w:val="24"/>
        </w:rPr>
        <w:t>at</w:t>
      </w:r>
      <w:r>
        <w:rPr>
          <w:b/>
          <w:i/>
          <w:spacing w:val="-9"/>
          <w:sz w:val="24"/>
        </w:rPr>
        <w:t> </w:t>
      </w:r>
      <w:r>
        <w:rPr>
          <w:b/>
          <w:i/>
          <w:spacing w:val="-2"/>
          <w:sz w:val="24"/>
        </w:rPr>
        <w:t>S=0.75</w:t>
      </w:r>
    </w:p>
    <w:p>
      <w:pPr>
        <w:pStyle w:val="BodyText"/>
        <w:spacing w:before="79"/>
        <w:ind w:left="0"/>
        <w:rPr>
          <w:b/>
          <w:i/>
        </w:rPr>
      </w:pPr>
    </w:p>
    <w:p>
      <w:pPr>
        <w:pStyle w:val="BodyText"/>
        <w:spacing w:line="480" w:lineRule="auto"/>
        <w:ind w:right="380"/>
        <w:jc w:val="both"/>
      </w:pPr>
      <w:r>
        <w:rPr/>
        <w:t>Table 4 establishes P(Fail)=0.1400 for DynCap+Tiered at cap=20M under a common LOLR-enabled v6.0 comparison, consistent with the Table 8 holding-limit row at</w:t>
      </w:r>
      <w:r>
        <w:rPr>
          <w:spacing w:val="40"/>
        </w:rPr>
        <w:t> </w:t>
      </w:r>
      <w:r>
        <w:rPr/>
        <w:t>20M (P=0.1400). The empirical result theta2=0.2466 implies a shock-concentration contribution of 0.2466 x 0.75 x 0.75 = 0.139, which dominates any cap-level design effect. LOLR (Sobol S_T=0.19, 79% interaction) is the dominant stabiliser at </w:t>
      </w:r>
      <w:r>
        <w:rPr>
          <w:spacing w:val="-2"/>
        </w:rPr>
        <w:t>shock=0.75.</w:t>
      </w:r>
    </w:p>
    <w:p>
      <w:pPr>
        <w:pStyle w:val="BodyText"/>
        <w:spacing w:after="0" w:line="480" w:lineRule="auto"/>
        <w:jc w:val="both"/>
        <w:sectPr>
          <w:pgSz w:w="11900" w:h="16820"/>
          <w:pgMar w:header="714" w:footer="0" w:top="1340" w:bottom="280" w:left="1700" w:right="1417"/>
        </w:sectPr>
      </w:pPr>
    </w:p>
    <w:p>
      <w:pPr>
        <w:pStyle w:val="Heading2"/>
        <w:numPr>
          <w:ilvl w:val="1"/>
          <w:numId w:val="1"/>
        </w:numPr>
        <w:tabs>
          <w:tab w:pos="457" w:val="left" w:leader="none"/>
        </w:tabs>
        <w:spacing w:line="240" w:lineRule="auto" w:before="79" w:after="0"/>
        <w:ind w:left="457" w:right="0" w:hanging="358"/>
        <w:jc w:val="left"/>
        <w:rPr>
          <w:i/>
        </w:rPr>
      </w:pPr>
      <w:r>
        <w:rPr>
          <w:i/>
        </w:rPr>
        <w:t>Korea</w:t>
      </w:r>
      <w:r>
        <w:rPr>
          <w:i/>
          <w:spacing w:val="-11"/>
        </w:rPr>
        <w:t> </w:t>
      </w:r>
      <w:r>
        <w:rPr>
          <w:i/>
        </w:rPr>
        <w:t>Direct-MC</w:t>
      </w:r>
      <w:r>
        <w:rPr>
          <w:i/>
          <w:spacing w:val="-10"/>
        </w:rPr>
        <w:t> </w:t>
      </w:r>
      <w:r>
        <w:rPr>
          <w:i/>
        </w:rPr>
        <w:t>Cap</w:t>
      </w:r>
      <w:r>
        <w:rPr>
          <w:i/>
          <w:spacing w:val="-11"/>
        </w:rPr>
        <w:t> </w:t>
      </w:r>
      <w:r>
        <w:rPr>
          <w:i/>
        </w:rPr>
        <w:t>Analysis</w:t>
      </w:r>
      <w:r>
        <w:rPr>
          <w:i/>
          <w:spacing w:val="-11"/>
        </w:rPr>
        <w:t> </w:t>
      </w:r>
      <w:r>
        <w:rPr>
          <w:i/>
        </w:rPr>
        <w:t>(Table</w:t>
      </w:r>
      <w:r>
        <w:rPr>
          <w:i/>
          <w:spacing w:val="-11"/>
        </w:rPr>
        <w:t> </w:t>
      </w:r>
      <w:r>
        <w:rPr>
          <w:i/>
          <w:spacing w:val="-5"/>
        </w:rPr>
        <w:t>8)</w:t>
      </w:r>
    </w:p>
    <w:p>
      <w:pPr>
        <w:pStyle w:val="BodyText"/>
        <w:spacing w:before="81"/>
        <w:ind w:left="0"/>
        <w:rPr>
          <w:b/>
          <w:i/>
        </w:rPr>
      </w:pPr>
    </w:p>
    <w:p>
      <w:pPr>
        <w:spacing w:before="0" w:after="56"/>
        <w:ind w:left="170" w:right="452" w:firstLine="0"/>
        <w:jc w:val="center"/>
        <w:rPr>
          <w:b/>
          <w:sz w:val="24"/>
        </w:rPr>
      </w:pPr>
      <w:r>
        <w:rPr>
          <w:b/>
          <w:sz w:val="24"/>
        </w:rPr>
        <w:t>Table8.</w:t>
      </w:r>
      <w:r>
        <w:rPr>
          <w:b/>
          <w:spacing w:val="-6"/>
          <w:sz w:val="24"/>
        </w:rPr>
        <w:t> </w:t>
      </w:r>
      <w:r>
        <w:rPr>
          <w:b/>
          <w:sz w:val="24"/>
        </w:rPr>
        <w:t>Korea</w:t>
      </w:r>
      <w:r>
        <w:rPr>
          <w:b/>
          <w:spacing w:val="-6"/>
          <w:sz w:val="24"/>
        </w:rPr>
        <w:t> </w:t>
      </w:r>
      <w:r>
        <w:rPr>
          <w:b/>
          <w:sz w:val="24"/>
        </w:rPr>
        <w:t>Holding-Limit</w:t>
      </w:r>
      <w:r>
        <w:rPr>
          <w:b/>
          <w:spacing w:val="-6"/>
          <w:sz w:val="24"/>
        </w:rPr>
        <w:t> </w:t>
      </w:r>
      <w:r>
        <w:rPr>
          <w:b/>
          <w:sz w:val="24"/>
        </w:rPr>
        <w:t>Analysis</w:t>
      </w:r>
      <w:r>
        <w:rPr>
          <w:b/>
          <w:spacing w:val="40"/>
          <w:sz w:val="24"/>
        </w:rPr>
        <w:t> </w:t>
      </w:r>
      <w:r>
        <w:rPr>
          <w:b/>
          <w:sz w:val="24"/>
        </w:rPr>
        <w:t>—</w:t>
      </w:r>
      <w:r>
        <w:rPr>
          <w:b/>
          <w:spacing w:val="40"/>
          <w:sz w:val="24"/>
        </w:rPr>
        <w:t> </w:t>
      </w:r>
      <w:r>
        <w:rPr>
          <w:b/>
          <w:sz w:val="24"/>
        </w:rPr>
        <w:t>DynCap+Tiered+LOLR,</w:t>
      </w:r>
      <w:r>
        <w:rPr>
          <w:b/>
          <w:spacing w:val="-5"/>
          <w:sz w:val="24"/>
        </w:rPr>
        <w:t> </w:t>
      </w:r>
      <w:r>
        <w:rPr>
          <w:b/>
          <w:sz w:val="24"/>
        </w:rPr>
        <w:t>shock=0.75 (direct Monte Carlo re-simulation at each cap level, N=300 per cap, engine python-mt19937-v6.0; supersedes the earlier slope extrapolation)</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6"/>
        <w:gridCol w:w="1734"/>
        <w:gridCol w:w="1672"/>
        <w:gridCol w:w="1403"/>
        <w:gridCol w:w="1902"/>
      </w:tblGrid>
      <w:tr>
        <w:trPr>
          <w:trHeight w:val="280" w:hRule="atLeast"/>
        </w:trPr>
        <w:tc>
          <w:tcPr>
            <w:tcW w:w="1566" w:type="dxa"/>
          </w:tcPr>
          <w:p>
            <w:pPr>
              <w:pStyle w:val="TableParagraph"/>
              <w:spacing w:line="246" w:lineRule="exact"/>
              <w:ind w:left="85"/>
              <w:jc w:val="center"/>
              <w:rPr>
                <w:b/>
                <w:sz w:val="22"/>
              </w:rPr>
            </w:pPr>
            <w:r>
              <w:rPr>
                <w:b/>
                <w:sz w:val="22"/>
              </w:rPr>
              <w:t>Cap</w:t>
            </w:r>
            <w:r>
              <w:rPr>
                <w:b/>
                <w:spacing w:val="-5"/>
                <w:sz w:val="22"/>
              </w:rPr>
              <w:t> </w:t>
            </w:r>
            <w:r>
              <w:rPr>
                <w:b/>
                <w:sz w:val="22"/>
              </w:rPr>
              <w:t>(KRW</w:t>
            </w:r>
            <w:r>
              <w:rPr>
                <w:b/>
                <w:spacing w:val="-3"/>
                <w:sz w:val="22"/>
              </w:rPr>
              <w:t> </w:t>
            </w:r>
            <w:r>
              <w:rPr>
                <w:b/>
                <w:spacing w:val="-5"/>
                <w:sz w:val="22"/>
              </w:rPr>
              <w:t>M)</w:t>
            </w:r>
          </w:p>
        </w:tc>
        <w:tc>
          <w:tcPr>
            <w:tcW w:w="1734" w:type="dxa"/>
          </w:tcPr>
          <w:p>
            <w:pPr>
              <w:pStyle w:val="TableParagraph"/>
              <w:spacing w:line="246" w:lineRule="exact"/>
              <w:ind w:left="83"/>
              <w:jc w:val="center"/>
              <w:rPr>
                <w:b/>
                <w:sz w:val="22"/>
              </w:rPr>
            </w:pPr>
            <w:r>
              <w:rPr>
                <w:b/>
                <w:spacing w:val="-2"/>
                <w:sz w:val="22"/>
              </w:rPr>
              <w:t>P(Fail)</w:t>
            </w:r>
          </w:p>
        </w:tc>
        <w:tc>
          <w:tcPr>
            <w:tcW w:w="1672" w:type="dxa"/>
          </w:tcPr>
          <w:p>
            <w:pPr>
              <w:pStyle w:val="TableParagraph"/>
              <w:spacing w:line="246" w:lineRule="exact"/>
              <w:ind w:left="7"/>
              <w:jc w:val="center"/>
              <w:rPr>
                <w:b/>
                <w:sz w:val="22"/>
              </w:rPr>
            </w:pPr>
            <w:r>
              <w:rPr>
                <w:b/>
                <w:spacing w:val="-12"/>
                <w:sz w:val="22"/>
              </w:rPr>
              <w:t>Wilson</w:t>
            </w:r>
            <w:r>
              <w:rPr>
                <w:b/>
                <w:spacing w:val="-16"/>
                <w:sz w:val="22"/>
              </w:rPr>
              <w:t> </w:t>
            </w:r>
            <w:r>
              <w:rPr>
                <w:b/>
                <w:spacing w:val="-12"/>
                <w:sz w:val="22"/>
              </w:rPr>
              <w:t>95%</w:t>
            </w:r>
            <w:r>
              <w:rPr>
                <w:b/>
                <w:spacing w:val="-30"/>
                <w:sz w:val="22"/>
              </w:rPr>
              <w:t> </w:t>
            </w:r>
            <w:r>
              <w:rPr>
                <w:b/>
                <w:spacing w:val="-12"/>
                <w:sz w:val="22"/>
              </w:rPr>
              <w:t>CI</w:t>
            </w:r>
          </w:p>
        </w:tc>
        <w:tc>
          <w:tcPr>
            <w:tcW w:w="1403" w:type="dxa"/>
          </w:tcPr>
          <w:p>
            <w:pPr>
              <w:pStyle w:val="TableParagraph"/>
              <w:spacing w:line="246" w:lineRule="exact"/>
              <w:ind w:left="10" w:right="3"/>
              <w:jc w:val="center"/>
              <w:rPr>
                <w:b/>
                <w:sz w:val="22"/>
              </w:rPr>
            </w:pPr>
            <w:r>
              <w:rPr>
                <w:b/>
                <w:spacing w:val="-2"/>
                <w:sz w:val="22"/>
              </w:rPr>
              <w:t>Welfare</w:t>
            </w:r>
          </w:p>
        </w:tc>
        <w:tc>
          <w:tcPr>
            <w:tcW w:w="1902" w:type="dxa"/>
          </w:tcPr>
          <w:p>
            <w:pPr>
              <w:pStyle w:val="TableParagraph"/>
              <w:spacing w:line="246" w:lineRule="exact"/>
              <w:ind w:left="461"/>
              <w:rPr>
                <w:b/>
                <w:sz w:val="22"/>
              </w:rPr>
            </w:pPr>
            <w:r>
              <w:rPr>
                <w:b/>
                <w:spacing w:val="-2"/>
                <w:sz w:val="22"/>
              </w:rPr>
              <w:t>Feasibility</w:t>
            </w:r>
          </w:p>
        </w:tc>
      </w:tr>
      <w:tr>
        <w:trPr>
          <w:trHeight w:val="280" w:hRule="atLeast"/>
        </w:trPr>
        <w:tc>
          <w:tcPr>
            <w:tcW w:w="1566" w:type="dxa"/>
          </w:tcPr>
          <w:p>
            <w:pPr>
              <w:pStyle w:val="TableParagraph"/>
              <w:spacing w:line="249" w:lineRule="exact"/>
              <w:ind w:left="9"/>
              <w:jc w:val="center"/>
              <w:rPr>
                <w:sz w:val="22"/>
              </w:rPr>
            </w:pPr>
            <w:r>
              <w:rPr>
                <w:spacing w:val="-4"/>
                <w:sz w:val="22"/>
              </w:rPr>
              <w:t>2.5M</w:t>
            </w:r>
          </w:p>
        </w:tc>
        <w:tc>
          <w:tcPr>
            <w:tcW w:w="1734" w:type="dxa"/>
          </w:tcPr>
          <w:p>
            <w:pPr>
              <w:pStyle w:val="TableParagraph"/>
              <w:spacing w:line="249" w:lineRule="exact"/>
              <w:ind w:left="83" w:right="73"/>
              <w:jc w:val="center"/>
              <w:rPr>
                <w:sz w:val="22"/>
              </w:rPr>
            </w:pPr>
            <w:r>
              <w:rPr>
                <w:spacing w:val="-2"/>
                <w:sz w:val="22"/>
              </w:rPr>
              <w:t>0.2543</w:t>
            </w:r>
          </w:p>
        </w:tc>
        <w:tc>
          <w:tcPr>
            <w:tcW w:w="1672" w:type="dxa"/>
          </w:tcPr>
          <w:p>
            <w:pPr>
              <w:pStyle w:val="TableParagraph"/>
              <w:spacing w:line="249" w:lineRule="exact"/>
              <w:ind w:left="84"/>
              <w:jc w:val="center"/>
              <w:rPr>
                <w:sz w:val="22"/>
              </w:rPr>
            </w:pPr>
            <w:r>
              <w:rPr>
                <w:sz w:val="22"/>
              </w:rPr>
              <w:t>[0.2083, </w:t>
            </w:r>
            <w:r>
              <w:rPr>
                <w:spacing w:val="-2"/>
                <w:sz w:val="22"/>
              </w:rPr>
              <w:t>0.3065]</w:t>
            </w:r>
          </w:p>
        </w:tc>
        <w:tc>
          <w:tcPr>
            <w:tcW w:w="1403" w:type="dxa"/>
          </w:tcPr>
          <w:p>
            <w:pPr>
              <w:pStyle w:val="TableParagraph"/>
              <w:spacing w:line="249" w:lineRule="exact"/>
              <w:ind w:left="10"/>
              <w:jc w:val="center"/>
              <w:rPr>
                <w:sz w:val="22"/>
              </w:rPr>
            </w:pPr>
            <w:r>
              <w:rPr>
                <w:spacing w:val="-2"/>
                <w:sz w:val="22"/>
              </w:rPr>
              <w:t>0.6924</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9" w:lineRule="exact"/>
              <w:ind w:left="11"/>
              <w:jc w:val="center"/>
              <w:rPr>
                <w:sz w:val="22"/>
              </w:rPr>
            </w:pPr>
            <w:r>
              <w:rPr>
                <w:spacing w:val="-5"/>
                <w:sz w:val="22"/>
              </w:rPr>
              <w:t>5M</w:t>
            </w:r>
          </w:p>
        </w:tc>
        <w:tc>
          <w:tcPr>
            <w:tcW w:w="1734" w:type="dxa"/>
          </w:tcPr>
          <w:p>
            <w:pPr>
              <w:pStyle w:val="TableParagraph"/>
              <w:spacing w:line="249" w:lineRule="exact"/>
              <w:ind w:left="83" w:right="73"/>
              <w:jc w:val="center"/>
              <w:rPr>
                <w:sz w:val="22"/>
              </w:rPr>
            </w:pPr>
            <w:r>
              <w:rPr>
                <w:spacing w:val="-2"/>
                <w:sz w:val="22"/>
              </w:rPr>
              <w:t>0.2641</w:t>
            </w:r>
          </w:p>
        </w:tc>
        <w:tc>
          <w:tcPr>
            <w:tcW w:w="1672" w:type="dxa"/>
          </w:tcPr>
          <w:p>
            <w:pPr>
              <w:pStyle w:val="TableParagraph"/>
              <w:spacing w:line="249" w:lineRule="exact"/>
              <w:ind w:left="84"/>
              <w:jc w:val="center"/>
              <w:rPr>
                <w:sz w:val="22"/>
              </w:rPr>
            </w:pPr>
            <w:r>
              <w:rPr>
                <w:sz w:val="22"/>
              </w:rPr>
              <w:t>[0.2174, </w:t>
            </w:r>
            <w:r>
              <w:rPr>
                <w:spacing w:val="-2"/>
                <w:sz w:val="22"/>
              </w:rPr>
              <w:t>0.3167]</w:t>
            </w:r>
          </w:p>
        </w:tc>
        <w:tc>
          <w:tcPr>
            <w:tcW w:w="1403" w:type="dxa"/>
          </w:tcPr>
          <w:p>
            <w:pPr>
              <w:pStyle w:val="TableParagraph"/>
              <w:spacing w:line="249" w:lineRule="exact"/>
              <w:ind w:left="10"/>
              <w:jc w:val="center"/>
              <w:rPr>
                <w:sz w:val="22"/>
              </w:rPr>
            </w:pPr>
            <w:r>
              <w:rPr>
                <w:spacing w:val="-2"/>
                <w:sz w:val="22"/>
              </w:rPr>
              <w:t>0.6930</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9" w:lineRule="exact"/>
              <w:ind w:left="9"/>
              <w:jc w:val="center"/>
              <w:rPr>
                <w:sz w:val="22"/>
              </w:rPr>
            </w:pPr>
            <w:r>
              <w:rPr>
                <w:spacing w:val="-4"/>
                <w:sz w:val="22"/>
              </w:rPr>
              <w:t>7.5M</w:t>
            </w:r>
          </w:p>
        </w:tc>
        <w:tc>
          <w:tcPr>
            <w:tcW w:w="1734" w:type="dxa"/>
          </w:tcPr>
          <w:p>
            <w:pPr>
              <w:pStyle w:val="TableParagraph"/>
              <w:spacing w:line="249" w:lineRule="exact"/>
              <w:ind w:left="83" w:right="73"/>
              <w:jc w:val="center"/>
              <w:rPr>
                <w:sz w:val="22"/>
              </w:rPr>
            </w:pPr>
            <w:r>
              <w:rPr>
                <w:spacing w:val="-2"/>
                <w:sz w:val="22"/>
              </w:rPr>
              <w:t>0.1130</w:t>
            </w:r>
          </w:p>
        </w:tc>
        <w:tc>
          <w:tcPr>
            <w:tcW w:w="1672" w:type="dxa"/>
          </w:tcPr>
          <w:p>
            <w:pPr>
              <w:pStyle w:val="TableParagraph"/>
              <w:spacing w:line="249" w:lineRule="exact"/>
              <w:ind w:left="84"/>
              <w:jc w:val="center"/>
              <w:rPr>
                <w:sz w:val="22"/>
              </w:rPr>
            </w:pPr>
            <w:r>
              <w:rPr>
                <w:sz w:val="22"/>
              </w:rPr>
              <w:t>[0.0820, </w:t>
            </w:r>
            <w:r>
              <w:rPr>
                <w:spacing w:val="-2"/>
                <w:sz w:val="22"/>
              </w:rPr>
              <w:t>0.1538]</w:t>
            </w:r>
          </w:p>
        </w:tc>
        <w:tc>
          <w:tcPr>
            <w:tcW w:w="1403" w:type="dxa"/>
          </w:tcPr>
          <w:p>
            <w:pPr>
              <w:pStyle w:val="TableParagraph"/>
              <w:spacing w:line="249" w:lineRule="exact"/>
              <w:ind w:left="10"/>
              <w:jc w:val="center"/>
              <w:rPr>
                <w:sz w:val="22"/>
              </w:rPr>
            </w:pPr>
            <w:r>
              <w:rPr>
                <w:spacing w:val="-2"/>
                <w:sz w:val="22"/>
              </w:rPr>
              <w:t>0.7511</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2" w:hRule="atLeast"/>
        </w:trPr>
        <w:tc>
          <w:tcPr>
            <w:tcW w:w="1566" w:type="dxa"/>
          </w:tcPr>
          <w:p>
            <w:pPr>
              <w:pStyle w:val="TableParagraph"/>
              <w:spacing w:line="249" w:lineRule="exact"/>
              <w:ind w:left="11"/>
              <w:jc w:val="center"/>
              <w:rPr>
                <w:sz w:val="22"/>
              </w:rPr>
            </w:pPr>
            <w:r>
              <w:rPr>
                <w:spacing w:val="-5"/>
                <w:sz w:val="22"/>
              </w:rPr>
              <w:t>10M</w:t>
            </w:r>
          </w:p>
        </w:tc>
        <w:tc>
          <w:tcPr>
            <w:tcW w:w="1734" w:type="dxa"/>
          </w:tcPr>
          <w:p>
            <w:pPr>
              <w:pStyle w:val="TableParagraph"/>
              <w:spacing w:line="249" w:lineRule="exact"/>
              <w:ind w:left="83" w:right="73"/>
              <w:jc w:val="center"/>
              <w:rPr>
                <w:sz w:val="22"/>
              </w:rPr>
            </w:pPr>
            <w:r>
              <w:rPr>
                <w:spacing w:val="-2"/>
                <w:sz w:val="22"/>
              </w:rPr>
              <w:t>0.1181</w:t>
            </w:r>
          </w:p>
        </w:tc>
        <w:tc>
          <w:tcPr>
            <w:tcW w:w="1672" w:type="dxa"/>
          </w:tcPr>
          <w:p>
            <w:pPr>
              <w:pStyle w:val="TableParagraph"/>
              <w:spacing w:line="249" w:lineRule="exact"/>
              <w:ind w:left="84"/>
              <w:jc w:val="center"/>
              <w:rPr>
                <w:sz w:val="22"/>
              </w:rPr>
            </w:pPr>
            <w:r>
              <w:rPr>
                <w:sz w:val="22"/>
              </w:rPr>
              <w:t>[0.0863, </w:t>
            </w:r>
            <w:r>
              <w:rPr>
                <w:spacing w:val="-2"/>
                <w:sz w:val="22"/>
              </w:rPr>
              <w:t>0.1595]</w:t>
            </w:r>
          </w:p>
        </w:tc>
        <w:tc>
          <w:tcPr>
            <w:tcW w:w="1403" w:type="dxa"/>
          </w:tcPr>
          <w:p>
            <w:pPr>
              <w:pStyle w:val="TableParagraph"/>
              <w:spacing w:line="249" w:lineRule="exact"/>
              <w:ind w:left="10"/>
              <w:jc w:val="center"/>
              <w:rPr>
                <w:sz w:val="22"/>
              </w:rPr>
            </w:pPr>
            <w:r>
              <w:rPr>
                <w:spacing w:val="-2"/>
                <w:sz w:val="22"/>
              </w:rPr>
              <w:t>0.7535</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6" w:lineRule="exact"/>
              <w:ind w:left="9"/>
              <w:jc w:val="center"/>
              <w:rPr>
                <w:sz w:val="22"/>
              </w:rPr>
            </w:pPr>
            <w:r>
              <w:rPr>
                <w:spacing w:val="-2"/>
                <w:sz w:val="22"/>
              </w:rPr>
              <w:t>12.5M</w:t>
            </w:r>
          </w:p>
        </w:tc>
        <w:tc>
          <w:tcPr>
            <w:tcW w:w="1734" w:type="dxa"/>
          </w:tcPr>
          <w:p>
            <w:pPr>
              <w:pStyle w:val="TableParagraph"/>
              <w:spacing w:line="246" w:lineRule="exact"/>
              <w:ind w:left="83" w:right="73"/>
              <w:jc w:val="center"/>
              <w:rPr>
                <w:sz w:val="22"/>
              </w:rPr>
            </w:pPr>
            <w:r>
              <w:rPr>
                <w:spacing w:val="-2"/>
                <w:sz w:val="22"/>
              </w:rPr>
              <w:t>0.1234</w:t>
            </w:r>
          </w:p>
        </w:tc>
        <w:tc>
          <w:tcPr>
            <w:tcW w:w="1672" w:type="dxa"/>
          </w:tcPr>
          <w:p>
            <w:pPr>
              <w:pStyle w:val="TableParagraph"/>
              <w:spacing w:line="246" w:lineRule="exact"/>
              <w:ind w:left="84"/>
              <w:jc w:val="center"/>
              <w:rPr>
                <w:sz w:val="22"/>
              </w:rPr>
            </w:pPr>
            <w:r>
              <w:rPr>
                <w:sz w:val="22"/>
              </w:rPr>
              <w:t>[0.0909, </w:t>
            </w:r>
            <w:r>
              <w:rPr>
                <w:spacing w:val="-2"/>
                <w:sz w:val="22"/>
              </w:rPr>
              <w:t>0.1654]</w:t>
            </w:r>
          </w:p>
        </w:tc>
        <w:tc>
          <w:tcPr>
            <w:tcW w:w="1403" w:type="dxa"/>
          </w:tcPr>
          <w:p>
            <w:pPr>
              <w:pStyle w:val="TableParagraph"/>
              <w:spacing w:line="246" w:lineRule="exact"/>
              <w:ind w:left="10"/>
              <w:jc w:val="center"/>
              <w:rPr>
                <w:sz w:val="22"/>
              </w:rPr>
            </w:pPr>
            <w:r>
              <w:rPr>
                <w:spacing w:val="-2"/>
                <w:sz w:val="22"/>
              </w:rPr>
              <w:t>0.7558</w:t>
            </w:r>
          </w:p>
        </w:tc>
        <w:tc>
          <w:tcPr>
            <w:tcW w:w="1902" w:type="dxa"/>
          </w:tcPr>
          <w:p>
            <w:pPr>
              <w:pStyle w:val="TableParagraph"/>
              <w:spacing w:line="246"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6" w:lineRule="exact"/>
              <w:ind w:left="11"/>
              <w:jc w:val="center"/>
              <w:rPr>
                <w:sz w:val="22"/>
              </w:rPr>
            </w:pPr>
            <w:r>
              <w:rPr>
                <w:spacing w:val="-5"/>
                <w:sz w:val="22"/>
              </w:rPr>
              <w:t>15M</w:t>
            </w:r>
          </w:p>
        </w:tc>
        <w:tc>
          <w:tcPr>
            <w:tcW w:w="1734" w:type="dxa"/>
          </w:tcPr>
          <w:p>
            <w:pPr>
              <w:pStyle w:val="TableParagraph"/>
              <w:spacing w:line="246" w:lineRule="exact"/>
              <w:ind w:left="83" w:right="73"/>
              <w:jc w:val="center"/>
              <w:rPr>
                <w:sz w:val="22"/>
              </w:rPr>
            </w:pPr>
            <w:r>
              <w:rPr>
                <w:spacing w:val="-2"/>
                <w:sz w:val="22"/>
              </w:rPr>
              <w:t>0.1289</w:t>
            </w:r>
          </w:p>
        </w:tc>
        <w:tc>
          <w:tcPr>
            <w:tcW w:w="1672" w:type="dxa"/>
          </w:tcPr>
          <w:p>
            <w:pPr>
              <w:pStyle w:val="TableParagraph"/>
              <w:spacing w:line="246" w:lineRule="exact"/>
              <w:ind w:left="84"/>
              <w:jc w:val="center"/>
              <w:rPr>
                <w:sz w:val="22"/>
              </w:rPr>
            </w:pPr>
            <w:r>
              <w:rPr>
                <w:sz w:val="22"/>
              </w:rPr>
              <w:t>[0.0956, </w:t>
            </w:r>
            <w:r>
              <w:rPr>
                <w:spacing w:val="-2"/>
                <w:sz w:val="22"/>
              </w:rPr>
              <w:t>0.1716]</w:t>
            </w:r>
          </w:p>
        </w:tc>
        <w:tc>
          <w:tcPr>
            <w:tcW w:w="1403" w:type="dxa"/>
          </w:tcPr>
          <w:p>
            <w:pPr>
              <w:pStyle w:val="TableParagraph"/>
              <w:spacing w:line="246" w:lineRule="exact"/>
              <w:ind w:left="10"/>
              <w:jc w:val="center"/>
              <w:rPr>
                <w:sz w:val="22"/>
              </w:rPr>
            </w:pPr>
            <w:r>
              <w:rPr>
                <w:spacing w:val="-2"/>
                <w:sz w:val="22"/>
              </w:rPr>
              <w:t>0.7581</w:t>
            </w:r>
          </w:p>
        </w:tc>
        <w:tc>
          <w:tcPr>
            <w:tcW w:w="1902" w:type="dxa"/>
          </w:tcPr>
          <w:p>
            <w:pPr>
              <w:pStyle w:val="TableParagraph"/>
              <w:spacing w:line="246"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9" w:lineRule="exact"/>
              <w:ind w:left="9"/>
              <w:jc w:val="center"/>
              <w:rPr>
                <w:sz w:val="22"/>
              </w:rPr>
            </w:pPr>
            <w:r>
              <w:rPr>
                <w:spacing w:val="-2"/>
                <w:sz w:val="22"/>
              </w:rPr>
              <w:t>17.5M</w:t>
            </w:r>
          </w:p>
        </w:tc>
        <w:tc>
          <w:tcPr>
            <w:tcW w:w="1734" w:type="dxa"/>
          </w:tcPr>
          <w:p>
            <w:pPr>
              <w:pStyle w:val="TableParagraph"/>
              <w:spacing w:line="249" w:lineRule="exact"/>
              <w:ind w:left="83" w:right="73"/>
              <w:jc w:val="center"/>
              <w:rPr>
                <w:sz w:val="22"/>
              </w:rPr>
            </w:pPr>
            <w:r>
              <w:rPr>
                <w:spacing w:val="-2"/>
                <w:sz w:val="22"/>
              </w:rPr>
              <w:t>0.1342</w:t>
            </w:r>
          </w:p>
        </w:tc>
        <w:tc>
          <w:tcPr>
            <w:tcW w:w="1672" w:type="dxa"/>
          </w:tcPr>
          <w:p>
            <w:pPr>
              <w:pStyle w:val="TableParagraph"/>
              <w:spacing w:line="249" w:lineRule="exact"/>
              <w:ind w:left="84"/>
              <w:jc w:val="center"/>
              <w:rPr>
                <w:sz w:val="22"/>
              </w:rPr>
            </w:pPr>
            <w:r>
              <w:rPr>
                <w:sz w:val="22"/>
              </w:rPr>
              <w:t>[0.1002, </w:t>
            </w:r>
            <w:r>
              <w:rPr>
                <w:spacing w:val="-2"/>
                <w:sz w:val="22"/>
              </w:rPr>
              <w:t>0.1774]</w:t>
            </w:r>
          </w:p>
        </w:tc>
        <w:tc>
          <w:tcPr>
            <w:tcW w:w="1403" w:type="dxa"/>
          </w:tcPr>
          <w:p>
            <w:pPr>
              <w:pStyle w:val="TableParagraph"/>
              <w:spacing w:line="249" w:lineRule="exact"/>
              <w:ind w:left="10"/>
              <w:jc w:val="center"/>
              <w:rPr>
                <w:sz w:val="22"/>
              </w:rPr>
            </w:pPr>
            <w:r>
              <w:rPr>
                <w:spacing w:val="-2"/>
                <w:sz w:val="22"/>
              </w:rPr>
              <w:t>0.7604</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9" w:lineRule="exact"/>
              <w:ind w:left="11"/>
              <w:jc w:val="center"/>
              <w:rPr>
                <w:sz w:val="22"/>
              </w:rPr>
            </w:pPr>
            <w:r>
              <w:rPr>
                <w:spacing w:val="-5"/>
                <w:sz w:val="22"/>
              </w:rPr>
              <w:t>20M</w:t>
            </w:r>
          </w:p>
        </w:tc>
        <w:tc>
          <w:tcPr>
            <w:tcW w:w="1734" w:type="dxa"/>
          </w:tcPr>
          <w:p>
            <w:pPr>
              <w:pStyle w:val="TableParagraph"/>
              <w:spacing w:line="249" w:lineRule="exact"/>
              <w:ind w:left="83" w:right="73"/>
              <w:jc w:val="center"/>
              <w:rPr>
                <w:sz w:val="22"/>
              </w:rPr>
            </w:pPr>
            <w:r>
              <w:rPr>
                <w:spacing w:val="-2"/>
                <w:sz w:val="22"/>
              </w:rPr>
              <w:t>0.1400</w:t>
            </w:r>
          </w:p>
        </w:tc>
        <w:tc>
          <w:tcPr>
            <w:tcW w:w="1672" w:type="dxa"/>
          </w:tcPr>
          <w:p>
            <w:pPr>
              <w:pStyle w:val="TableParagraph"/>
              <w:spacing w:line="249" w:lineRule="exact"/>
              <w:ind w:left="84"/>
              <w:jc w:val="center"/>
              <w:rPr>
                <w:sz w:val="22"/>
              </w:rPr>
            </w:pPr>
            <w:r>
              <w:rPr>
                <w:sz w:val="22"/>
              </w:rPr>
              <w:t>[0.1053, </w:t>
            </w:r>
            <w:r>
              <w:rPr>
                <w:spacing w:val="-2"/>
                <w:sz w:val="22"/>
              </w:rPr>
              <w:t>0.1838]</w:t>
            </w:r>
          </w:p>
        </w:tc>
        <w:tc>
          <w:tcPr>
            <w:tcW w:w="1403" w:type="dxa"/>
          </w:tcPr>
          <w:p>
            <w:pPr>
              <w:pStyle w:val="TableParagraph"/>
              <w:spacing w:line="249" w:lineRule="exact"/>
              <w:ind w:left="10"/>
              <w:jc w:val="center"/>
              <w:rPr>
                <w:sz w:val="22"/>
              </w:rPr>
            </w:pPr>
            <w:r>
              <w:rPr>
                <w:spacing w:val="-2"/>
                <w:sz w:val="22"/>
              </w:rPr>
              <w:t>0.7625</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9" w:lineRule="exact"/>
              <w:ind w:left="11"/>
              <w:jc w:val="center"/>
              <w:rPr>
                <w:sz w:val="22"/>
              </w:rPr>
            </w:pPr>
            <w:r>
              <w:rPr>
                <w:spacing w:val="-5"/>
                <w:sz w:val="22"/>
              </w:rPr>
              <w:t>25M</w:t>
            </w:r>
          </w:p>
        </w:tc>
        <w:tc>
          <w:tcPr>
            <w:tcW w:w="1734" w:type="dxa"/>
          </w:tcPr>
          <w:p>
            <w:pPr>
              <w:pStyle w:val="TableParagraph"/>
              <w:spacing w:line="249" w:lineRule="exact"/>
              <w:ind w:left="83" w:right="73"/>
              <w:jc w:val="center"/>
              <w:rPr>
                <w:sz w:val="22"/>
              </w:rPr>
            </w:pPr>
            <w:r>
              <w:rPr>
                <w:spacing w:val="-2"/>
                <w:sz w:val="22"/>
              </w:rPr>
              <w:t>0.1524</w:t>
            </w:r>
          </w:p>
        </w:tc>
        <w:tc>
          <w:tcPr>
            <w:tcW w:w="1672" w:type="dxa"/>
          </w:tcPr>
          <w:p>
            <w:pPr>
              <w:pStyle w:val="TableParagraph"/>
              <w:spacing w:line="249" w:lineRule="exact"/>
              <w:ind w:left="84"/>
              <w:jc w:val="center"/>
              <w:rPr>
                <w:sz w:val="22"/>
              </w:rPr>
            </w:pPr>
            <w:r>
              <w:rPr>
                <w:sz w:val="22"/>
              </w:rPr>
              <w:t>[0.1161, </w:t>
            </w:r>
            <w:r>
              <w:rPr>
                <w:spacing w:val="-2"/>
                <w:sz w:val="22"/>
              </w:rPr>
              <w:t>0.1974]</w:t>
            </w:r>
          </w:p>
        </w:tc>
        <w:tc>
          <w:tcPr>
            <w:tcW w:w="1403" w:type="dxa"/>
          </w:tcPr>
          <w:p>
            <w:pPr>
              <w:pStyle w:val="TableParagraph"/>
              <w:spacing w:line="249" w:lineRule="exact"/>
              <w:ind w:left="10"/>
              <w:jc w:val="center"/>
              <w:rPr>
                <w:sz w:val="22"/>
              </w:rPr>
            </w:pPr>
            <w:r>
              <w:rPr>
                <w:spacing w:val="-2"/>
                <w:sz w:val="22"/>
              </w:rPr>
              <w:t>0.7664</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2" w:hRule="atLeast"/>
        </w:trPr>
        <w:tc>
          <w:tcPr>
            <w:tcW w:w="1566" w:type="dxa"/>
          </w:tcPr>
          <w:p>
            <w:pPr>
              <w:pStyle w:val="TableParagraph"/>
              <w:spacing w:line="249" w:lineRule="exact"/>
              <w:ind w:left="11"/>
              <w:jc w:val="center"/>
              <w:rPr>
                <w:sz w:val="22"/>
              </w:rPr>
            </w:pPr>
            <w:r>
              <w:rPr>
                <w:spacing w:val="-5"/>
                <w:sz w:val="22"/>
              </w:rPr>
              <w:t>30M</w:t>
            </w:r>
          </w:p>
        </w:tc>
        <w:tc>
          <w:tcPr>
            <w:tcW w:w="1734" w:type="dxa"/>
          </w:tcPr>
          <w:p>
            <w:pPr>
              <w:pStyle w:val="TableParagraph"/>
              <w:spacing w:line="249" w:lineRule="exact"/>
              <w:ind w:left="83" w:right="73"/>
              <w:jc w:val="center"/>
              <w:rPr>
                <w:sz w:val="22"/>
              </w:rPr>
            </w:pPr>
            <w:r>
              <w:rPr>
                <w:spacing w:val="-2"/>
                <w:sz w:val="22"/>
              </w:rPr>
              <w:t>0.1653</w:t>
            </w:r>
          </w:p>
        </w:tc>
        <w:tc>
          <w:tcPr>
            <w:tcW w:w="1672" w:type="dxa"/>
          </w:tcPr>
          <w:p>
            <w:pPr>
              <w:pStyle w:val="TableParagraph"/>
              <w:spacing w:line="249" w:lineRule="exact"/>
              <w:ind w:left="84"/>
              <w:jc w:val="center"/>
              <w:rPr>
                <w:sz w:val="22"/>
              </w:rPr>
            </w:pPr>
            <w:r>
              <w:rPr>
                <w:sz w:val="22"/>
              </w:rPr>
              <w:t>[0.1276, </w:t>
            </w:r>
            <w:r>
              <w:rPr>
                <w:spacing w:val="-2"/>
                <w:sz w:val="22"/>
              </w:rPr>
              <w:t>0.2115]</w:t>
            </w:r>
          </w:p>
        </w:tc>
        <w:tc>
          <w:tcPr>
            <w:tcW w:w="1403" w:type="dxa"/>
          </w:tcPr>
          <w:p>
            <w:pPr>
              <w:pStyle w:val="TableParagraph"/>
              <w:spacing w:line="249" w:lineRule="exact"/>
              <w:ind w:left="10"/>
              <w:jc w:val="center"/>
              <w:rPr>
                <w:sz w:val="22"/>
              </w:rPr>
            </w:pPr>
            <w:r>
              <w:rPr>
                <w:spacing w:val="-2"/>
                <w:sz w:val="22"/>
              </w:rPr>
              <w:t>0.7701</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6" w:lineRule="exact"/>
              <w:ind w:left="11"/>
              <w:jc w:val="center"/>
              <w:rPr>
                <w:sz w:val="22"/>
              </w:rPr>
            </w:pPr>
            <w:r>
              <w:rPr>
                <w:spacing w:val="-5"/>
                <w:sz w:val="22"/>
              </w:rPr>
              <w:t>35M</w:t>
            </w:r>
          </w:p>
        </w:tc>
        <w:tc>
          <w:tcPr>
            <w:tcW w:w="1734" w:type="dxa"/>
          </w:tcPr>
          <w:p>
            <w:pPr>
              <w:pStyle w:val="TableParagraph"/>
              <w:spacing w:line="246" w:lineRule="exact"/>
              <w:ind w:left="83" w:right="73"/>
              <w:jc w:val="center"/>
              <w:rPr>
                <w:sz w:val="22"/>
              </w:rPr>
            </w:pPr>
            <w:r>
              <w:rPr>
                <w:spacing w:val="-2"/>
                <w:sz w:val="22"/>
              </w:rPr>
              <w:t>0.1797</w:t>
            </w:r>
          </w:p>
        </w:tc>
        <w:tc>
          <w:tcPr>
            <w:tcW w:w="1672" w:type="dxa"/>
          </w:tcPr>
          <w:p>
            <w:pPr>
              <w:pStyle w:val="TableParagraph"/>
              <w:spacing w:line="246" w:lineRule="exact"/>
              <w:ind w:left="84"/>
              <w:jc w:val="center"/>
              <w:rPr>
                <w:sz w:val="22"/>
              </w:rPr>
            </w:pPr>
            <w:r>
              <w:rPr>
                <w:sz w:val="22"/>
              </w:rPr>
              <w:t>[0.1404, </w:t>
            </w:r>
            <w:r>
              <w:rPr>
                <w:spacing w:val="-2"/>
                <w:sz w:val="22"/>
              </w:rPr>
              <w:t>0.2271]</w:t>
            </w:r>
          </w:p>
        </w:tc>
        <w:tc>
          <w:tcPr>
            <w:tcW w:w="1403" w:type="dxa"/>
          </w:tcPr>
          <w:p>
            <w:pPr>
              <w:pStyle w:val="TableParagraph"/>
              <w:spacing w:line="246" w:lineRule="exact"/>
              <w:ind w:left="10"/>
              <w:jc w:val="center"/>
              <w:rPr>
                <w:sz w:val="22"/>
              </w:rPr>
            </w:pPr>
            <w:r>
              <w:rPr>
                <w:spacing w:val="-2"/>
                <w:sz w:val="22"/>
              </w:rPr>
              <w:t>0.7732</w:t>
            </w:r>
          </w:p>
        </w:tc>
        <w:tc>
          <w:tcPr>
            <w:tcW w:w="1902" w:type="dxa"/>
          </w:tcPr>
          <w:p>
            <w:pPr>
              <w:pStyle w:val="TableParagraph"/>
              <w:spacing w:line="246"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6" w:lineRule="exact"/>
              <w:ind w:left="11"/>
              <w:jc w:val="center"/>
              <w:rPr>
                <w:sz w:val="22"/>
              </w:rPr>
            </w:pPr>
            <w:r>
              <w:rPr>
                <w:spacing w:val="-5"/>
                <w:sz w:val="22"/>
              </w:rPr>
              <w:t>40M</w:t>
            </w:r>
          </w:p>
        </w:tc>
        <w:tc>
          <w:tcPr>
            <w:tcW w:w="1734" w:type="dxa"/>
          </w:tcPr>
          <w:p>
            <w:pPr>
              <w:pStyle w:val="TableParagraph"/>
              <w:spacing w:line="246" w:lineRule="exact"/>
              <w:ind w:left="83" w:right="73"/>
              <w:jc w:val="center"/>
              <w:rPr>
                <w:sz w:val="22"/>
              </w:rPr>
            </w:pPr>
            <w:r>
              <w:rPr>
                <w:spacing w:val="-2"/>
                <w:sz w:val="22"/>
              </w:rPr>
              <w:t>0.1940</w:t>
            </w:r>
          </w:p>
        </w:tc>
        <w:tc>
          <w:tcPr>
            <w:tcW w:w="1672" w:type="dxa"/>
          </w:tcPr>
          <w:p>
            <w:pPr>
              <w:pStyle w:val="TableParagraph"/>
              <w:spacing w:line="246" w:lineRule="exact"/>
              <w:ind w:left="84"/>
              <w:jc w:val="center"/>
              <w:rPr>
                <w:sz w:val="22"/>
              </w:rPr>
            </w:pPr>
            <w:r>
              <w:rPr>
                <w:sz w:val="22"/>
              </w:rPr>
              <w:t>[0.1532, </w:t>
            </w:r>
            <w:r>
              <w:rPr>
                <w:spacing w:val="-2"/>
                <w:sz w:val="22"/>
              </w:rPr>
              <w:t>0.2425]</w:t>
            </w:r>
          </w:p>
        </w:tc>
        <w:tc>
          <w:tcPr>
            <w:tcW w:w="1403" w:type="dxa"/>
          </w:tcPr>
          <w:p>
            <w:pPr>
              <w:pStyle w:val="TableParagraph"/>
              <w:spacing w:line="246" w:lineRule="exact"/>
              <w:ind w:left="10"/>
              <w:jc w:val="center"/>
              <w:rPr>
                <w:sz w:val="22"/>
              </w:rPr>
            </w:pPr>
            <w:r>
              <w:rPr>
                <w:spacing w:val="-2"/>
                <w:sz w:val="22"/>
              </w:rPr>
              <w:t>0.7763</w:t>
            </w:r>
          </w:p>
        </w:tc>
        <w:tc>
          <w:tcPr>
            <w:tcW w:w="1902" w:type="dxa"/>
          </w:tcPr>
          <w:p>
            <w:pPr>
              <w:pStyle w:val="TableParagraph"/>
              <w:spacing w:line="246" w:lineRule="exact"/>
              <w:ind w:left="0" w:right="365"/>
              <w:jc w:val="right"/>
              <w:rPr>
                <w:sz w:val="22"/>
              </w:rPr>
            </w:pPr>
            <w:r>
              <w:rPr>
                <w:sz w:val="22"/>
              </w:rPr>
              <w:t>No</w:t>
            </w:r>
            <w:r>
              <w:rPr>
                <w:spacing w:val="-4"/>
                <w:sz w:val="22"/>
              </w:rPr>
              <w:t> </w:t>
            </w:r>
            <w:r>
              <w:rPr>
                <w:spacing w:val="-2"/>
                <w:sz w:val="22"/>
              </w:rPr>
              <w:t>p*&lt;8%</w:t>
            </w:r>
          </w:p>
        </w:tc>
      </w:tr>
      <w:tr>
        <w:trPr>
          <w:trHeight w:val="280" w:hRule="atLeast"/>
        </w:trPr>
        <w:tc>
          <w:tcPr>
            <w:tcW w:w="1566" w:type="dxa"/>
          </w:tcPr>
          <w:p>
            <w:pPr>
              <w:pStyle w:val="TableParagraph"/>
              <w:spacing w:line="249" w:lineRule="exact"/>
              <w:ind w:left="11"/>
              <w:jc w:val="center"/>
              <w:rPr>
                <w:sz w:val="22"/>
              </w:rPr>
            </w:pPr>
            <w:r>
              <w:rPr>
                <w:spacing w:val="-5"/>
                <w:sz w:val="22"/>
              </w:rPr>
              <w:t>50M</w:t>
            </w:r>
          </w:p>
        </w:tc>
        <w:tc>
          <w:tcPr>
            <w:tcW w:w="1734" w:type="dxa"/>
          </w:tcPr>
          <w:p>
            <w:pPr>
              <w:pStyle w:val="TableParagraph"/>
              <w:spacing w:line="249" w:lineRule="exact"/>
              <w:ind w:left="83" w:right="73"/>
              <w:jc w:val="center"/>
              <w:rPr>
                <w:sz w:val="22"/>
              </w:rPr>
            </w:pPr>
            <w:r>
              <w:rPr>
                <w:spacing w:val="-2"/>
                <w:sz w:val="22"/>
              </w:rPr>
              <w:t>0.2064</w:t>
            </w:r>
          </w:p>
        </w:tc>
        <w:tc>
          <w:tcPr>
            <w:tcW w:w="1672" w:type="dxa"/>
          </w:tcPr>
          <w:p>
            <w:pPr>
              <w:pStyle w:val="TableParagraph"/>
              <w:spacing w:line="249" w:lineRule="exact"/>
              <w:ind w:left="84"/>
              <w:jc w:val="center"/>
              <w:rPr>
                <w:sz w:val="22"/>
              </w:rPr>
            </w:pPr>
            <w:r>
              <w:rPr>
                <w:sz w:val="22"/>
              </w:rPr>
              <w:t>[0.1645, </w:t>
            </w:r>
            <w:r>
              <w:rPr>
                <w:spacing w:val="-2"/>
                <w:sz w:val="22"/>
              </w:rPr>
              <w:t>0.2558]</w:t>
            </w:r>
          </w:p>
        </w:tc>
        <w:tc>
          <w:tcPr>
            <w:tcW w:w="1403" w:type="dxa"/>
          </w:tcPr>
          <w:p>
            <w:pPr>
              <w:pStyle w:val="TableParagraph"/>
              <w:spacing w:line="249" w:lineRule="exact"/>
              <w:ind w:left="10"/>
              <w:jc w:val="center"/>
              <w:rPr>
                <w:sz w:val="22"/>
              </w:rPr>
            </w:pPr>
            <w:r>
              <w:rPr>
                <w:spacing w:val="-2"/>
                <w:sz w:val="22"/>
              </w:rPr>
              <w:t>0.7785</w:t>
            </w:r>
          </w:p>
        </w:tc>
        <w:tc>
          <w:tcPr>
            <w:tcW w:w="1902" w:type="dxa"/>
          </w:tcPr>
          <w:p>
            <w:pPr>
              <w:pStyle w:val="TableParagraph"/>
              <w:spacing w:line="249" w:lineRule="exact"/>
              <w:ind w:left="0" w:right="365"/>
              <w:jc w:val="right"/>
              <w:rPr>
                <w:sz w:val="22"/>
              </w:rPr>
            </w:pPr>
            <w:r>
              <w:rPr>
                <w:sz w:val="22"/>
              </w:rPr>
              <w:t>No</w:t>
            </w:r>
            <w:r>
              <w:rPr>
                <w:spacing w:val="-4"/>
                <w:sz w:val="22"/>
              </w:rPr>
              <w:t> </w:t>
            </w:r>
            <w:r>
              <w:rPr>
                <w:spacing w:val="-2"/>
                <w:sz w:val="22"/>
              </w:rPr>
              <w:t>p*&lt;8%</w:t>
            </w:r>
          </w:p>
        </w:tc>
      </w:tr>
    </w:tbl>
    <w:p>
      <w:pPr>
        <w:pStyle w:val="BodyText"/>
        <w:ind w:right="381"/>
        <w:jc w:val="both"/>
      </w:pPr>
      <w:r>
        <w:rPr/>
        <w:t>Notes: No coarse-grid cap achieves P&lt;8% for Korea at shock=0.75. The coarse-grid minimum is 7.5M (P=0.1130), but the Korea fine-grid in Table 7a identifies a lower local minimum at 5.5M. Intervals are Wilson 95% confidence intervals for the failure proportion at N=300 direct MC runs per cap, engine v6.0.</w:t>
      </w:r>
    </w:p>
    <w:p>
      <w:pPr>
        <w:pStyle w:val="Heading2"/>
        <w:numPr>
          <w:ilvl w:val="1"/>
          <w:numId w:val="1"/>
        </w:numPr>
        <w:tabs>
          <w:tab w:pos="457" w:val="left" w:leader="none"/>
        </w:tabs>
        <w:spacing w:line="240" w:lineRule="auto" w:before="236" w:after="0"/>
        <w:ind w:left="457" w:right="0" w:hanging="358"/>
        <w:jc w:val="left"/>
        <w:rPr>
          <w:i/>
        </w:rPr>
      </w:pPr>
      <w:r>
        <w:rPr>
          <w:i/>
        </w:rPr>
        <w:t>Five-Country</w:t>
      </w:r>
      <w:r>
        <w:rPr>
          <w:i/>
          <w:spacing w:val="-13"/>
        </w:rPr>
        <w:t> </w:t>
      </w:r>
      <w:r>
        <w:rPr>
          <w:i/>
        </w:rPr>
        <w:t>Pareto</w:t>
      </w:r>
      <w:r>
        <w:rPr>
          <w:i/>
          <w:spacing w:val="-13"/>
        </w:rPr>
        <w:t> </w:t>
      </w:r>
      <w:r>
        <w:rPr>
          <w:i/>
        </w:rPr>
        <w:t>Analysis</w:t>
      </w:r>
      <w:r>
        <w:rPr>
          <w:i/>
          <w:spacing w:val="-15"/>
        </w:rPr>
        <w:t> </w:t>
      </w:r>
      <w:r>
        <w:rPr>
          <w:i/>
        </w:rPr>
        <w:t>(Table</w:t>
      </w:r>
      <w:r>
        <w:rPr>
          <w:i/>
          <w:spacing w:val="-11"/>
        </w:rPr>
        <w:t> </w:t>
      </w:r>
      <w:r>
        <w:rPr>
          <w:i/>
          <w:spacing w:val="-5"/>
        </w:rPr>
        <w:t>9)</w:t>
      </w:r>
    </w:p>
    <w:p>
      <w:pPr>
        <w:pStyle w:val="BodyText"/>
        <w:spacing w:before="79"/>
        <w:ind w:left="0"/>
        <w:rPr>
          <w:b/>
          <w:i/>
        </w:rPr>
      </w:pPr>
    </w:p>
    <w:p>
      <w:pPr>
        <w:pStyle w:val="BodyText"/>
        <w:spacing w:line="480" w:lineRule="auto"/>
        <w:ind w:right="380"/>
        <w:jc w:val="both"/>
      </w:pPr>
      <w:r>
        <w:rPr/>
        <w:t>Table 9 applies the same v6.0 direct Monte Carlo framework to each economy on the coarse cap grid (N=300 per cap). It reports the coarse-grid benchmark cap for comparability</w:t>
      </w:r>
      <w:r>
        <w:rPr>
          <w:spacing w:val="-1"/>
        </w:rPr>
        <w:t> </w:t>
      </w:r>
      <w:r>
        <w:rPr/>
        <w:t>and the feasibility</w:t>
      </w:r>
      <w:r>
        <w:rPr>
          <w:spacing w:val="-1"/>
        </w:rPr>
        <w:t> </w:t>
      </w:r>
      <w:r>
        <w:rPr/>
        <w:t>status at that cap. Because the Korea fine-grid shows a lower local minimum at 5.5M between coarse-grid points, country-level cap entries should be interpreted as coarse-grid benchmarks until the selected-cap fine-grid evidence in Appendix G is replicated at higher N across the full cap surface.</w:t>
      </w:r>
    </w:p>
    <w:p>
      <w:pPr>
        <w:spacing w:before="239" w:after="55"/>
        <w:ind w:left="197" w:right="478" w:hanging="3"/>
        <w:jc w:val="center"/>
        <w:rPr>
          <w:b/>
          <w:sz w:val="24"/>
        </w:rPr>
      </w:pPr>
      <w:r>
        <w:rPr>
          <w:b/>
          <w:sz w:val="24"/>
        </w:rPr>
        <w:t>Table9. Country Holding-Limit Results: Coarse-Grid Benchmark Designs (DynCap+Tiered+LOLR;</w:t>
      </w:r>
      <w:r>
        <w:rPr>
          <w:b/>
          <w:spacing w:val="-6"/>
          <w:sz w:val="24"/>
        </w:rPr>
        <w:t> </w:t>
      </w:r>
      <w:r>
        <w:rPr>
          <w:b/>
          <w:sz w:val="24"/>
        </w:rPr>
        <w:t>direct</w:t>
      </w:r>
      <w:r>
        <w:rPr>
          <w:b/>
          <w:spacing w:val="-6"/>
          <w:sz w:val="24"/>
        </w:rPr>
        <w:t> </w:t>
      </w:r>
      <w:r>
        <w:rPr>
          <w:b/>
          <w:sz w:val="24"/>
        </w:rPr>
        <w:t>Monte</w:t>
      </w:r>
      <w:r>
        <w:rPr>
          <w:b/>
          <w:spacing w:val="-6"/>
          <w:sz w:val="24"/>
        </w:rPr>
        <w:t> </w:t>
      </w:r>
      <w:r>
        <w:rPr>
          <w:b/>
          <w:sz w:val="24"/>
        </w:rPr>
        <w:t>Carlo</w:t>
      </w:r>
      <w:r>
        <w:rPr>
          <w:b/>
          <w:spacing w:val="-5"/>
          <w:sz w:val="24"/>
        </w:rPr>
        <w:t> </w:t>
      </w:r>
      <w:r>
        <w:rPr>
          <w:b/>
          <w:sz w:val="24"/>
        </w:rPr>
        <w:t>re-simulation</w:t>
      </w:r>
      <w:r>
        <w:rPr>
          <w:b/>
          <w:spacing w:val="-5"/>
          <w:sz w:val="24"/>
        </w:rPr>
        <w:t> </w:t>
      </w:r>
      <w:r>
        <w:rPr>
          <w:b/>
          <w:sz w:val="24"/>
        </w:rPr>
        <w:t>at</w:t>
      </w:r>
      <w:r>
        <w:rPr>
          <w:b/>
          <w:spacing w:val="-6"/>
          <w:sz w:val="24"/>
        </w:rPr>
        <w:t> </w:t>
      </w:r>
      <w:r>
        <w:rPr>
          <w:b/>
          <w:sz w:val="24"/>
        </w:rPr>
        <w:t>each</w:t>
      </w:r>
      <w:r>
        <w:rPr>
          <w:b/>
          <w:spacing w:val="-4"/>
          <w:sz w:val="24"/>
        </w:rPr>
        <w:t> </w:t>
      </w:r>
      <w:r>
        <w:rPr>
          <w:b/>
          <w:sz w:val="24"/>
        </w:rPr>
        <w:t>cap,</w:t>
      </w:r>
      <w:r>
        <w:rPr>
          <w:b/>
          <w:spacing w:val="-6"/>
          <w:sz w:val="24"/>
        </w:rPr>
        <w:t> </w:t>
      </w:r>
      <w:r>
        <w:rPr>
          <w:b/>
          <w:sz w:val="24"/>
        </w:rPr>
        <w:t>N=300 per country, engine python-mt19937-v6.0)</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809"/>
        <w:gridCol w:w="1034"/>
        <w:gridCol w:w="1898"/>
        <w:gridCol w:w="1130"/>
        <w:gridCol w:w="1051"/>
        <w:gridCol w:w="1212"/>
      </w:tblGrid>
      <w:tr>
        <w:trPr>
          <w:trHeight w:val="280" w:hRule="atLeast"/>
        </w:trPr>
        <w:tc>
          <w:tcPr>
            <w:tcW w:w="1130" w:type="dxa"/>
          </w:tcPr>
          <w:p>
            <w:pPr>
              <w:pStyle w:val="TableParagraph"/>
              <w:spacing w:line="246" w:lineRule="exact"/>
              <w:ind w:left="167"/>
              <w:rPr>
                <w:b/>
                <w:sz w:val="22"/>
              </w:rPr>
            </w:pPr>
            <w:r>
              <w:rPr>
                <w:b/>
                <w:spacing w:val="-2"/>
                <w:sz w:val="22"/>
              </w:rPr>
              <w:t>Country</w:t>
            </w:r>
          </w:p>
        </w:tc>
        <w:tc>
          <w:tcPr>
            <w:tcW w:w="809" w:type="dxa"/>
          </w:tcPr>
          <w:p>
            <w:pPr>
              <w:pStyle w:val="TableParagraph"/>
              <w:spacing w:line="246" w:lineRule="exact"/>
              <w:ind w:left="0" w:right="197"/>
              <w:jc w:val="right"/>
              <w:rPr>
                <w:b/>
                <w:sz w:val="22"/>
              </w:rPr>
            </w:pPr>
            <w:r>
              <w:rPr>
                <w:b/>
                <w:spacing w:val="-5"/>
                <w:sz w:val="22"/>
              </w:rPr>
              <w:t>Cap</w:t>
            </w:r>
          </w:p>
        </w:tc>
        <w:tc>
          <w:tcPr>
            <w:tcW w:w="1034" w:type="dxa"/>
          </w:tcPr>
          <w:p>
            <w:pPr>
              <w:pStyle w:val="TableParagraph"/>
              <w:spacing w:line="246" w:lineRule="exact"/>
              <w:ind w:left="78"/>
              <w:jc w:val="center"/>
              <w:rPr>
                <w:b/>
                <w:sz w:val="22"/>
              </w:rPr>
            </w:pPr>
            <w:r>
              <w:rPr>
                <w:b/>
                <w:spacing w:val="-2"/>
                <w:sz w:val="22"/>
              </w:rPr>
              <w:t>P(Fail)</w:t>
            </w:r>
          </w:p>
        </w:tc>
        <w:tc>
          <w:tcPr>
            <w:tcW w:w="1898" w:type="dxa"/>
          </w:tcPr>
          <w:p>
            <w:pPr>
              <w:pStyle w:val="TableParagraph"/>
              <w:spacing w:line="246" w:lineRule="exact"/>
              <w:ind w:left="77" w:right="73"/>
              <w:jc w:val="center"/>
              <w:rPr>
                <w:b/>
                <w:sz w:val="22"/>
              </w:rPr>
            </w:pPr>
            <w:r>
              <w:rPr>
                <w:b/>
                <w:sz w:val="22"/>
              </w:rPr>
              <w:t>Wilson</w:t>
            </w:r>
            <w:r>
              <w:rPr>
                <w:b/>
                <w:spacing w:val="-4"/>
                <w:sz w:val="22"/>
              </w:rPr>
              <w:t> </w:t>
            </w:r>
            <w:r>
              <w:rPr>
                <w:b/>
                <w:sz w:val="22"/>
              </w:rPr>
              <w:t>95%</w:t>
            </w:r>
            <w:r>
              <w:rPr>
                <w:b/>
                <w:spacing w:val="-5"/>
                <w:sz w:val="22"/>
              </w:rPr>
              <w:t> CI</w:t>
            </w:r>
          </w:p>
        </w:tc>
        <w:tc>
          <w:tcPr>
            <w:tcW w:w="1130" w:type="dxa"/>
          </w:tcPr>
          <w:p>
            <w:pPr>
              <w:pStyle w:val="TableParagraph"/>
              <w:spacing w:line="246" w:lineRule="exact"/>
              <w:ind w:left="6" w:right="4"/>
              <w:jc w:val="center"/>
              <w:rPr>
                <w:b/>
                <w:sz w:val="22"/>
              </w:rPr>
            </w:pPr>
            <w:r>
              <w:rPr>
                <w:b/>
                <w:spacing w:val="-2"/>
                <w:sz w:val="22"/>
              </w:rPr>
              <w:t>Welfare</w:t>
            </w:r>
          </w:p>
        </w:tc>
        <w:tc>
          <w:tcPr>
            <w:tcW w:w="1051" w:type="dxa"/>
          </w:tcPr>
          <w:p>
            <w:pPr>
              <w:pStyle w:val="TableParagraph"/>
              <w:spacing w:line="246" w:lineRule="exact"/>
              <w:ind w:left="91"/>
              <w:jc w:val="center"/>
              <w:rPr>
                <w:b/>
                <w:sz w:val="22"/>
              </w:rPr>
            </w:pPr>
            <w:r>
              <w:rPr>
                <w:b/>
                <w:spacing w:val="-2"/>
                <w:sz w:val="22"/>
              </w:rPr>
              <w:t>P&lt;5%?</w:t>
            </w:r>
          </w:p>
        </w:tc>
        <w:tc>
          <w:tcPr>
            <w:tcW w:w="1212" w:type="dxa"/>
          </w:tcPr>
          <w:p>
            <w:pPr>
              <w:pStyle w:val="TableParagraph"/>
              <w:spacing w:line="246" w:lineRule="exact"/>
              <w:ind w:left="2" w:right="72"/>
              <w:jc w:val="center"/>
              <w:rPr>
                <w:b/>
                <w:sz w:val="22"/>
              </w:rPr>
            </w:pPr>
            <w:r>
              <w:rPr>
                <w:b/>
                <w:spacing w:val="-2"/>
                <w:sz w:val="22"/>
              </w:rPr>
              <w:t>P&lt;8%?</w:t>
            </w:r>
          </w:p>
        </w:tc>
      </w:tr>
      <w:tr>
        <w:trPr>
          <w:trHeight w:val="280" w:hRule="atLeast"/>
        </w:trPr>
        <w:tc>
          <w:tcPr>
            <w:tcW w:w="1130" w:type="dxa"/>
          </w:tcPr>
          <w:p>
            <w:pPr>
              <w:pStyle w:val="TableParagraph"/>
              <w:spacing w:line="246" w:lineRule="exact"/>
              <w:rPr>
                <w:sz w:val="22"/>
              </w:rPr>
            </w:pPr>
            <w:r>
              <w:rPr>
                <w:spacing w:val="-2"/>
                <w:sz w:val="22"/>
              </w:rPr>
              <w:t>Korea</w:t>
            </w:r>
          </w:p>
        </w:tc>
        <w:tc>
          <w:tcPr>
            <w:tcW w:w="809" w:type="dxa"/>
          </w:tcPr>
          <w:p>
            <w:pPr>
              <w:pStyle w:val="TableParagraph"/>
              <w:spacing w:line="246" w:lineRule="exact"/>
              <w:ind w:left="0" w:right="217"/>
              <w:jc w:val="right"/>
              <w:rPr>
                <w:sz w:val="22"/>
              </w:rPr>
            </w:pPr>
            <w:r>
              <w:rPr>
                <w:spacing w:val="-4"/>
                <w:sz w:val="22"/>
              </w:rPr>
              <w:t>7.5M</w:t>
            </w:r>
          </w:p>
        </w:tc>
        <w:tc>
          <w:tcPr>
            <w:tcW w:w="1034" w:type="dxa"/>
          </w:tcPr>
          <w:p>
            <w:pPr>
              <w:pStyle w:val="TableParagraph"/>
              <w:spacing w:line="246" w:lineRule="exact"/>
              <w:ind w:left="78" w:right="71"/>
              <w:jc w:val="center"/>
              <w:rPr>
                <w:sz w:val="22"/>
              </w:rPr>
            </w:pPr>
            <w:r>
              <w:rPr>
                <w:spacing w:val="-2"/>
                <w:sz w:val="22"/>
              </w:rPr>
              <w:t>0.1130</w:t>
            </w:r>
          </w:p>
        </w:tc>
        <w:tc>
          <w:tcPr>
            <w:tcW w:w="1898" w:type="dxa"/>
          </w:tcPr>
          <w:p>
            <w:pPr>
              <w:pStyle w:val="TableParagraph"/>
              <w:spacing w:line="246" w:lineRule="exact"/>
              <w:ind w:left="77"/>
              <w:jc w:val="center"/>
              <w:rPr>
                <w:sz w:val="22"/>
              </w:rPr>
            </w:pPr>
            <w:r>
              <w:rPr>
                <w:sz w:val="22"/>
              </w:rPr>
              <w:t>[0.0820,</w:t>
            </w:r>
            <w:r>
              <w:rPr>
                <w:spacing w:val="-3"/>
                <w:sz w:val="22"/>
              </w:rPr>
              <w:t> </w:t>
            </w:r>
            <w:r>
              <w:rPr>
                <w:spacing w:val="-2"/>
                <w:sz w:val="22"/>
              </w:rPr>
              <w:t>0.1538]</w:t>
            </w:r>
          </w:p>
        </w:tc>
        <w:tc>
          <w:tcPr>
            <w:tcW w:w="1130" w:type="dxa"/>
          </w:tcPr>
          <w:p>
            <w:pPr>
              <w:pStyle w:val="TableParagraph"/>
              <w:spacing w:line="246" w:lineRule="exact"/>
              <w:ind w:left="6"/>
              <w:jc w:val="center"/>
              <w:rPr>
                <w:sz w:val="22"/>
              </w:rPr>
            </w:pPr>
            <w:r>
              <w:rPr>
                <w:spacing w:val="-2"/>
                <w:sz w:val="22"/>
              </w:rPr>
              <w:t>0.7511</w:t>
            </w:r>
          </w:p>
        </w:tc>
        <w:tc>
          <w:tcPr>
            <w:tcW w:w="1051" w:type="dxa"/>
          </w:tcPr>
          <w:p>
            <w:pPr>
              <w:pStyle w:val="TableParagraph"/>
              <w:spacing w:line="246" w:lineRule="exact"/>
              <w:ind w:left="91" w:right="86"/>
              <w:jc w:val="center"/>
              <w:rPr>
                <w:sz w:val="22"/>
              </w:rPr>
            </w:pPr>
            <w:r>
              <w:rPr>
                <w:spacing w:val="-5"/>
                <w:sz w:val="22"/>
              </w:rPr>
              <w:t>No</w:t>
            </w:r>
          </w:p>
        </w:tc>
        <w:tc>
          <w:tcPr>
            <w:tcW w:w="1212" w:type="dxa"/>
          </w:tcPr>
          <w:p>
            <w:pPr>
              <w:pStyle w:val="TableParagraph"/>
              <w:spacing w:line="246" w:lineRule="exact"/>
              <w:ind w:left="72" w:right="70"/>
              <w:jc w:val="center"/>
              <w:rPr>
                <w:sz w:val="22"/>
              </w:rPr>
            </w:pPr>
            <w:r>
              <w:rPr>
                <w:spacing w:val="-5"/>
                <w:sz w:val="22"/>
              </w:rPr>
              <w:t>No</w:t>
            </w:r>
          </w:p>
        </w:tc>
      </w:tr>
      <w:tr>
        <w:trPr>
          <w:trHeight w:val="280" w:hRule="atLeast"/>
        </w:trPr>
        <w:tc>
          <w:tcPr>
            <w:tcW w:w="1130" w:type="dxa"/>
          </w:tcPr>
          <w:p>
            <w:pPr>
              <w:pStyle w:val="TableParagraph"/>
              <w:spacing w:line="249" w:lineRule="exact"/>
              <w:rPr>
                <w:sz w:val="22"/>
              </w:rPr>
            </w:pPr>
            <w:r>
              <w:rPr>
                <w:spacing w:val="-2"/>
                <w:sz w:val="22"/>
              </w:rPr>
              <w:t>China</w:t>
            </w:r>
          </w:p>
        </w:tc>
        <w:tc>
          <w:tcPr>
            <w:tcW w:w="809" w:type="dxa"/>
          </w:tcPr>
          <w:p>
            <w:pPr>
              <w:pStyle w:val="TableParagraph"/>
              <w:spacing w:line="249" w:lineRule="exact"/>
              <w:ind w:left="0" w:right="217"/>
              <w:jc w:val="right"/>
              <w:rPr>
                <w:sz w:val="22"/>
              </w:rPr>
            </w:pPr>
            <w:r>
              <w:rPr>
                <w:spacing w:val="-4"/>
                <w:sz w:val="22"/>
              </w:rPr>
              <w:t>7.5M</w:t>
            </w:r>
          </w:p>
        </w:tc>
        <w:tc>
          <w:tcPr>
            <w:tcW w:w="1034" w:type="dxa"/>
          </w:tcPr>
          <w:p>
            <w:pPr>
              <w:pStyle w:val="TableParagraph"/>
              <w:spacing w:line="249" w:lineRule="exact"/>
              <w:ind w:left="78" w:right="71"/>
              <w:jc w:val="center"/>
              <w:rPr>
                <w:sz w:val="22"/>
              </w:rPr>
            </w:pPr>
            <w:r>
              <w:rPr>
                <w:spacing w:val="-2"/>
                <w:sz w:val="22"/>
              </w:rPr>
              <w:t>0.0527</w:t>
            </w:r>
          </w:p>
        </w:tc>
        <w:tc>
          <w:tcPr>
            <w:tcW w:w="1898" w:type="dxa"/>
          </w:tcPr>
          <w:p>
            <w:pPr>
              <w:pStyle w:val="TableParagraph"/>
              <w:spacing w:line="249" w:lineRule="exact"/>
              <w:ind w:left="77"/>
              <w:jc w:val="center"/>
              <w:rPr>
                <w:sz w:val="22"/>
              </w:rPr>
            </w:pPr>
            <w:r>
              <w:rPr>
                <w:sz w:val="22"/>
              </w:rPr>
              <w:t>[0.0326,</w:t>
            </w:r>
            <w:r>
              <w:rPr>
                <w:spacing w:val="-3"/>
                <w:sz w:val="22"/>
              </w:rPr>
              <w:t> </w:t>
            </w:r>
            <w:r>
              <w:rPr>
                <w:spacing w:val="-2"/>
                <w:sz w:val="22"/>
              </w:rPr>
              <w:t>0.0841]</w:t>
            </w:r>
          </w:p>
        </w:tc>
        <w:tc>
          <w:tcPr>
            <w:tcW w:w="1130" w:type="dxa"/>
          </w:tcPr>
          <w:p>
            <w:pPr>
              <w:pStyle w:val="TableParagraph"/>
              <w:spacing w:line="249" w:lineRule="exact"/>
              <w:ind w:left="6"/>
              <w:jc w:val="center"/>
              <w:rPr>
                <w:sz w:val="22"/>
              </w:rPr>
            </w:pPr>
            <w:r>
              <w:rPr>
                <w:spacing w:val="-2"/>
                <w:sz w:val="22"/>
              </w:rPr>
              <w:t>0.7671</w:t>
            </w:r>
          </w:p>
        </w:tc>
        <w:tc>
          <w:tcPr>
            <w:tcW w:w="1051" w:type="dxa"/>
          </w:tcPr>
          <w:p>
            <w:pPr>
              <w:pStyle w:val="TableParagraph"/>
              <w:spacing w:line="249" w:lineRule="exact"/>
              <w:ind w:left="91" w:right="86"/>
              <w:jc w:val="center"/>
              <w:rPr>
                <w:sz w:val="22"/>
              </w:rPr>
            </w:pPr>
            <w:r>
              <w:rPr>
                <w:spacing w:val="-5"/>
                <w:sz w:val="22"/>
              </w:rPr>
              <w:t>No</w:t>
            </w:r>
          </w:p>
        </w:tc>
        <w:tc>
          <w:tcPr>
            <w:tcW w:w="1212" w:type="dxa"/>
          </w:tcPr>
          <w:p>
            <w:pPr>
              <w:pStyle w:val="TableParagraph"/>
              <w:spacing w:line="249" w:lineRule="exact"/>
              <w:ind w:left="71" w:right="70"/>
              <w:jc w:val="center"/>
              <w:rPr>
                <w:sz w:val="22"/>
              </w:rPr>
            </w:pPr>
            <w:r>
              <w:rPr>
                <w:spacing w:val="-5"/>
                <w:sz w:val="22"/>
              </w:rPr>
              <w:t>Yes</w:t>
            </w:r>
          </w:p>
        </w:tc>
      </w:tr>
      <w:tr>
        <w:trPr>
          <w:trHeight w:val="280" w:hRule="atLeast"/>
        </w:trPr>
        <w:tc>
          <w:tcPr>
            <w:tcW w:w="1130" w:type="dxa"/>
          </w:tcPr>
          <w:p>
            <w:pPr>
              <w:pStyle w:val="TableParagraph"/>
              <w:spacing w:line="249" w:lineRule="exact"/>
              <w:rPr>
                <w:sz w:val="22"/>
              </w:rPr>
            </w:pPr>
            <w:r>
              <w:rPr>
                <w:spacing w:val="-5"/>
                <w:sz w:val="22"/>
              </w:rPr>
              <w:t>EU</w:t>
            </w:r>
          </w:p>
        </w:tc>
        <w:tc>
          <w:tcPr>
            <w:tcW w:w="809" w:type="dxa"/>
          </w:tcPr>
          <w:p>
            <w:pPr>
              <w:pStyle w:val="TableParagraph"/>
              <w:spacing w:line="249" w:lineRule="exact"/>
              <w:ind w:left="0" w:right="217"/>
              <w:jc w:val="right"/>
              <w:rPr>
                <w:sz w:val="22"/>
              </w:rPr>
            </w:pPr>
            <w:r>
              <w:rPr>
                <w:spacing w:val="-4"/>
                <w:sz w:val="22"/>
              </w:rPr>
              <w:t>7.5M</w:t>
            </w:r>
          </w:p>
        </w:tc>
        <w:tc>
          <w:tcPr>
            <w:tcW w:w="1034" w:type="dxa"/>
          </w:tcPr>
          <w:p>
            <w:pPr>
              <w:pStyle w:val="TableParagraph"/>
              <w:spacing w:line="249" w:lineRule="exact"/>
              <w:ind w:left="78" w:right="71"/>
              <w:jc w:val="center"/>
              <w:rPr>
                <w:sz w:val="22"/>
              </w:rPr>
            </w:pPr>
            <w:r>
              <w:rPr>
                <w:spacing w:val="-2"/>
                <w:sz w:val="22"/>
              </w:rPr>
              <w:t>0.0240</w:t>
            </w:r>
          </w:p>
        </w:tc>
        <w:tc>
          <w:tcPr>
            <w:tcW w:w="1898" w:type="dxa"/>
          </w:tcPr>
          <w:p>
            <w:pPr>
              <w:pStyle w:val="TableParagraph"/>
              <w:spacing w:line="249" w:lineRule="exact"/>
              <w:ind w:left="77"/>
              <w:jc w:val="center"/>
              <w:rPr>
                <w:sz w:val="22"/>
              </w:rPr>
            </w:pPr>
            <w:r>
              <w:rPr>
                <w:sz w:val="22"/>
              </w:rPr>
              <w:t>[0.0118,</w:t>
            </w:r>
            <w:r>
              <w:rPr>
                <w:spacing w:val="-3"/>
                <w:sz w:val="22"/>
              </w:rPr>
              <w:t> </w:t>
            </w:r>
            <w:r>
              <w:rPr>
                <w:spacing w:val="-2"/>
                <w:sz w:val="22"/>
              </w:rPr>
              <w:t>0.0482]</w:t>
            </w:r>
          </w:p>
        </w:tc>
        <w:tc>
          <w:tcPr>
            <w:tcW w:w="1130" w:type="dxa"/>
          </w:tcPr>
          <w:p>
            <w:pPr>
              <w:pStyle w:val="TableParagraph"/>
              <w:spacing w:line="249" w:lineRule="exact"/>
              <w:ind w:left="6"/>
              <w:jc w:val="center"/>
              <w:rPr>
                <w:sz w:val="22"/>
              </w:rPr>
            </w:pPr>
            <w:r>
              <w:rPr>
                <w:spacing w:val="-2"/>
                <w:sz w:val="22"/>
              </w:rPr>
              <w:t>0.7595</w:t>
            </w:r>
          </w:p>
        </w:tc>
        <w:tc>
          <w:tcPr>
            <w:tcW w:w="1051" w:type="dxa"/>
          </w:tcPr>
          <w:p>
            <w:pPr>
              <w:pStyle w:val="TableParagraph"/>
              <w:spacing w:line="249" w:lineRule="exact"/>
              <w:ind w:left="91" w:right="89"/>
              <w:jc w:val="center"/>
              <w:rPr>
                <w:sz w:val="22"/>
              </w:rPr>
            </w:pPr>
            <w:r>
              <w:rPr>
                <w:spacing w:val="-5"/>
                <w:sz w:val="22"/>
              </w:rPr>
              <w:t>Yes</w:t>
            </w:r>
          </w:p>
        </w:tc>
        <w:tc>
          <w:tcPr>
            <w:tcW w:w="1212" w:type="dxa"/>
          </w:tcPr>
          <w:p>
            <w:pPr>
              <w:pStyle w:val="TableParagraph"/>
              <w:spacing w:line="249" w:lineRule="exact"/>
              <w:ind w:left="71" w:right="70"/>
              <w:jc w:val="center"/>
              <w:rPr>
                <w:sz w:val="22"/>
              </w:rPr>
            </w:pPr>
            <w:r>
              <w:rPr>
                <w:spacing w:val="-5"/>
                <w:sz w:val="22"/>
              </w:rPr>
              <w:t>Yes</w:t>
            </w:r>
          </w:p>
        </w:tc>
      </w:tr>
      <w:tr>
        <w:trPr>
          <w:trHeight w:val="280" w:hRule="atLeast"/>
        </w:trPr>
        <w:tc>
          <w:tcPr>
            <w:tcW w:w="1130" w:type="dxa"/>
          </w:tcPr>
          <w:p>
            <w:pPr>
              <w:pStyle w:val="TableParagraph"/>
              <w:spacing w:line="249" w:lineRule="exact"/>
              <w:rPr>
                <w:sz w:val="22"/>
              </w:rPr>
            </w:pPr>
            <w:r>
              <w:rPr>
                <w:spacing w:val="-5"/>
                <w:sz w:val="22"/>
              </w:rPr>
              <w:t>US</w:t>
            </w:r>
          </w:p>
        </w:tc>
        <w:tc>
          <w:tcPr>
            <w:tcW w:w="809" w:type="dxa"/>
          </w:tcPr>
          <w:p>
            <w:pPr>
              <w:pStyle w:val="TableParagraph"/>
              <w:spacing w:line="249" w:lineRule="exact"/>
              <w:ind w:left="0" w:right="217"/>
              <w:jc w:val="right"/>
              <w:rPr>
                <w:sz w:val="22"/>
              </w:rPr>
            </w:pPr>
            <w:r>
              <w:rPr>
                <w:spacing w:val="-4"/>
                <w:sz w:val="22"/>
              </w:rPr>
              <w:t>7.5M</w:t>
            </w:r>
          </w:p>
        </w:tc>
        <w:tc>
          <w:tcPr>
            <w:tcW w:w="1034" w:type="dxa"/>
          </w:tcPr>
          <w:p>
            <w:pPr>
              <w:pStyle w:val="TableParagraph"/>
              <w:spacing w:line="249" w:lineRule="exact"/>
              <w:ind w:left="78" w:right="71"/>
              <w:jc w:val="center"/>
              <w:rPr>
                <w:sz w:val="22"/>
              </w:rPr>
            </w:pPr>
            <w:r>
              <w:rPr>
                <w:spacing w:val="-2"/>
                <w:sz w:val="22"/>
              </w:rPr>
              <w:t>0.0134</w:t>
            </w:r>
          </w:p>
        </w:tc>
        <w:tc>
          <w:tcPr>
            <w:tcW w:w="1898" w:type="dxa"/>
          </w:tcPr>
          <w:p>
            <w:pPr>
              <w:pStyle w:val="TableParagraph"/>
              <w:spacing w:line="249" w:lineRule="exact"/>
              <w:ind w:left="77"/>
              <w:jc w:val="center"/>
              <w:rPr>
                <w:sz w:val="22"/>
              </w:rPr>
            </w:pPr>
            <w:r>
              <w:rPr>
                <w:sz w:val="22"/>
              </w:rPr>
              <w:t>[0.0052,</w:t>
            </w:r>
            <w:r>
              <w:rPr>
                <w:spacing w:val="-3"/>
                <w:sz w:val="22"/>
              </w:rPr>
              <w:t> </w:t>
            </w:r>
            <w:r>
              <w:rPr>
                <w:spacing w:val="-2"/>
                <w:sz w:val="22"/>
              </w:rPr>
              <w:t>0.0339]</w:t>
            </w:r>
          </w:p>
        </w:tc>
        <w:tc>
          <w:tcPr>
            <w:tcW w:w="1130" w:type="dxa"/>
          </w:tcPr>
          <w:p>
            <w:pPr>
              <w:pStyle w:val="TableParagraph"/>
              <w:spacing w:line="249" w:lineRule="exact"/>
              <w:ind w:left="6"/>
              <w:jc w:val="center"/>
              <w:rPr>
                <w:sz w:val="22"/>
              </w:rPr>
            </w:pPr>
            <w:r>
              <w:rPr>
                <w:spacing w:val="-2"/>
                <w:sz w:val="22"/>
              </w:rPr>
              <w:t>0.7707</w:t>
            </w:r>
          </w:p>
        </w:tc>
        <w:tc>
          <w:tcPr>
            <w:tcW w:w="1051" w:type="dxa"/>
          </w:tcPr>
          <w:p>
            <w:pPr>
              <w:pStyle w:val="TableParagraph"/>
              <w:spacing w:line="249" w:lineRule="exact"/>
              <w:ind w:left="91" w:right="89"/>
              <w:jc w:val="center"/>
              <w:rPr>
                <w:sz w:val="22"/>
              </w:rPr>
            </w:pPr>
            <w:r>
              <w:rPr>
                <w:spacing w:val="-5"/>
                <w:sz w:val="22"/>
              </w:rPr>
              <w:t>Yes</w:t>
            </w:r>
          </w:p>
        </w:tc>
        <w:tc>
          <w:tcPr>
            <w:tcW w:w="1212" w:type="dxa"/>
          </w:tcPr>
          <w:p>
            <w:pPr>
              <w:pStyle w:val="TableParagraph"/>
              <w:spacing w:line="249" w:lineRule="exact"/>
              <w:ind w:left="71" w:right="70"/>
              <w:jc w:val="center"/>
              <w:rPr>
                <w:sz w:val="22"/>
              </w:rPr>
            </w:pPr>
            <w:r>
              <w:rPr>
                <w:spacing w:val="-5"/>
                <w:sz w:val="22"/>
              </w:rPr>
              <w:t>Yes</w:t>
            </w:r>
          </w:p>
        </w:tc>
      </w:tr>
      <w:tr>
        <w:trPr>
          <w:trHeight w:val="282" w:hRule="atLeast"/>
        </w:trPr>
        <w:tc>
          <w:tcPr>
            <w:tcW w:w="1130" w:type="dxa"/>
          </w:tcPr>
          <w:p>
            <w:pPr>
              <w:pStyle w:val="TableParagraph"/>
              <w:spacing w:line="249" w:lineRule="exact"/>
              <w:rPr>
                <w:sz w:val="22"/>
              </w:rPr>
            </w:pPr>
            <w:r>
              <w:rPr>
                <w:spacing w:val="-2"/>
                <w:sz w:val="22"/>
              </w:rPr>
              <w:t>Sweden†</w:t>
            </w:r>
          </w:p>
        </w:tc>
        <w:tc>
          <w:tcPr>
            <w:tcW w:w="809" w:type="dxa"/>
          </w:tcPr>
          <w:p>
            <w:pPr>
              <w:pStyle w:val="TableParagraph"/>
              <w:spacing w:line="249" w:lineRule="exact"/>
              <w:ind w:left="0" w:right="217"/>
              <w:jc w:val="right"/>
              <w:rPr>
                <w:sz w:val="22"/>
              </w:rPr>
            </w:pPr>
            <w:r>
              <w:rPr>
                <w:spacing w:val="-4"/>
                <w:sz w:val="22"/>
              </w:rPr>
              <w:t>7.5M</w:t>
            </w:r>
          </w:p>
        </w:tc>
        <w:tc>
          <w:tcPr>
            <w:tcW w:w="1034" w:type="dxa"/>
          </w:tcPr>
          <w:p>
            <w:pPr>
              <w:pStyle w:val="TableParagraph"/>
              <w:spacing w:line="249" w:lineRule="exact"/>
              <w:ind w:left="78" w:right="71"/>
              <w:jc w:val="center"/>
              <w:rPr>
                <w:sz w:val="22"/>
              </w:rPr>
            </w:pPr>
            <w:r>
              <w:rPr>
                <w:spacing w:val="-2"/>
                <w:sz w:val="22"/>
              </w:rPr>
              <w:t>0.1368</w:t>
            </w:r>
          </w:p>
        </w:tc>
        <w:tc>
          <w:tcPr>
            <w:tcW w:w="1898" w:type="dxa"/>
          </w:tcPr>
          <w:p>
            <w:pPr>
              <w:pStyle w:val="TableParagraph"/>
              <w:spacing w:line="249" w:lineRule="exact"/>
              <w:ind w:left="77"/>
              <w:jc w:val="center"/>
              <w:rPr>
                <w:sz w:val="22"/>
              </w:rPr>
            </w:pPr>
            <w:r>
              <w:rPr>
                <w:sz w:val="22"/>
              </w:rPr>
              <w:t>[0.1025,</w:t>
            </w:r>
            <w:r>
              <w:rPr>
                <w:spacing w:val="-3"/>
                <w:sz w:val="22"/>
              </w:rPr>
              <w:t> </w:t>
            </w:r>
            <w:r>
              <w:rPr>
                <w:spacing w:val="-2"/>
                <w:sz w:val="22"/>
              </w:rPr>
              <w:t>0.1803]</w:t>
            </w:r>
          </w:p>
        </w:tc>
        <w:tc>
          <w:tcPr>
            <w:tcW w:w="1130" w:type="dxa"/>
          </w:tcPr>
          <w:p>
            <w:pPr>
              <w:pStyle w:val="TableParagraph"/>
              <w:spacing w:line="249" w:lineRule="exact"/>
              <w:ind w:left="6"/>
              <w:jc w:val="center"/>
              <w:rPr>
                <w:sz w:val="22"/>
              </w:rPr>
            </w:pPr>
            <w:r>
              <w:rPr>
                <w:spacing w:val="-2"/>
                <w:sz w:val="22"/>
              </w:rPr>
              <w:t>0.7466</w:t>
            </w:r>
          </w:p>
        </w:tc>
        <w:tc>
          <w:tcPr>
            <w:tcW w:w="1051" w:type="dxa"/>
          </w:tcPr>
          <w:p>
            <w:pPr>
              <w:pStyle w:val="TableParagraph"/>
              <w:spacing w:line="249" w:lineRule="exact"/>
              <w:ind w:left="91" w:right="86"/>
              <w:jc w:val="center"/>
              <w:rPr>
                <w:sz w:val="22"/>
              </w:rPr>
            </w:pPr>
            <w:r>
              <w:rPr>
                <w:spacing w:val="-5"/>
                <w:sz w:val="22"/>
              </w:rPr>
              <w:t>No</w:t>
            </w:r>
          </w:p>
        </w:tc>
        <w:tc>
          <w:tcPr>
            <w:tcW w:w="1212" w:type="dxa"/>
          </w:tcPr>
          <w:p>
            <w:pPr>
              <w:pStyle w:val="TableParagraph"/>
              <w:spacing w:line="249" w:lineRule="exact"/>
              <w:ind w:left="72" w:right="70"/>
              <w:jc w:val="center"/>
              <w:rPr>
                <w:sz w:val="22"/>
              </w:rPr>
            </w:pPr>
            <w:r>
              <w:rPr>
                <w:spacing w:val="-5"/>
                <w:sz w:val="22"/>
              </w:rPr>
              <w:t>No</w:t>
            </w:r>
          </w:p>
        </w:tc>
      </w:tr>
    </w:tbl>
    <w:p>
      <w:pPr>
        <w:pStyle w:val="TableParagraph"/>
        <w:spacing w:after="0" w:line="249" w:lineRule="exact"/>
        <w:jc w:val="center"/>
        <w:rPr>
          <w:sz w:val="22"/>
        </w:rPr>
        <w:sectPr>
          <w:pgSz w:w="11900" w:h="16820"/>
          <w:pgMar w:header="714" w:footer="0" w:top="1340" w:bottom="280" w:left="1700" w:right="1417"/>
        </w:sectPr>
      </w:pPr>
    </w:p>
    <w:p>
      <w:pPr>
        <w:pStyle w:val="BodyText"/>
        <w:tabs>
          <w:tab w:pos="7347" w:val="left" w:leader="none"/>
        </w:tabs>
        <w:spacing w:before="79"/>
        <w:ind w:right="183"/>
      </w:pPr>
      <w:r>
        <w:rPr/>
        <w:t>Notes:</w:t>
      </w:r>
      <w:r>
        <w:rPr>
          <w:spacing w:val="80"/>
        </w:rPr>
        <w:t> </w:t>
      </w:r>
      <w:r>
        <w:rPr/>
        <w:t>Values</w:t>
      </w:r>
      <w:r>
        <w:rPr>
          <w:spacing w:val="80"/>
        </w:rPr>
        <w:t> </w:t>
      </w:r>
      <w:r>
        <w:rPr/>
        <w:t>are</w:t>
      </w:r>
      <w:r>
        <w:rPr>
          <w:spacing w:val="80"/>
        </w:rPr>
        <w:t> </w:t>
      </w:r>
      <w:r>
        <w:rPr/>
        <w:t>direct</w:t>
      </w:r>
      <w:r>
        <w:rPr>
          <w:spacing w:val="80"/>
        </w:rPr>
        <w:t> </w:t>
      </w:r>
      <w:r>
        <w:rPr/>
        <w:t>Monte</w:t>
      </w:r>
      <w:r>
        <w:rPr>
          <w:spacing w:val="80"/>
        </w:rPr>
        <w:t> </w:t>
      </w:r>
      <w:r>
        <w:rPr/>
        <w:t>Carlo</w:t>
      </w:r>
      <w:r>
        <w:rPr>
          <w:spacing w:val="80"/>
        </w:rPr>
        <w:t> </w:t>
      </w:r>
      <w:r>
        <w:rPr/>
        <w:t>estimates</w:t>
      </w:r>
      <w:r>
        <w:rPr>
          <w:spacing w:val="80"/>
        </w:rPr>
        <w:t> </w:t>
      </w:r>
      <w:r>
        <w:rPr/>
        <w:t>on</w:t>
      </w:r>
      <w:r>
        <w:rPr>
          <w:spacing w:val="80"/>
        </w:rPr>
        <w:t> </w:t>
      </w:r>
      <w:r>
        <w:rPr/>
        <w:t>the</w:t>
      </w:r>
      <w:r>
        <w:rPr>
          <w:spacing w:val="80"/>
        </w:rPr>
        <w:t> </w:t>
      </w:r>
      <w:r>
        <w:rPr/>
        <w:t>common</w:t>
      </w:r>
      <w:r>
        <w:rPr>
          <w:spacing w:val="80"/>
        </w:rPr>
        <w:t> </w:t>
      </w:r>
      <w:r>
        <w:rPr/>
        <w:t>coarse-grid</w:t>
      </w:r>
      <w:r>
        <w:rPr>
          <w:spacing w:val="40"/>
        </w:rPr>
        <w:t> </w:t>
      </w:r>
      <w:r>
        <w:rPr/>
        <w:t>benchmark</w:t>
      </w:r>
      <w:r>
        <w:rPr>
          <w:spacing w:val="40"/>
        </w:rPr>
        <w:t> </w:t>
      </w:r>
      <w:r>
        <w:rPr/>
        <w:t>cap</w:t>
      </w:r>
      <w:r>
        <w:rPr>
          <w:spacing w:val="40"/>
        </w:rPr>
        <w:t> </w:t>
      </w:r>
      <w:r>
        <w:rPr/>
        <w:t>(N=300</w:t>
      </w:r>
      <w:r>
        <w:rPr>
          <w:spacing w:val="40"/>
        </w:rPr>
        <w:t> </w:t>
      </w:r>
      <w:r>
        <w:rPr/>
        <w:t>per</w:t>
      </w:r>
      <w:r>
        <w:rPr>
          <w:spacing w:val="40"/>
        </w:rPr>
        <w:t> </w:t>
      </w:r>
      <w:r>
        <w:rPr/>
        <w:t>country).</w:t>
      </w:r>
      <w:r>
        <w:rPr>
          <w:spacing w:val="40"/>
        </w:rPr>
        <w:t> </w:t>
      </w:r>
      <w:r>
        <w:rPr/>
        <w:t>Korea</w:t>
      </w:r>
      <w:r>
        <w:rPr>
          <w:spacing w:val="40"/>
        </w:rPr>
        <w:t> </w:t>
      </w:r>
      <w:r>
        <w:rPr/>
        <w:t>and</w:t>
      </w:r>
      <w:r>
        <w:rPr>
          <w:spacing w:val="40"/>
        </w:rPr>
        <w:t> </w:t>
      </w:r>
      <w:r>
        <w:rPr/>
        <w:t>Sweden</w:t>
      </w:r>
      <w:r>
        <w:rPr>
          <w:spacing w:val="40"/>
        </w:rPr>
        <w:t> </w:t>
      </w:r>
      <w:r>
        <w:rPr/>
        <w:t>are</w:t>
      </w:r>
      <w:r>
        <w:rPr>
          <w:spacing w:val="40"/>
        </w:rPr>
        <w:t> </w:t>
      </w:r>
      <w:r>
        <w:rPr/>
        <w:t>not</w:t>
      </w:r>
      <w:r>
        <w:rPr>
          <w:spacing w:val="40"/>
        </w:rPr>
        <w:t> </w:t>
      </w:r>
      <w:r>
        <w:rPr/>
        <w:t>feasible</w:t>
      </w:r>
      <w:r>
        <w:rPr>
          <w:spacing w:val="40"/>
        </w:rPr>
        <w:t> </w:t>
      </w:r>
      <w:r>
        <w:rPr/>
        <w:t>under</w:t>
      </w:r>
      <w:r>
        <w:rPr>
          <w:spacing w:val="80"/>
        </w:rPr>
        <w:t> </w:t>
      </w:r>
      <w:r>
        <w:rPr/>
        <w:t>p*=8%;</w:t>
      </w:r>
      <w:r>
        <w:rPr>
          <w:spacing w:val="-3"/>
        </w:rPr>
        <w:t> </w:t>
      </w:r>
      <w:r>
        <w:rPr/>
        <w:t>China</w:t>
      </w:r>
      <w:r>
        <w:rPr>
          <w:spacing w:val="-2"/>
        </w:rPr>
        <w:t> </w:t>
      </w:r>
      <w:r>
        <w:rPr/>
        <w:t>is</w:t>
      </w:r>
      <w:r>
        <w:rPr>
          <w:spacing w:val="-3"/>
        </w:rPr>
        <w:t> </w:t>
      </w:r>
      <w:r>
        <w:rPr/>
        <w:t>feasible</w:t>
      </w:r>
      <w:r>
        <w:rPr>
          <w:spacing w:val="-4"/>
        </w:rPr>
        <w:t> </w:t>
      </w:r>
      <w:r>
        <w:rPr/>
        <w:t>under</w:t>
      </w:r>
      <w:r>
        <w:rPr>
          <w:spacing w:val="-4"/>
        </w:rPr>
        <w:t> </w:t>
      </w:r>
      <w:r>
        <w:rPr/>
        <w:t>p*=8%</w:t>
      </w:r>
      <w:r>
        <w:rPr>
          <w:spacing w:val="-4"/>
        </w:rPr>
        <w:t> </w:t>
      </w:r>
      <w:r>
        <w:rPr/>
        <w:t>only;</w:t>
      </w:r>
      <w:r>
        <w:rPr>
          <w:spacing w:val="-3"/>
        </w:rPr>
        <w:t> </w:t>
      </w:r>
      <w:r>
        <w:rPr/>
        <w:t>EU</w:t>
      </w:r>
      <w:r>
        <w:rPr>
          <w:spacing w:val="-4"/>
        </w:rPr>
        <w:t> </w:t>
      </w:r>
      <w:r>
        <w:rPr/>
        <w:t>and</w:t>
      </w:r>
      <w:r>
        <w:rPr>
          <w:spacing w:val="-4"/>
        </w:rPr>
        <w:t> </w:t>
      </w:r>
      <w:r>
        <w:rPr/>
        <w:t>US</w:t>
      </w:r>
      <w:r>
        <w:rPr>
          <w:spacing w:val="-3"/>
        </w:rPr>
        <w:t> </w:t>
      </w:r>
      <w:r>
        <w:rPr/>
        <w:t>are</w:t>
      </w:r>
      <w:r>
        <w:rPr>
          <w:spacing w:val="-4"/>
        </w:rPr>
        <w:t> </w:t>
      </w:r>
      <w:r>
        <w:rPr/>
        <w:t>feasible</w:t>
      </w:r>
      <w:r>
        <w:rPr>
          <w:spacing w:val="-4"/>
        </w:rPr>
        <w:t> </w:t>
      </w:r>
      <w:r>
        <w:rPr/>
        <w:t>under</w:t>
      </w:r>
      <w:r>
        <w:rPr>
          <w:spacing w:val="-4"/>
        </w:rPr>
        <w:t> </w:t>
      </w:r>
      <w:r>
        <w:rPr/>
        <w:t>both</w:t>
      </w:r>
      <w:r>
        <w:rPr>
          <w:spacing w:val="-3"/>
        </w:rPr>
        <w:t> </w:t>
      </w:r>
      <w:r>
        <w:rPr/>
        <w:t>p*=5% and</w:t>
      </w:r>
      <w:r>
        <w:rPr>
          <w:spacing w:val="40"/>
        </w:rPr>
        <w:t> </w:t>
      </w:r>
      <w:r>
        <w:rPr/>
        <w:t>p*=8%.</w:t>
      </w:r>
      <w:r>
        <w:rPr>
          <w:spacing w:val="40"/>
        </w:rPr>
        <w:t> </w:t>
      </w:r>
      <w:r>
        <w:rPr/>
        <w:t>Appendix</w:t>
      </w:r>
      <w:r>
        <w:rPr>
          <w:spacing w:val="40"/>
        </w:rPr>
        <w:t> </w:t>
      </w:r>
      <w:r>
        <w:rPr/>
        <w:t>G</w:t>
      </w:r>
      <w:r>
        <w:rPr>
          <w:spacing w:val="40"/>
        </w:rPr>
        <w:t> </w:t>
      </w:r>
      <w:r>
        <w:rPr/>
        <w:t>reports</w:t>
      </w:r>
      <w:r>
        <w:rPr>
          <w:spacing w:val="40"/>
        </w:rPr>
        <w:t> </w:t>
      </w:r>
      <w:r>
        <w:rPr/>
        <w:t>a</w:t>
      </w:r>
      <w:r>
        <w:rPr>
          <w:spacing w:val="40"/>
        </w:rPr>
        <w:t> </w:t>
      </w:r>
      <w:r>
        <w:rPr/>
        <w:t>selected-cap</w:t>
      </w:r>
      <w:r>
        <w:rPr>
          <w:spacing w:val="40"/>
        </w:rPr>
        <w:t> </w:t>
      </w:r>
      <w:r>
        <w:rPr/>
        <w:t>fine-grid</w:t>
      </w:r>
      <w:r>
        <w:rPr>
          <w:spacing w:val="40"/>
        </w:rPr>
        <w:t> </w:t>
      </w:r>
      <w:r>
        <w:rPr/>
        <w:t>check;</w:t>
      </w:r>
      <w:r>
        <w:rPr>
          <w:spacing w:val="40"/>
        </w:rPr>
        <w:t> </w:t>
      </w:r>
      <w:r>
        <w:rPr/>
        <w:t>country-specific optima</w:t>
      </w:r>
      <w:r>
        <w:rPr>
          <w:spacing w:val="80"/>
        </w:rPr>
        <w:t> </w:t>
      </w:r>
      <w:r>
        <w:rPr/>
        <w:t>remain</w:t>
      </w:r>
      <w:r>
        <w:rPr>
          <w:spacing w:val="80"/>
        </w:rPr>
        <w:t> </w:t>
      </w:r>
      <w:r>
        <w:rPr/>
        <w:t>indicative</w:t>
      </w:r>
      <w:r>
        <w:rPr>
          <w:spacing w:val="40"/>
        </w:rPr>
        <w:t> </w:t>
      </w:r>
      <w:r>
        <w:rPr/>
        <w:t>pending</w:t>
      </w:r>
      <w:r>
        <w:rPr>
          <w:spacing w:val="40"/>
        </w:rPr>
        <w:t> </w:t>
      </w:r>
      <w:r>
        <w:rPr/>
        <w:t>higher-N</w:t>
      </w:r>
      <w:r>
        <w:rPr>
          <w:spacing w:val="80"/>
        </w:rPr>
        <w:t> </w:t>
      </w:r>
      <w:r>
        <w:rPr/>
        <w:t>full-surface</w:t>
      </w:r>
      <w:r>
        <w:rPr>
          <w:spacing w:val="80"/>
        </w:rPr>
        <w:t> </w:t>
      </w:r>
      <w:r>
        <w:rPr/>
        <w:t>replication.</w:t>
        <w:tab/>
      </w:r>
      <w:r>
        <w:rPr>
          <w:spacing w:val="-2"/>
        </w:rPr>
        <w:t>†Sweden’s </w:t>
      </w:r>
      <w:r>
        <w:rPr/>
        <w:t>stability threshold</w:t>
      </w:r>
      <w:r>
        <w:rPr>
          <w:spacing w:val="40"/>
        </w:rPr>
        <w:t> </w:t>
      </w:r>
      <w:r>
        <w:rPr/>
        <w:t>(θ=0.60) is</w:t>
      </w:r>
      <w:r>
        <w:rPr>
          <w:spacing w:val="40"/>
        </w:rPr>
        <w:t> </w:t>
      </w:r>
      <w:r>
        <w:rPr/>
        <w:t>author-calibrated</w:t>
      </w:r>
      <w:r>
        <w:rPr>
          <w:spacing w:val="40"/>
        </w:rPr>
        <w:t> </w:t>
      </w:r>
      <w:r>
        <w:rPr/>
        <w:t>and</w:t>
      </w:r>
      <w:r>
        <w:rPr>
          <w:spacing w:val="40"/>
        </w:rPr>
        <w:t> </w:t>
      </w:r>
      <w:r>
        <w:rPr/>
        <w:t>illustrative (§7.2,</w:t>
      </w:r>
      <w:r>
        <w:rPr>
          <w:spacing w:val="40"/>
        </w:rPr>
        <w:t> </w:t>
      </w:r>
      <w:r>
        <w:rPr/>
        <w:t>L7);</w:t>
      </w:r>
      <w:r>
        <w:rPr>
          <w:spacing w:val="40"/>
        </w:rPr>
        <w:t> </w:t>
      </w:r>
      <w:r>
        <w:rPr/>
        <w:t>treat</w:t>
      </w:r>
      <w:r>
        <w:rPr>
          <w:spacing w:val="40"/>
        </w:rPr>
        <w:t> </w:t>
      </w:r>
      <w:r>
        <w:rPr/>
        <w:t>the Sweden row as the least certain in this table.</w:t>
      </w:r>
    </w:p>
    <w:p>
      <w:pPr>
        <w:pStyle w:val="Heading2"/>
        <w:numPr>
          <w:ilvl w:val="1"/>
          <w:numId w:val="1"/>
        </w:numPr>
        <w:tabs>
          <w:tab w:pos="457" w:val="left" w:leader="none"/>
        </w:tabs>
        <w:spacing w:line="240" w:lineRule="auto" w:before="240" w:after="0"/>
        <w:ind w:left="457" w:right="0" w:hanging="358"/>
        <w:jc w:val="left"/>
        <w:rPr>
          <w:i/>
        </w:rPr>
      </w:pPr>
      <w:r>
        <w:rPr>
          <w:i/>
        </w:rPr>
        <w:t>Indicative</w:t>
      </w:r>
      <w:r>
        <w:rPr>
          <w:i/>
          <w:spacing w:val="-13"/>
        </w:rPr>
        <w:t> </w:t>
      </w:r>
      <w:r>
        <w:rPr>
          <w:i/>
        </w:rPr>
        <w:t>Pareto</w:t>
      </w:r>
      <w:r>
        <w:rPr>
          <w:i/>
          <w:spacing w:val="-13"/>
        </w:rPr>
        <w:t> </w:t>
      </w:r>
      <w:r>
        <w:rPr>
          <w:i/>
          <w:spacing w:val="-2"/>
        </w:rPr>
        <w:t>Implications</w:t>
      </w:r>
    </w:p>
    <w:p>
      <w:pPr>
        <w:pStyle w:val="BodyText"/>
        <w:spacing w:before="79"/>
        <w:ind w:left="0"/>
        <w:rPr>
          <w:b/>
          <w:i/>
        </w:rPr>
      </w:pPr>
    </w:p>
    <w:p>
      <w:pPr>
        <w:pStyle w:val="BodyText"/>
        <w:spacing w:line="480" w:lineRule="auto"/>
        <w:ind w:right="243"/>
      </w:pPr>
      <w:r>
        <w:rPr/>
        <w:t>By</w:t>
      </w:r>
      <w:r>
        <w:rPr>
          <w:spacing w:val="40"/>
        </w:rPr>
        <w:t> </w:t>
      </w:r>
      <w:r>
        <w:rPr/>
        <w:t>direct</w:t>
      </w:r>
      <w:r>
        <w:rPr>
          <w:spacing w:val="40"/>
        </w:rPr>
        <w:t> </w:t>
      </w:r>
      <w:r>
        <w:rPr/>
        <w:t>Monte</w:t>
      </w:r>
      <w:r>
        <w:rPr>
          <w:spacing w:val="40"/>
        </w:rPr>
        <w:t> </w:t>
      </w:r>
      <w:r>
        <w:rPr/>
        <w:t>Carlo</w:t>
      </w:r>
      <w:r>
        <w:rPr>
          <w:spacing w:val="40"/>
        </w:rPr>
        <w:t> </w:t>
      </w:r>
      <w:r>
        <w:rPr/>
        <w:t>re-simulation</w:t>
      </w:r>
      <w:r>
        <w:rPr>
          <w:spacing w:val="40"/>
        </w:rPr>
        <w:t> </w:t>
      </w:r>
      <w:r>
        <w:rPr/>
        <w:t>(Table</w:t>
      </w:r>
      <w:r>
        <w:rPr>
          <w:spacing w:val="40"/>
        </w:rPr>
        <w:t> </w:t>
      </w:r>
      <w:r>
        <w:rPr/>
        <w:t>8),</w:t>
      </w:r>
      <w:r>
        <w:rPr>
          <w:spacing w:val="40"/>
        </w:rPr>
        <w:t> </w:t>
      </w:r>
      <w:r>
        <w:rPr/>
        <w:t>the</w:t>
      </w:r>
      <w:r>
        <w:rPr>
          <w:spacing w:val="40"/>
        </w:rPr>
        <w:t> </w:t>
      </w:r>
      <w:r>
        <w:rPr/>
        <w:t>Korea</w:t>
      </w:r>
      <w:r>
        <w:rPr>
          <w:spacing w:val="40"/>
        </w:rPr>
        <w:t> </w:t>
      </w:r>
      <w:r>
        <w:rPr/>
        <w:t>coarse-grid</w:t>
      </w:r>
      <w:r>
        <w:rPr>
          <w:spacing w:val="40"/>
        </w:rPr>
        <w:t> </w:t>
      </w:r>
      <w:r>
        <w:rPr/>
        <w:t>cap-P(Fail) curve</w:t>
      </w:r>
      <w:r>
        <w:rPr>
          <w:spacing w:val="80"/>
        </w:rPr>
        <w:t> </w:t>
      </w:r>
      <w:r>
        <w:rPr/>
        <w:t>has</w:t>
      </w:r>
      <w:r>
        <w:rPr>
          <w:spacing w:val="80"/>
        </w:rPr>
        <w:t> </w:t>
      </w:r>
      <w:r>
        <w:rPr/>
        <w:t>its</w:t>
      </w:r>
      <w:r>
        <w:rPr>
          <w:spacing w:val="80"/>
        </w:rPr>
        <w:t> </w:t>
      </w:r>
      <w:r>
        <w:rPr/>
        <w:t>minimum</w:t>
      </w:r>
      <w:r>
        <w:rPr>
          <w:spacing w:val="80"/>
        </w:rPr>
        <w:t> </w:t>
      </w:r>
      <w:r>
        <w:rPr/>
        <w:t>at</w:t>
      </w:r>
      <w:r>
        <w:rPr>
          <w:spacing w:val="80"/>
        </w:rPr>
        <w:t> </w:t>
      </w:r>
      <w:r>
        <w:rPr/>
        <w:t>7.5M</w:t>
      </w:r>
      <w:r>
        <w:rPr>
          <w:spacing w:val="80"/>
        </w:rPr>
        <w:t> </w:t>
      </w:r>
      <w:r>
        <w:rPr/>
        <w:t>KRW</w:t>
      </w:r>
      <w:r>
        <w:rPr>
          <w:spacing w:val="80"/>
        </w:rPr>
        <w:t> </w:t>
      </w:r>
      <w:r>
        <w:rPr/>
        <w:t>(P=0.1130),</w:t>
      </w:r>
      <w:r>
        <w:rPr>
          <w:spacing w:val="80"/>
        </w:rPr>
        <w:t> </w:t>
      </w:r>
      <w:r>
        <w:rPr/>
        <w:t>but</w:t>
      </w:r>
      <w:r>
        <w:rPr>
          <w:spacing w:val="80"/>
        </w:rPr>
        <w:t> </w:t>
      </w:r>
      <w:r>
        <w:rPr/>
        <w:t>the</w:t>
      </w:r>
      <w:r>
        <w:rPr>
          <w:spacing w:val="80"/>
        </w:rPr>
        <w:t> </w:t>
      </w:r>
      <w:r>
        <w:rPr/>
        <w:t>additional</w:t>
      </w:r>
      <w:r>
        <w:rPr>
          <w:spacing w:val="80"/>
        </w:rPr>
        <w:t> </w:t>
      </w:r>
      <w:r>
        <w:rPr/>
        <w:t>5M-10M fine-grid</w:t>
      </w:r>
      <w:r>
        <w:rPr>
          <w:spacing w:val="40"/>
        </w:rPr>
        <w:t> </w:t>
      </w:r>
      <w:r>
        <w:rPr/>
        <w:t>(Table</w:t>
      </w:r>
      <w:r>
        <w:rPr>
          <w:spacing w:val="40"/>
        </w:rPr>
        <w:t> </w:t>
      </w:r>
      <w:r>
        <w:rPr/>
        <w:t>7f)</w:t>
      </w:r>
      <w:r>
        <w:rPr>
          <w:spacing w:val="40"/>
        </w:rPr>
        <w:t> </w:t>
      </w:r>
      <w:r>
        <w:rPr/>
        <w:t>identifies</w:t>
      </w:r>
      <w:r>
        <w:rPr>
          <w:spacing w:val="40"/>
        </w:rPr>
        <w:t> </w:t>
      </w:r>
      <w:r>
        <w:rPr/>
        <w:t>a</w:t>
      </w:r>
      <w:r>
        <w:rPr>
          <w:spacing w:val="40"/>
        </w:rPr>
        <w:t> </w:t>
      </w:r>
      <w:r>
        <w:rPr/>
        <w:t>lower</w:t>
      </w:r>
      <w:r>
        <w:rPr>
          <w:spacing w:val="40"/>
        </w:rPr>
        <w:t> </w:t>
      </w:r>
      <w:r>
        <w:rPr/>
        <w:t>local</w:t>
      </w:r>
      <w:r>
        <w:rPr>
          <w:spacing w:val="40"/>
        </w:rPr>
        <w:t> </w:t>
      </w:r>
      <w:r>
        <w:rPr/>
        <w:t>minimum</w:t>
      </w:r>
      <w:r>
        <w:rPr>
          <w:spacing w:val="40"/>
        </w:rPr>
        <w:t> </w:t>
      </w:r>
      <w:r>
        <w:rPr/>
        <w:t>at</w:t>
      </w:r>
      <w:r>
        <w:rPr>
          <w:spacing w:val="40"/>
        </w:rPr>
        <w:t> </w:t>
      </w:r>
      <w:r>
        <w:rPr/>
        <w:t>5.5M</w:t>
      </w:r>
      <w:r>
        <w:rPr>
          <w:spacing w:val="40"/>
        </w:rPr>
        <w:t> </w:t>
      </w:r>
      <w:r>
        <w:rPr/>
        <w:t>KRW</w:t>
      </w:r>
      <w:r>
        <w:rPr>
          <w:spacing w:val="40"/>
        </w:rPr>
        <w:t> </w:t>
      </w:r>
      <w:r>
        <w:rPr/>
        <w:t>(P=0.1091).</w:t>
      </w:r>
      <w:r>
        <w:rPr>
          <w:spacing w:val="40"/>
        </w:rPr>
        <w:t> </w:t>
      </w:r>
      <w:r>
        <w:rPr/>
        <w:t>Accordingly,</w:t>
      </w:r>
      <w:r>
        <w:rPr>
          <w:spacing w:val="39"/>
        </w:rPr>
        <w:t> </w:t>
      </w:r>
      <w:r>
        <w:rPr/>
        <w:t>7.5M</w:t>
      </w:r>
      <w:r>
        <w:rPr>
          <w:spacing w:val="40"/>
        </w:rPr>
        <w:t> </w:t>
      </w:r>
      <w:r>
        <w:rPr/>
        <w:t>should</w:t>
      </w:r>
      <w:r>
        <w:rPr>
          <w:spacing w:val="39"/>
        </w:rPr>
        <w:t> </w:t>
      </w:r>
      <w:r>
        <w:rPr/>
        <w:t>be</w:t>
      </w:r>
      <w:r>
        <w:rPr>
          <w:spacing w:val="40"/>
        </w:rPr>
        <w:t> </w:t>
      </w:r>
      <w:r>
        <w:rPr/>
        <w:t>read</w:t>
      </w:r>
      <w:r>
        <w:rPr>
          <w:spacing w:val="40"/>
        </w:rPr>
        <w:t> </w:t>
      </w:r>
      <w:r>
        <w:rPr/>
        <w:t>as</w:t>
      </w:r>
      <w:r>
        <w:rPr>
          <w:spacing w:val="40"/>
        </w:rPr>
        <w:t> </w:t>
      </w:r>
      <w:r>
        <w:rPr/>
        <w:t>a</w:t>
      </w:r>
      <w:r>
        <w:rPr>
          <w:spacing w:val="37"/>
        </w:rPr>
        <w:t> </w:t>
      </w:r>
      <w:r>
        <w:rPr/>
        <w:t>cross-country</w:t>
      </w:r>
      <w:r>
        <w:rPr>
          <w:spacing w:val="35"/>
        </w:rPr>
        <w:t> </w:t>
      </w:r>
      <w:r>
        <w:rPr/>
        <w:t>coarse-grid</w:t>
      </w:r>
      <w:r>
        <w:rPr>
          <w:spacing w:val="40"/>
        </w:rPr>
        <w:t> </w:t>
      </w:r>
      <w:r>
        <w:rPr/>
        <w:t>benchmark,</w:t>
      </w:r>
      <w:r>
        <w:rPr>
          <w:spacing w:val="39"/>
        </w:rPr>
        <w:t> </w:t>
      </w:r>
      <w:r>
        <w:rPr/>
        <w:t>while</w:t>
      </w:r>
    </w:p>
    <w:p>
      <w:pPr>
        <w:pStyle w:val="BodyText"/>
        <w:spacing w:line="480" w:lineRule="auto"/>
        <w:ind w:right="316"/>
        <w:jc w:val="both"/>
      </w:pPr>
      <w:r>
        <w:rPr/>
        <w:t>5.5M is a Korea-specific fine-grid diagnostic result. The 5M point is dominated because it combines higher risk with lower welfare, and caps above 5.5M show a gradual risk-inclusion trade-off. Implications below use the coarse-grid country panel; Appendix G provides a selected-cap fine-grid check, but full higher-N cap-surface replication remains pending.</w:t>
      </w:r>
    </w:p>
    <w:p>
      <w:pPr>
        <w:pStyle w:val="BodyText"/>
        <w:spacing w:line="480" w:lineRule="auto"/>
        <w:ind w:right="180"/>
      </w:pPr>
      <w:r>
        <w:rPr/>
        <w:t>(i)</w:t>
      </w:r>
      <w:r>
        <w:rPr>
          <w:spacing w:val="40"/>
        </w:rPr>
        <w:t> </w:t>
      </w:r>
      <w:r>
        <w:rPr/>
        <w:t>Korea:</w:t>
      </w:r>
      <w:r>
        <w:rPr>
          <w:spacing w:val="40"/>
        </w:rPr>
        <w:t> </w:t>
      </w:r>
      <w:r>
        <w:rPr/>
        <w:t>no</w:t>
      </w:r>
      <w:r>
        <w:rPr>
          <w:spacing w:val="40"/>
        </w:rPr>
        <w:t> </w:t>
      </w:r>
      <w:r>
        <w:rPr/>
        <w:t>feasible</w:t>
      </w:r>
      <w:r>
        <w:rPr>
          <w:spacing w:val="40"/>
        </w:rPr>
        <w:t> </w:t>
      </w:r>
      <w:r>
        <w:rPr/>
        <w:t>design</w:t>
      </w:r>
      <w:r>
        <w:rPr>
          <w:spacing w:val="40"/>
        </w:rPr>
        <w:t> </w:t>
      </w:r>
      <w:r>
        <w:rPr/>
        <w:t>exists</w:t>
      </w:r>
      <w:r>
        <w:rPr>
          <w:spacing w:val="40"/>
        </w:rPr>
        <w:t> </w:t>
      </w:r>
      <w:r>
        <w:rPr/>
        <w:t>under</w:t>
      </w:r>
      <w:r>
        <w:rPr>
          <w:spacing w:val="40"/>
        </w:rPr>
        <w:t> </w:t>
      </w:r>
      <w:r>
        <w:rPr/>
        <w:t>p*=5%</w:t>
      </w:r>
      <w:r>
        <w:rPr>
          <w:spacing w:val="40"/>
        </w:rPr>
        <w:t> </w:t>
      </w:r>
      <w:r>
        <w:rPr/>
        <w:t>or</w:t>
      </w:r>
      <w:r>
        <w:rPr>
          <w:spacing w:val="40"/>
        </w:rPr>
        <w:t> </w:t>
      </w:r>
      <w:r>
        <w:rPr/>
        <w:t>p*=8%</w:t>
      </w:r>
      <w:r>
        <w:rPr>
          <w:spacing w:val="40"/>
        </w:rPr>
        <w:t> </w:t>
      </w:r>
      <w:r>
        <w:rPr/>
        <w:t>at</w:t>
      </w:r>
      <w:r>
        <w:rPr>
          <w:spacing w:val="40"/>
        </w:rPr>
        <w:t> </w:t>
      </w:r>
      <w:r>
        <w:rPr/>
        <w:t>shock=0.75;</w:t>
      </w:r>
      <w:r>
        <w:rPr>
          <w:spacing w:val="40"/>
        </w:rPr>
        <w:t> </w:t>
      </w:r>
      <w:r>
        <w:rPr/>
        <w:t>the</w:t>
      </w:r>
      <w:r>
        <w:rPr>
          <w:spacing w:val="40"/>
        </w:rPr>
        <w:t> </w:t>
      </w:r>
      <w:r>
        <w:rPr/>
        <w:t>coarse-grid</w:t>
      </w:r>
      <w:r>
        <w:rPr>
          <w:spacing w:val="40"/>
        </w:rPr>
        <w:t> </w:t>
      </w:r>
      <w:r>
        <w:rPr/>
        <w:t>benchmark</w:t>
      </w:r>
      <w:r>
        <w:rPr>
          <w:spacing w:val="40"/>
        </w:rPr>
        <w:t> </w:t>
      </w:r>
      <w:r>
        <w:rPr/>
        <w:t>cap</w:t>
      </w:r>
      <w:r>
        <w:rPr>
          <w:spacing w:val="40"/>
        </w:rPr>
        <w:t> </w:t>
      </w:r>
      <w:r>
        <w:rPr/>
        <w:t>is</w:t>
      </w:r>
      <w:r>
        <w:rPr>
          <w:spacing w:val="40"/>
        </w:rPr>
        <w:t> </w:t>
      </w:r>
      <w:r>
        <w:rPr/>
        <w:t>7.5M</w:t>
      </w:r>
      <w:r>
        <w:rPr>
          <w:spacing w:val="40"/>
        </w:rPr>
        <w:t> </w:t>
      </w:r>
      <w:r>
        <w:rPr/>
        <w:t>KRW</w:t>
      </w:r>
      <w:r>
        <w:rPr>
          <w:spacing w:val="40"/>
        </w:rPr>
        <w:t> </w:t>
      </w:r>
      <w:r>
        <w:rPr/>
        <w:t>(P=0.1130),</w:t>
      </w:r>
      <w:r>
        <w:rPr>
          <w:spacing w:val="40"/>
        </w:rPr>
        <w:t> </w:t>
      </w:r>
      <w:r>
        <w:rPr/>
        <w:t>while</w:t>
      </w:r>
      <w:r>
        <w:rPr>
          <w:spacing w:val="40"/>
        </w:rPr>
        <w:t> </w:t>
      </w:r>
      <w:r>
        <w:rPr/>
        <w:t>the</w:t>
      </w:r>
      <w:r>
        <w:rPr>
          <w:spacing w:val="40"/>
        </w:rPr>
        <w:t> </w:t>
      </w:r>
      <w:r>
        <w:rPr/>
        <w:t>Korea</w:t>
      </w:r>
      <w:r>
        <w:rPr>
          <w:spacing w:val="40"/>
        </w:rPr>
        <w:t> </w:t>
      </w:r>
      <w:r>
        <w:rPr/>
        <w:t>fine-grid diagnostic</w:t>
      </w:r>
      <w:r>
        <w:rPr>
          <w:spacing w:val="40"/>
        </w:rPr>
        <w:t> </w:t>
      </w:r>
      <w:r>
        <w:rPr/>
        <w:t>identifies</w:t>
      </w:r>
      <w:r>
        <w:rPr>
          <w:spacing w:val="40"/>
        </w:rPr>
        <w:t> </w:t>
      </w:r>
      <w:r>
        <w:rPr/>
        <w:t>5.5M</w:t>
      </w:r>
      <w:r>
        <w:rPr>
          <w:spacing w:val="40"/>
        </w:rPr>
        <w:t> </w:t>
      </w:r>
      <w:r>
        <w:rPr/>
        <w:t>KRW</w:t>
      </w:r>
      <w:r>
        <w:rPr>
          <w:spacing w:val="40"/>
        </w:rPr>
        <w:t> </w:t>
      </w:r>
      <w:r>
        <w:rPr/>
        <w:t>as</w:t>
      </w:r>
      <w:r>
        <w:rPr>
          <w:spacing w:val="40"/>
        </w:rPr>
        <w:t> </w:t>
      </w:r>
      <w:r>
        <w:rPr/>
        <w:t>a</w:t>
      </w:r>
      <w:r>
        <w:rPr>
          <w:spacing w:val="40"/>
        </w:rPr>
        <w:t> </w:t>
      </w:r>
      <w:r>
        <w:rPr/>
        <w:t>lower</w:t>
      </w:r>
      <w:r>
        <w:rPr>
          <w:spacing w:val="40"/>
        </w:rPr>
        <w:t> </w:t>
      </w:r>
      <w:r>
        <w:rPr/>
        <w:t>local</w:t>
      </w:r>
      <w:r>
        <w:rPr>
          <w:spacing w:val="40"/>
        </w:rPr>
        <w:t> </w:t>
      </w:r>
      <w:r>
        <w:rPr/>
        <w:t>minimum.</w:t>
      </w:r>
      <w:r>
        <w:rPr>
          <w:spacing w:val="40"/>
        </w:rPr>
        <w:t> </w:t>
      </w:r>
      <w:r>
        <w:rPr/>
        <w:t>(ii)</w:t>
      </w:r>
      <w:r>
        <w:rPr>
          <w:spacing w:val="40"/>
        </w:rPr>
        <w:t> </w:t>
      </w:r>
      <w:r>
        <w:rPr/>
        <w:t>China:</w:t>
      </w:r>
      <w:r>
        <w:rPr>
          <w:spacing w:val="40"/>
        </w:rPr>
        <w:t> </w:t>
      </w:r>
      <w:r>
        <w:rPr/>
        <w:t>feasible</w:t>
      </w:r>
      <w:r>
        <w:rPr>
          <w:spacing w:val="40"/>
        </w:rPr>
        <w:t> </w:t>
      </w:r>
      <w:r>
        <w:rPr/>
        <w:t>at p*=8% only at the 7.5M coarse-grid benchmark. (iii) EU: feasible at both p*=5% and p*=8%</w:t>
      </w:r>
      <w:r>
        <w:rPr>
          <w:spacing w:val="-1"/>
        </w:rPr>
        <w:t> </w:t>
      </w:r>
      <w:r>
        <w:rPr/>
        <w:t>at the</w:t>
      </w:r>
      <w:r>
        <w:rPr>
          <w:spacing w:val="-2"/>
        </w:rPr>
        <w:t> </w:t>
      </w:r>
      <w:r>
        <w:rPr/>
        <w:t>7.5M</w:t>
      </w:r>
      <w:r>
        <w:rPr>
          <w:spacing w:val="-1"/>
        </w:rPr>
        <w:t> </w:t>
      </w:r>
      <w:r>
        <w:rPr/>
        <w:t>coarse-grid</w:t>
      </w:r>
      <w:r>
        <w:rPr>
          <w:spacing w:val="-1"/>
        </w:rPr>
        <w:t> </w:t>
      </w:r>
      <w:r>
        <w:rPr/>
        <w:t>benchmark. (iv) US: feasible at</w:t>
      </w:r>
      <w:r>
        <w:rPr>
          <w:spacing w:val="-1"/>
        </w:rPr>
        <w:t> </w:t>
      </w:r>
      <w:r>
        <w:rPr/>
        <w:t>both</w:t>
      </w:r>
      <w:r>
        <w:rPr>
          <w:spacing w:val="-1"/>
        </w:rPr>
        <w:t> </w:t>
      </w:r>
      <w:r>
        <w:rPr/>
        <w:t>p*=5%</w:t>
      </w:r>
      <w:r>
        <w:rPr>
          <w:spacing w:val="-1"/>
        </w:rPr>
        <w:t> </w:t>
      </w:r>
      <w:r>
        <w:rPr/>
        <w:t>and</w:t>
      </w:r>
      <w:r>
        <w:rPr>
          <w:spacing w:val="-1"/>
        </w:rPr>
        <w:t> </w:t>
      </w:r>
      <w:r>
        <w:rPr/>
        <w:t>p*=8% at</w:t>
      </w:r>
      <w:r>
        <w:rPr>
          <w:spacing w:val="80"/>
          <w:w w:val="150"/>
        </w:rPr>
        <w:t> </w:t>
      </w:r>
      <w:r>
        <w:rPr/>
        <w:t>the</w:t>
      </w:r>
      <w:r>
        <w:rPr>
          <w:spacing w:val="80"/>
          <w:w w:val="150"/>
        </w:rPr>
        <w:t> </w:t>
      </w:r>
      <w:r>
        <w:rPr/>
        <w:t>7.5M</w:t>
      </w:r>
      <w:r>
        <w:rPr>
          <w:spacing w:val="80"/>
          <w:w w:val="150"/>
        </w:rPr>
        <w:t> </w:t>
      </w:r>
      <w:r>
        <w:rPr/>
        <w:t>coarse-grid</w:t>
      </w:r>
      <w:r>
        <w:rPr>
          <w:spacing w:val="80"/>
          <w:w w:val="150"/>
        </w:rPr>
        <w:t> </w:t>
      </w:r>
      <w:r>
        <w:rPr/>
        <w:t>benchmark,</w:t>
      </w:r>
      <w:r>
        <w:rPr>
          <w:spacing w:val="80"/>
          <w:w w:val="150"/>
        </w:rPr>
        <w:t> </w:t>
      </w:r>
      <w:r>
        <w:rPr/>
        <w:t>reflecting</w:t>
      </w:r>
      <w:r>
        <w:rPr>
          <w:spacing w:val="80"/>
        </w:rPr>
        <w:t> </w:t>
      </w:r>
      <w:r>
        <w:rPr/>
        <w:t>lower</w:t>
      </w:r>
      <w:r>
        <w:rPr>
          <w:spacing w:val="80"/>
          <w:w w:val="150"/>
        </w:rPr>
        <w:t> </w:t>
      </w:r>
      <w:r>
        <w:rPr/>
        <w:t>digital</w:t>
      </w:r>
      <w:r>
        <w:rPr>
          <w:spacing w:val="80"/>
          <w:w w:val="150"/>
        </w:rPr>
        <w:t> </w:t>
      </w:r>
      <w:r>
        <w:rPr/>
        <w:t>penetration</w:t>
      </w:r>
      <w:r>
        <w:rPr>
          <w:spacing w:val="80"/>
          <w:w w:val="150"/>
        </w:rPr>
        <w:t> </w:t>
      </w:r>
      <w:r>
        <w:rPr/>
        <w:t>and concentration</w:t>
      </w:r>
      <w:r>
        <w:rPr>
          <w:spacing w:val="80"/>
        </w:rPr>
        <w:t> </w:t>
      </w:r>
      <w:r>
        <w:rPr/>
        <w:t>than</w:t>
      </w:r>
      <w:r>
        <w:rPr>
          <w:spacing w:val="80"/>
        </w:rPr>
        <w:t> </w:t>
      </w:r>
      <w:r>
        <w:rPr/>
        <w:t>Korea.</w:t>
      </w:r>
      <w:r>
        <w:rPr>
          <w:spacing w:val="80"/>
        </w:rPr>
        <w:t> </w:t>
      </w:r>
      <w:r>
        <w:rPr/>
        <w:t>(v)</w:t>
      </w:r>
      <w:r>
        <w:rPr>
          <w:spacing w:val="80"/>
        </w:rPr>
        <w:t> </w:t>
      </w:r>
      <w:r>
        <w:rPr/>
        <w:t>Sweden:</w:t>
      </w:r>
      <w:r>
        <w:rPr>
          <w:spacing w:val="80"/>
        </w:rPr>
        <w:t> </w:t>
      </w:r>
      <w:r>
        <w:rPr/>
        <w:t>no</w:t>
      </w:r>
      <w:r>
        <w:rPr>
          <w:spacing w:val="80"/>
        </w:rPr>
        <w:t> </w:t>
      </w:r>
      <w:r>
        <w:rPr/>
        <w:t>feasible</w:t>
      </w:r>
      <w:r>
        <w:rPr>
          <w:spacing w:val="80"/>
        </w:rPr>
        <w:t> </w:t>
      </w:r>
      <w:r>
        <w:rPr/>
        <w:t>design</w:t>
      </w:r>
      <w:r>
        <w:rPr>
          <w:spacing w:val="80"/>
        </w:rPr>
        <w:t> </w:t>
      </w:r>
      <w:r>
        <w:rPr/>
        <w:t>exists</w:t>
      </w:r>
      <w:r>
        <w:rPr>
          <w:spacing w:val="80"/>
        </w:rPr>
        <w:t> </w:t>
      </w:r>
      <w:r>
        <w:rPr/>
        <w:t>at</w:t>
      </w:r>
      <w:r>
        <w:rPr>
          <w:spacing w:val="80"/>
        </w:rPr>
        <w:t> </w:t>
      </w:r>
      <w:r>
        <w:rPr/>
        <w:t>the</w:t>
      </w:r>
      <w:r>
        <w:rPr>
          <w:spacing w:val="80"/>
        </w:rPr>
        <w:t> </w:t>
      </w:r>
      <w:r>
        <w:rPr/>
        <w:t>7.5M coarse-grid benchmark. These holding-limit results are direct Monte Carlo estimates (engine v6.0); the label "partial validation" nonetheless still applies to the underlying outflow</w:t>
      </w:r>
      <w:r>
        <w:rPr>
          <w:spacing w:val="80"/>
        </w:rPr>
        <w:t> </w:t>
      </w:r>
      <w:r>
        <w:rPr/>
        <w:t>model.</w:t>
      </w:r>
      <w:r>
        <w:rPr>
          <w:spacing w:val="80"/>
        </w:rPr>
        <w:t> </w:t>
      </w:r>
      <w:r>
        <w:rPr/>
        <w:t>Reviewer-requested</w:t>
      </w:r>
      <w:r>
        <w:rPr>
          <w:spacing w:val="80"/>
        </w:rPr>
        <w:t> </w:t>
      </w:r>
      <w:r>
        <w:rPr/>
        <w:t>uncertainty</w:t>
      </w:r>
      <w:r>
        <w:rPr>
          <w:spacing w:val="80"/>
        </w:rPr>
        <w:t> </w:t>
      </w:r>
      <w:r>
        <w:rPr/>
        <w:t>bands,</w:t>
      </w:r>
      <w:r>
        <w:rPr>
          <w:spacing w:val="80"/>
        </w:rPr>
        <w:t> </w:t>
      </w:r>
      <w:r>
        <w:rPr/>
        <w:t>Korea</w:t>
      </w:r>
      <w:r>
        <w:rPr>
          <w:spacing w:val="80"/>
        </w:rPr>
        <w:t> </w:t>
      </w:r>
      <w:r>
        <w:rPr/>
        <w:t>fine-grid</w:t>
      </w:r>
      <w:r>
        <w:rPr>
          <w:spacing w:val="80"/>
        </w:rPr>
        <w:t> </w:t>
      </w:r>
      <w:r>
        <w:rPr/>
        <w:t>testing, selected</w:t>
      </w:r>
      <w:r>
        <w:rPr>
          <w:spacing w:val="40"/>
        </w:rPr>
        <w:t> </w:t>
      </w:r>
      <w:r>
        <w:rPr/>
        <w:t>higher-N</w:t>
      </w:r>
      <w:r>
        <w:rPr>
          <w:spacing w:val="40"/>
        </w:rPr>
        <w:t> </w:t>
      </w:r>
      <w:r>
        <w:rPr/>
        <w:t>replications,</w:t>
      </w:r>
      <w:r>
        <w:rPr>
          <w:spacing w:val="40"/>
        </w:rPr>
        <w:t> </w:t>
      </w:r>
      <w:r>
        <w:rPr/>
        <w:t>and</w:t>
      </w:r>
      <w:r>
        <w:rPr>
          <w:spacing w:val="40"/>
        </w:rPr>
        <w:t> </w:t>
      </w:r>
      <w:r>
        <w:rPr/>
        <w:t>selected-cap</w:t>
      </w:r>
      <w:r>
        <w:rPr>
          <w:spacing w:val="40"/>
        </w:rPr>
        <w:t> </w:t>
      </w:r>
      <w:r>
        <w:rPr/>
        <w:t>cross-country</w:t>
      </w:r>
      <w:r>
        <w:rPr>
          <w:spacing w:val="40"/>
        </w:rPr>
        <w:t> </w:t>
      </w:r>
      <w:r>
        <w:rPr/>
        <w:t>fine-grid</w:t>
      </w:r>
      <w:r>
        <w:rPr>
          <w:spacing w:val="40"/>
        </w:rPr>
        <w:t> </w:t>
      </w:r>
      <w:r>
        <w:rPr/>
        <w:t>checks</w:t>
      </w:r>
      <w:r>
        <w:rPr>
          <w:spacing w:val="40"/>
        </w:rPr>
        <w:t> </w:t>
      </w:r>
      <w:r>
        <w:rPr/>
        <w:t>are</w:t>
      </w:r>
    </w:p>
    <w:p>
      <w:pPr>
        <w:pStyle w:val="BodyText"/>
        <w:spacing w:after="0" w:line="480" w:lineRule="auto"/>
        <w:sectPr>
          <w:pgSz w:w="11900" w:h="16820"/>
          <w:pgMar w:header="714" w:footer="0" w:top="1340" w:bottom="280" w:left="1700" w:right="1417"/>
        </w:sectPr>
      </w:pPr>
    </w:p>
    <w:p>
      <w:pPr>
        <w:pStyle w:val="BodyText"/>
        <w:spacing w:line="482" w:lineRule="auto" w:before="79"/>
      </w:pPr>
      <w:r>
        <w:rPr/>
        <w:t>reported</w:t>
      </w:r>
      <w:r>
        <w:rPr>
          <w:spacing w:val="-2"/>
        </w:rPr>
        <w:t> </w:t>
      </w:r>
      <w:r>
        <w:rPr/>
        <w:t>in</w:t>
      </w:r>
      <w:r>
        <w:rPr>
          <w:spacing w:val="-5"/>
        </w:rPr>
        <w:t> </w:t>
      </w:r>
      <w:r>
        <w:rPr/>
        <w:t>Tables</w:t>
      </w:r>
      <w:r>
        <w:rPr>
          <w:spacing w:val="-2"/>
        </w:rPr>
        <w:t> </w:t>
      </w:r>
      <w:r>
        <w:rPr/>
        <w:t>7a,</w:t>
      </w:r>
      <w:r>
        <w:rPr>
          <w:spacing w:val="-2"/>
        </w:rPr>
        <w:t> </w:t>
      </w:r>
      <w:r>
        <w:rPr/>
        <w:t>8,</w:t>
      </w:r>
      <w:r>
        <w:rPr>
          <w:spacing w:val="-2"/>
        </w:rPr>
        <w:t> </w:t>
      </w:r>
      <w:r>
        <w:rPr/>
        <w:t>9,</w:t>
      </w:r>
      <w:r>
        <w:rPr>
          <w:spacing w:val="-5"/>
        </w:rPr>
        <w:t> </w:t>
      </w:r>
      <w:r>
        <w:rPr/>
        <w:t>and</w:t>
      </w:r>
      <w:r>
        <w:rPr>
          <w:spacing w:val="-2"/>
        </w:rPr>
        <w:t> </w:t>
      </w:r>
      <w:r>
        <w:rPr/>
        <w:t>Appendix G;</w:t>
      </w:r>
      <w:r>
        <w:rPr>
          <w:spacing w:val="-2"/>
        </w:rPr>
        <w:t> </w:t>
      </w:r>
      <w:r>
        <w:rPr/>
        <w:t>higher-N</w:t>
      </w:r>
      <w:r>
        <w:rPr>
          <w:spacing w:val="-2"/>
        </w:rPr>
        <w:t> </w:t>
      </w:r>
      <w:r>
        <w:rPr/>
        <w:t>full-surface</w:t>
      </w:r>
      <w:r>
        <w:rPr>
          <w:spacing w:val="-3"/>
        </w:rPr>
        <w:t> </w:t>
      </w:r>
      <w:r>
        <w:rPr/>
        <w:t>replication</w:t>
      </w:r>
      <w:r>
        <w:rPr>
          <w:spacing w:val="-2"/>
        </w:rPr>
        <w:t> </w:t>
      </w:r>
      <w:r>
        <w:rPr/>
        <w:t>remains future work.</w:t>
      </w:r>
    </w:p>
    <w:p>
      <w:pPr>
        <w:pStyle w:val="Heading2"/>
        <w:numPr>
          <w:ilvl w:val="1"/>
          <w:numId w:val="1"/>
        </w:numPr>
        <w:tabs>
          <w:tab w:pos="457" w:val="left" w:leader="none"/>
        </w:tabs>
        <w:spacing w:line="240" w:lineRule="auto" w:before="236" w:after="0"/>
        <w:ind w:left="457" w:right="0" w:hanging="358"/>
        <w:jc w:val="left"/>
        <w:rPr>
          <w:i/>
        </w:rPr>
      </w:pPr>
      <w:r>
        <w:rPr>
          <w:i/>
        </w:rPr>
        <w:t>The</w:t>
      </w:r>
      <w:r>
        <w:rPr>
          <w:i/>
          <w:spacing w:val="-11"/>
        </w:rPr>
        <w:t> </w:t>
      </w:r>
      <w:r>
        <w:rPr>
          <w:i/>
        </w:rPr>
        <w:t>Sweden</w:t>
      </w:r>
      <w:r>
        <w:rPr>
          <w:i/>
          <w:spacing w:val="-8"/>
        </w:rPr>
        <w:t> </w:t>
      </w:r>
      <w:r>
        <w:rPr>
          <w:i/>
        </w:rPr>
        <w:t>Infeasibility</w:t>
      </w:r>
      <w:r>
        <w:rPr>
          <w:i/>
          <w:spacing w:val="-9"/>
        </w:rPr>
        <w:t> </w:t>
      </w:r>
      <w:r>
        <w:rPr>
          <w:i/>
        </w:rPr>
        <w:t>Result</w:t>
      </w:r>
      <w:r>
        <w:rPr>
          <w:i/>
          <w:spacing w:val="-9"/>
        </w:rPr>
        <w:t> </w:t>
      </w:r>
      <w:r>
        <w:rPr>
          <w:i/>
        </w:rPr>
        <w:t>and</w:t>
      </w:r>
      <w:r>
        <w:rPr>
          <w:i/>
          <w:spacing w:val="-9"/>
        </w:rPr>
        <w:t> </w:t>
      </w:r>
      <w:r>
        <w:rPr>
          <w:i/>
        </w:rPr>
        <w:t>its</w:t>
      </w:r>
      <w:r>
        <w:rPr>
          <w:i/>
          <w:spacing w:val="-9"/>
        </w:rPr>
        <w:t> </w:t>
      </w:r>
      <w:r>
        <w:rPr>
          <w:i/>
        </w:rPr>
        <w:t>Policy</w:t>
      </w:r>
      <w:r>
        <w:rPr>
          <w:i/>
          <w:spacing w:val="-9"/>
        </w:rPr>
        <w:t> </w:t>
      </w:r>
      <w:r>
        <w:rPr>
          <w:i/>
          <w:spacing w:val="-2"/>
        </w:rPr>
        <w:t>Interpretation</w:t>
      </w:r>
    </w:p>
    <w:p>
      <w:pPr>
        <w:pStyle w:val="BodyText"/>
        <w:spacing w:before="78"/>
        <w:ind w:left="0"/>
        <w:rPr>
          <w:b/>
          <w:i/>
        </w:rPr>
      </w:pPr>
    </w:p>
    <w:p>
      <w:pPr>
        <w:pStyle w:val="BodyText"/>
        <w:spacing w:line="480" w:lineRule="auto"/>
        <w:ind w:right="302"/>
      </w:pPr>
      <w:r>
        <w:rPr/>
        <w:t>The Sweden result</w:t>
      </w:r>
      <w:r>
        <w:rPr>
          <w:spacing w:val="40"/>
        </w:rPr>
        <w:t> </w:t>
      </w:r>
      <w:r>
        <w:rPr/>
        <w:t>—</w:t>
      </w:r>
      <w:r>
        <w:rPr>
          <w:spacing w:val="40"/>
        </w:rPr>
        <w:t> </w:t>
      </w:r>
      <w:r>
        <w:rPr/>
        <w:t>that no coarse-grid cap achieves P(Fail)&lt;8% at shock=0.75</w:t>
      </w:r>
      <w:r>
        <w:rPr>
          <w:spacing w:val="40"/>
        </w:rPr>
        <w:t> </w:t>
      </w:r>
      <w:r>
        <w:rPr/>
        <w:t>— warrants specific discussion because Sweden (D=0.95, θ=0.60) represents the highest digital-adoption, lowest stability-threshold economy in the five-country panel. Three mechanisms</w:t>
      </w:r>
      <w:r>
        <w:rPr>
          <w:spacing w:val="40"/>
        </w:rPr>
        <w:t> </w:t>
      </w:r>
      <w:r>
        <w:rPr/>
        <w:t>drive</w:t>
      </w:r>
      <w:r>
        <w:rPr>
          <w:spacing w:val="40"/>
        </w:rPr>
        <w:t> </w:t>
      </w:r>
      <w:r>
        <w:rPr/>
        <w:t>this</w:t>
      </w:r>
      <w:r>
        <w:rPr>
          <w:spacing w:val="40"/>
        </w:rPr>
        <w:t> </w:t>
      </w:r>
      <w:r>
        <w:rPr/>
        <w:t>result.</w:t>
      </w:r>
      <w:r>
        <w:rPr>
          <w:spacing w:val="40"/>
        </w:rPr>
        <w:t> </w:t>
      </w:r>
      <w:r>
        <w:rPr/>
        <w:t>First,</w:t>
      </w:r>
      <w:r>
        <w:rPr>
          <w:spacing w:val="40"/>
        </w:rPr>
        <w:t> </w:t>
      </w:r>
      <w:r>
        <w:rPr/>
        <w:t>the</w:t>
      </w:r>
      <w:r>
        <w:rPr>
          <w:spacing w:val="40"/>
        </w:rPr>
        <w:t> </w:t>
      </w:r>
      <w:r>
        <w:rPr/>
        <w:t>very</w:t>
      </w:r>
      <w:r>
        <w:rPr>
          <w:spacing w:val="40"/>
        </w:rPr>
        <w:t> </w:t>
      </w:r>
      <w:r>
        <w:rPr/>
        <w:t>high</w:t>
      </w:r>
      <w:r>
        <w:rPr>
          <w:spacing w:val="40"/>
        </w:rPr>
        <w:t> </w:t>
      </w:r>
      <w:r>
        <w:rPr/>
        <w:t>digital</w:t>
      </w:r>
      <w:r>
        <w:rPr>
          <w:spacing w:val="40"/>
        </w:rPr>
        <w:t> </w:t>
      </w:r>
      <w:r>
        <w:rPr/>
        <w:t>adoption</w:t>
      </w:r>
      <w:r>
        <w:rPr>
          <w:spacing w:val="40"/>
        </w:rPr>
        <w:t> </w:t>
      </w:r>
      <w:r>
        <w:rPr/>
        <w:t>rate</w:t>
      </w:r>
      <w:r>
        <w:rPr>
          <w:spacing w:val="40"/>
        </w:rPr>
        <w:t> </w:t>
      </w:r>
      <w:r>
        <w:rPr/>
        <w:t>(D=0.95)</w:t>
      </w:r>
      <w:r>
        <w:rPr>
          <w:spacing w:val="80"/>
        </w:rPr>
        <w:t> </w:t>
      </w:r>
      <w:r>
        <w:rPr/>
        <w:t>amplifies</w:t>
      </w:r>
      <w:r>
        <w:rPr>
          <w:spacing w:val="80"/>
        </w:rPr>
        <w:t> </w:t>
      </w:r>
      <w:r>
        <w:rPr/>
        <w:t>CBDC</w:t>
      </w:r>
      <w:r>
        <w:rPr>
          <w:spacing w:val="80"/>
        </w:rPr>
        <w:t> </w:t>
      </w:r>
      <w:r>
        <w:rPr/>
        <w:t>outflows</w:t>
      </w:r>
      <w:r>
        <w:rPr>
          <w:spacing w:val="80"/>
        </w:rPr>
        <w:t> </w:t>
      </w:r>
      <w:r>
        <w:rPr/>
        <w:t>through</w:t>
      </w:r>
      <w:r>
        <w:rPr>
          <w:spacing w:val="80"/>
        </w:rPr>
        <w:t> </w:t>
      </w:r>
      <w:r>
        <w:rPr/>
        <w:t>the</w:t>
      </w:r>
      <w:r>
        <w:rPr>
          <w:spacing w:val="80"/>
        </w:rPr>
        <w:t> </w:t>
      </w:r>
      <w:r>
        <w:rPr/>
        <w:t>digital-channel</w:t>
      </w:r>
      <w:r>
        <w:rPr>
          <w:spacing w:val="80"/>
        </w:rPr>
        <w:t> </w:t>
      </w:r>
      <w:r>
        <w:rPr/>
        <w:t>coefficient,</w:t>
      </w:r>
      <w:r>
        <w:rPr>
          <w:spacing w:val="80"/>
        </w:rPr>
        <w:t> </w:t>
      </w:r>
      <w:r>
        <w:rPr/>
        <w:t>making</w:t>
      </w:r>
      <w:r>
        <w:rPr>
          <w:spacing w:val="80"/>
        </w:rPr>
        <w:t> </w:t>
      </w:r>
      <w:r>
        <w:rPr/>
        <w:t>even constrained CBDC designs significantly more disruptive than in lower-D economies. Second, the low stability threshold (θ=0.60, below the EU=0.70 and US=0.74 values) means</w:t>
      </w:r>
      <w:r>
        <w:rPr>
          <w:spacing w:val="40"/>
        </w:rPr>
        <w:t> </w:t>
      </w:r>
      <w:r>
        <w:rPr/>
        <w:t>the</w:t>
      </w:r>
      <w:r>
        <w:rPr>
          <w:spacing w:val="40"/>
        </w:rPr>
        <w:t> </w:t>
      </w:r>
      <w:r>
        <w:rPr/>
        <w:t>system</w:t>
      </w:r>
      <w:r>
        <w:rPr>
          <w:spacing w:val="40"/>
        </w:rPr>
        <w:t> </w:t>
      </w:r>
      <w:r>
        <w:rPr/>
        <w:t>is</w:t>
      </w:r>
      <w:r>
        <w:rPr>
          <w:spacing w:val="40"/>
        </w:rPr>
        <w:t> </w:t>
      </w:r>
      <w:r>
        <w:rPr/>
        <w:t>structurally</w:t>
      </w:r>
      <w:r>
        <w:rPr>
          <w:spacing w:val="40"/>
        </w:rPr>
        <w:t> </w:t>
      </w:r>
      <w:r>
        <w:rPr/>
        <w:t>closer</w:t>
      </w:r>
      <w:r>
        <w:rPr>
          <w:spacing w:val="40"/>
        </w:rPr>
        <w:t> </w:t>
      </w:r>
      <w:r>
        <w:rPr/>
        <w:t>to</w:t>
      </w:r>
      <w:r>
        <w:rPr>
          <w:spacing w:val="40"/>
        </w:rPr>
        <w:t> </w:t>
      </w:r>
      <w:r>
        <w:rPr/>
        <w:t>the</w:t>
      </w:r>
      <w:r>
        <w:rPr>
          <w:spacing w:val="40"/>
        </w:rPr>
        <w:t> </w:t>
      </w:r>
      <w:r>
        <w:rPr/>
        <w:t>failure</w:t>
      </w:r>
      <w:r>
        <w:rPr>
          <w:spacing w:val="40"/>
        </w:rPr>
        <w:t> </w:t>
      </w:r>
      <w:r>
        <w:rPr/>
        <w:t>boundary</w:t>
      </w:r>
      <w:r>
        <w:rPr>
          <w:spacing w:val="40"/>
        </w:rPr>
        <w:t> </w:t>
      </w:r>
      <w:r>
        <w:rPr/>
        <w:t>before</w:t>
      </w:r>
      <w:r>
        <w:rPr>
          <w:spacing w:val="40"/>
        </w:rPr>
        <w:t> </w:t>
      </w:r>
      <w:r>
        <w:rPr/>
        <w:t>any</w:t>
      </w:r>
      <w:r>
        <w:rPr>
          <w:spacing w:val="40"/>
        </w:rPr>
        <w:t> </w:t>
      </w:r>
      <w:r>
        <w:rPr/>
        <w:t>shock occurs.</w:t>
      </w:r>
      <w:r>
        <w:rPr>
          <w:spacing w:val="31"/>
        </w:rPr>
        <w:t> </w:t>
      </w:r>
      <w:r>
        <w:rPr/>
        <w:t>Third,</w:t>
      </w:r>
      <w:r>
        <w:rPr>
          <w:spacing w:val="34"/>
        </w:rPr>
        <w:t> </w:t>
      </w:r>
      <w:r>
        <w:rPr/>
        <w:t>these</w:t>
      </w:r>
      <w:r>
        <w:rPr>
          <w:spacing w:val="31"/>
        </w:rPr>
        <w:t> </w:t>
      </w:r>
      <w:r>
        <w:rPr/>
        <w:t>two</w:t>
      </w:r>
      <w:r>
        <w:rPr>
          <w:spacing w:val="31"/>
        </w:rPr>
        <w:t> </w:t>
      </w:r>
      <w:r>
        <w:rPr/>
        <w:t>factors</w:t>
      </w:r>
      <w:r>
        <w:rPr>
          <w:spacing w:val="31"/>
        </w:rPr>
        <w:t> </w:t>
      </w:r>
      <w:r>
        <w:rPr/>
        <w:t>interact:</w:t>
      </w:r>
      <w:r>
        <w:rPr>
          <w:spacing w:val="32"/>
        </w:rPr>
        <w:t> </w:t>
      </w:r>
      <w:r>
        <w:rPr/>
        <w:t>high</w:t>
      </w:r>
      <w:r>
        <w:rPr>
          <w:spacing w:val="31"/>
        </w:rPr>
        <w:t> </w:t>
      </w:r>
      <w:r>
        <w:rPr/>
        <w:t>D</w:t>
      </w:r>
      <w:r>
        <w:rPr>
          <w:spacing w:val="33"/>
        </w:rPr>
        <w:t> </w:t>
      </w:r>
      <w:r>
        <w:rPr/>
        <w:t>means</w:t>
      </w:r>
      <w:r>
        <w:rPr>
          <w:spacing w:val="32"/>
        </w:rPr>
        <w:t> </w:t>
      </w:r>
      <w:r>
        <w:rPr/>
        <w:t>that</w:t>
      </w:r>
      <w:r>
        <w:rPr>
          <w:spacing w:val="32"/>
        </w:rPr>
        <w:t> </w:t>
      </w:r>
      <w:r>
        <w:rPr/>
        <w:t>any</w:t>
      </w:r>
      <w:r>
        <w:rPr>
          <w:spacing w:val="29"/>
        </w:rPr>
        <w:t> </w:t>
      </w:r>
      <w:r>
        <w:rPr/>
        <w:t>CBDC</w:t>
      </w:r>
      <w:r>
        <w:rPr>
          <w:spacing w:val="32"/>
        </w:rPr>
        <w:t> </w:t>
      </w:r>
      <w:r>
        <w:rPr/>
        <w:t>adoption</w:t>
      </w:r>
      <w:r>
        <w:rPr>
          <w:spacing w:val="32"/>
        </w:rPr>
        <w:t> </w:t>
      </w:r>
      <w:r>
        <w:rPr/>
        <w:t>is channelled rapidly into outflows, while low θ means the system has limited absorption </w:t>
      </w:r>
      <w:r>
        <w:rPr>
          <w:spacing w:val="-2"/>
        </w:rPr>
        <w:t>capacity.</w:t>
      </w:r>
    </w:p>
    <w:p>
      <w:pPr>
        <w:pStyle w:val="BodyText"/>
        <w:spacing w:line="480" w:lineRule="auto"/>
        <w:ind w:right="322"/>
        <w:jc w:val="both"/>
      </w:pPr>
      <w:r>
        <w:rPr/>
        <w:t>Two policy implications follow. First, for high-digital, structurally fragile economies, the holding-limit channel alone is insufficient: even a 2.5M KRW-equivalent cap (Table 8 analogue) would likely leave P(Fail) above the 8% threshold at severe shock levels. This suggests that Sweden-type economies may require complementary stabilisation tools</w:t>
      </w:r>
      <w:r>
        <w:rPr>
          <w:spacing w:val="40"/>
        </w:rPr>
        <w:t> </w:t>
      </w:r>
      <w:r>
        <w:rPr/>
        <w:t>—</w:t>
      </w:r>
      <w:r>
        <w:rPr>
          <w:spacing w:val="40"/>
        </w:rPr>
        <w:t> </w:t>
      </w:r>
      <w:r>
        <w:rPr/>
        <w:t>enhanced LOLR standing facilities, mandatory CBDC–deposit conversion backstops, or tight interoperability constraints</w:t>
      </w:r>
      <w:r>
        <w:rPr>
          <w:spacing w:val="40"/>
        </w:rPr>
        <w:t> </w:t>
      </w:r>
      <w:r>
        <w:rPr/>
        <w:t>—</w:t>
      </w:r>
      <w:r>
        <w:rPr>
          <w:spacing w:val="40"/>
        </w:rPr>
        <w:t> </w:t>
      </w:r>
      <w:r>
        <w:rPr/>
        <w:t>in addition to holding limits. This is not in tension with the Table 5c finding that a dynamic, tiered cap becomes relatively more valuable as digital adoption rises: the two statements operate at different margins. Relative to the other CBDC designs, DynCap+Tiered is increasingly the best available holding-limit configuration in high-digital economies</w:t>
      </w:r>
      <w:r>
        <w:rPr>
          <w:spacing w:val="80"/>
        </w:rPr>
        <w:t> </w:t>
      </w:r>
      <w:r>
        <w:rPr/>
        <w:t>(a</w:t>
      </w:r>
      <w:r>
        <w:rPr>
          <w:spacing w:val="40"/>
        </w:rPr>
        <w:t> </w:t>
      </w:r>
      <w:r>
        <w:rPr/>
        <w:t>within-holding-limit</w:t>
      </w:r>
      <w:r>
        <w:rPr>
          <w:spacing w:val="40"/>
        </w:rPr>
        <w:t> </w:t>
      </w:r>
      <w:r>
        <w:rPr/>
        <w:t>ordinal</w:t>
      </w:r>
      <w:r>
        <w:rPr>
          <w:spacing w:val="40"/>
        </w:rPr>
        <w:t> </w:t>
      </w:r>
      <w:r>
        <w:rPr/>
        <w:t>result);</w:t>
      </w:r>
      <w:r>
        <w:rPr>
          <w:spacing w:val="40"/>
        </w:rPr>
        <w:t> </w:t>
      </w:r>
      <w:r>
        <w:rPr/>
        <w:t>in</w:t>
      </w:r>
      <w:r>
        <w:rPr>
          <w:spacing w:val="40"/>
        </w:rPr>
        <w:t> </w:t>
      </w:r>
      <w:r>
        <w:rPr/>
        <w:t>absolute</w:t>
      </w:r>
      <w:r>
        <w:rPr>
          <w:spacing w:val="40"/>
        </w:rPr>
        <w:t> </w:t>
      </w:r>
      <w:r>
        <w:rPr/>
        <w:t>terms,</w:t>
      </w:r>
      <w:r>
        <w:rPr>
          <w:spacing w:val="40"/>
        </w:rPr>
        <w:t> </w:t>
      </w:r>
      <w:r>
        <w:rPr/>
        <w:t>however,</w:t>
      </w:r>
      <w:r>
        <w:rPr>
          <w:spacing w:val="40"/>
        </w:rPr>
        <w:t> </w:t>
      </w:r>
      <w:r>
        <w:rPr/>
        <w:t>even</w:t>
      </w:r>
      <w:r>
        <w:rPr>
          <w:spacing w:val="40"/>
        </w:rPr>
        <w:t> </w:t>
      </w:r>
      <w:r>
        <w:rPr/>
        <w:t>that</w:t>
      </w:r>
      <w:r>
        <w:rPr>
          <w:spacing w:val="40"/>
        </w:rPr>
        <w:t> </w:t>
      </w:r>
      <w:r>
        <w:rPr/>
        <w:t>best</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22"/>
        <w:jc w:val="both"/>
      </w:pPr>
      <w:r>
        <w:rPr/>
        <w:t>configuration may leave P(Fail) above the target threshold in a structurally fragile, high-digital economy, so holding limits of any form are necessary but not sufficient there. The dynamic cap is the right holding-limit design; it is simply not, on its own, a complete stabilisation policy for the most fragile cases. Second, the Sweden result is sensitive to the θ=0.60 parameter, which is author-calibrated and illustrative (see Section 7.2, L7). If Sweden’s actual banking system is more resilient than this parameterisation suggests (Sveriges Riksbank has historically maintained strong capital buffers), the feasibility boundary may be higher in practice. Country-specific re-parameterisation with Riksbank supervisory data is identified as a priority for</w:t>
      </w:r>
      <w:r>
        <w:rPr>
          <w:spacing w:val="80"/>
        </w:rPr>
        <w:t> </w:t>
      </w:r>
      <w:r>
        <w:rPr/>
        <w:t>future work.</w:t>
      </w:r>
    </w:p>
    <w:p>
      <w:pPr>
        <w:pStyle w:val="BodyText"/>
        <w:spacing w:before="81"/>
        <w:ind w:left="0"/>
      </w:pPr>
    </w:p>
    <w:p>
      <w:pPr>
        <w:pStyle w:val="Heading1"/>
        <w:numPr>
          <w:ilvl w:val="0"/>
          <w:numId w:val="1"/>
        </w:numPr>
        <w:tabs>
          <w:tab w:pos="337" w:val="left" w:leader="none"/>
        </w:tabs>
        <w:spacing w:line="240" w:lineRule="auto" w:before="0" w:after="0"/>
        <w:ind w:left="337" w:right="0" w:hanging="238"/>
        <w:jc w:val="left"/>
      </w:pPr>
      <w:r>
        <w:rPr/>
        <w:t>Conclusion</w:t>
      </w:r>
      <w:r>
        <w:rPr>
          <w:spacing w:val="-12"/>
        </w:rPr>
        <w:t> </w:t>
      </w:r>
      <w:r>
        <w:rPr/>
        <w:t>and</w:t>
      </w:r>
      <w:r>
        <w:rPr>
          <w:spacing w:val="-14"/>
        </w:rPr>
        <w:t> </w:t>
      </w:r>
      <w:r>
        <w:rPr>
          <w:spacing w:val="-2"/>
        </w:rPr>
        <w:t>Limitations</w:t>
      </w:r>
    </w:p>
    <w:p>
      <w:pPr>
        <w:pStyle w:val="BodyText"/>
        <w:ind w:left="0"/>
        <w:rPr>
          <w:b/>
        </w:rPr>
      </w:pPr>
    </w:p>
    <w:p>
      <w:pPr>
        <w:pStyle w:val="BodyText"/>
        <w:spacing w:before="83"/>
        <w:ind w:left="0"/>
        <w:rPr>
          <w:b/>
        </w:rPr>
      </w:pPr>
    </w:p>
    <w:p>
      <w:pPr>
        <w:pStyle w:val="Heading2"/>
        <w:numPr>
          <w:ilvl w:val="1"/>
          <w:numId w:val="1"/>
        </w:numPr>
        <w:tabs>
          <w:tab w:pos="457" w:val="left" w:leader="none"/>
        </w:tabs>
        <w:spacing w:line="240" w:lineRule="auto" w:before="0" w:after="0"/>
        <w:ind w:left="457" w:right="0" w:hanging="358"/>
        <w:jc w:val="left"/>
        <w:rPr>
          <w:i/>
        </w:rPr>
      </w:pPr>
      <w:r>
        <w:rPr>
          <w:i/>
        </w:rPr>
        <w:t>Main</w:t>
      </w:r>
      <w:r>
        <w:rPr>
          <w:i/>
          <w:spacing w:val="-9"/>
        </w:rPr>
        <w:t> </w:t>
      </w:r>
      <w:r>
        <w:rPr>
          <w:i/>
          <w:spacing w:val="-2"/>
        </w:rPr>
        <w:t>Findings</w:t>
      </w:r>
    </w:p>
    <w:p>
      <w:pPr>
        <w:pStyle w:val="BodyText"/>
        <w:spacing w:before="81"/>
        <w:ind w:left="0"/>
        <w:rPr>
          <w:b/>
          <w:i/>
        </w:rPr>
      </w:pPr>
    </w:p>
    <w:p>
      <w:pPr>
        <w:pStyle w:val="BodyText"/>
        <w:spacing w:line="480" w:lineRule="auto"/>
        <w:ind w:right="320"/>
        <w:jc w:val="both"/>
      </w:pPr>
      <w:r>
        <w:rPr/>
        <w:t>The three contributions set out in the introduction correspond to three findings, summarised here at the level of headline results; full derivations, specification detail, and robustness evidence are in</w:t>
      </w:r>
      <w:r>
        <w:rPr>
          <w:spacing w:val="40"/>
        </w:rPr>
        <w:t> </w:t>
      </w:r>
      <w:r>
        <w:rPr/>
        <w:t>§3.5,</w:t>
      </w:r>
      <w:r>
        <w:rPr>
          <w:spacing w:val="40"/>
        </w:rPr>
        <w:t> </w:t>
      </w:r>
      <w:r>
        <w:rPr/>
        <w:t>§3.6,</w:t>
      </w:r>
      <w:r>
        <w:rPr>
          <w:spacing w:val="40"/>
        </w:rPr>
        <w:t> </w:t>
      </w:r>
      <w:r>
        <w:rPr/>
        <w:t>§5.4–5.5, and</w:t>
      </w:r>
      <w:r>
        <w:rPr>
          <w:spacing w:val="40"/>
        </w:rPr>
        <w:t> </w:t>
      </w:r>
      <w:r>
        <w:rPr/>
        <w:t>§6, and are not repeated in this section.</w:t>
      </w:r>
    </w:p>
    <w:p>
      <w:pPr>
        <w:pStyle w:val="ListParagraph"/>
        <w:numPr>
          <w:ilvl w:val="0"/>
          <w:numId w:val="2"/>
        </w:numPr>
        <w:tabs>
          <w:tab w:pos="414" w:val="left" w:leader="none"/>
        </w:tabs>
        <w:spacing w:line="480" w:lineRule="auto" w:before="0" w:after="0"/>
        <w:ind w:left="99" w:right="241" w:firstLine="0"/>
        <w:jc w:val="left"/>
        <w:rPr>
          <w:sz w:val="24"/>
        </w:rPr>
      </w:pPr>
      <w:r>
        <w:rPr>
          <w:b/>
          <w:sz w:val="24"/>
        </w:rPr>
        <w:t>Empirical</w:t>
      </w:r>
      <w:r>
        <w:rPr>
          <w:b/>
          <w:spacing w:val="40"/>
          <w:sz w:val="24"/>
        </w:rPr>
        <w:t> </w:t>
      </w:r>
      <w:r>
        <w:rPr>
          <w:b/>
          <w:sz w:val="24"/>
        </w:rPr>
        <w:t>channel.</w:t>
      </w:r>
      <w:r>
        <w:rPr>
          <w:b/>
          <w:spacing w:val="40"/>
          <w:sz w:val="24"/>
        </w:rPr>
        <w:t> </w:t>
      </w:r>
      <w:r>
        <w:rPr>
          <w:sz w:val="24"/>
        </w:rPr>
        <w:t>OLS/MLE</w:t>
      </w:r>
      <w:r>
        <w:rPr>
          <w:spacing w:val="40"/>
          <w:sz w:val="24"/>
        </w:rPr>
        <w:t> </w:t>
      </w:r>
      <w:r>
        <w:rPr>
          <w:sz w:val="24"/>
        </w:rPr>
        <w:t>on</w:t>
      </w:r>
      <w:r>
        <w:rPr>
          <w:spacing w:val="40"/>
          <w:sz w:val="24"/>
        </w:rPr>
        <w:t> </w:t>
      </w:r>
      <w:r>
        <w:rPr>
          <w:sz w:val="24"/>
        </w:rPr>
        <w:t>n=81</w:t>
      </w:r>
      <w:r>
        <w:rPr>
          <w:spacing w:val="40"/>
          <w:sz w:val="24"/>
        </w:rPr>
        <w:t> </w:t>
      </w:r>
      <w:r>
        <w:rPr>
          <w:sz w:val="24"/>
        </w:rPr>
        <w:t>episodes</w:t>
      </w:r>
      <w:r>
        <w:rPr>
          <w:spacing w:val="40"/>
          <w:sz w:val="24"/>
        </w:rPr>
        <w:t> </w:t>
      </w:r>
      <w:r>
        <w:rPr>
          <w:sz w:val="24"/>
        </w:rPr>
        <w:t>identifies</w:t>
      </w:r>
      <w:r>
        <w:rPr>
          <w:spacing w:val="40"/>
          <w:sz w:val="24"/>
        </w:rPr>
        <w:t> </w:t>
      </w:r>
      <w:r>
        <w:rPr>
          <w:sz w:val="24"/>
        </w:rPr>
        <w:t>concentration×shock as the primary outflow driver: θ₂=0.2466 (p&lt;0.001, 95% CI [0.1162, 0.3770]) under Specification I, and θ₂=0.3827 (p&lt;0.001) under Specification II (§3.5, Table 2c). The channel survives conditioning on digital adoption D (Table 2b: θ₂=0.209, p=0.0031),</w:t>
      </w:r>
      <w:r>
        <w:rPr>
          <w:spacing w:val="80"/>
          <w:sz w:val="24"/>
        </w:rPr>
        <w:t> </w:t>
      </w:r>
      <w:r>
        <w:rPr>
          <w:sz w:val="24"/>
        </w:rPr>
        <w:t>while</w:t>
      </w:r>
      <w:r>
        <w:rPr>
          <w:spacing w:val="40"/>
          <w:sz w:val="24"/>
        </w:rPr>
        <w:t> </w:t>
      </w:r>
      <w:r>
        <w:rPr>
          <w:sz w:val="24"/>
        </w:rPr>
        <w:t>D’s</w:t>
      </w:r>
      <w:r>
        <w:rPr>
          <w:spacing w:val="40"/>
          <w:sz w:val="24"/>
        </w:rPr>
        <w:t> </w:t>
      </w:r>
      <w:r>
        <w:rPr>
          <w:sz w:val="24"/>
        </w:rPr>
        <w:t>own</w:t>
      </w:r>
      <w:r>
        <w:rPr>
          <w:spacing w:val="40"/>
          <w:sz w:val="24"/>
        </w:rPr>
        <w:t> </w:t>
      </w:r>
      <w:r>
        <w:rPr>
          <w:sz w:val="24"/>
        </w:rPr>
        <w:t>coefficient</w:t>
      </w:r>
      <w:r>
        <w:rPr>
          <w:spacing w:val="40"/>
          <w:sz w:val="24"/>
        </w:rPr>
        <w:t> </w:t>
      </w:r>
      <w:r>
        <w:rPr>
          <w:sz w:val="24"/>
        </w:rPr>
        <w:t>remains</w:t>
      </w:r>
      <w:r>
        <w:rPr>
          <w:spacing w:val="40"/>
          <w:sz w:val="24"/>
        </w:rPr>
        <w:t> </w:t>
      </w:r>
      <w:r>
        <w:rPr>
          <w:sz w:val="24"/>
        </w:rPr>
        <w:t>statistically</w:t>
      </w:r>
      <w:r>
        <w:rPr>
          <w:spacing w:val="40"/>
          <w:sz w:val="24"/>
        </w:rPr>
        <w:t> </w:t>
      </w:r>
      <w:r>
        <w:rPr>
          <w:sz w:val="24"/>
        </w:rPr>
        <w:t>inconclusive</w:t>
      </w:r>
      <w:r>
        <w:rPr>
          <w:spacing w:val="40"/>
          <w:sz w:val="24"/>
        </w:rPr>
        <w:t> </w:t>
      </w:r>
      <w:r>
        <w:rPr>
          <w:sz w:val="24"/>
        </w:rPr>
        <w:t>(θ₃=0.0394,</w:t>
      </w:r>
      <w:r>
        <w:rPr>
          <w:spacing w:val="40"/>
          <w:sz w:val="24"/>
        </w:rPr>
        <w:t> </w:t>
      </w:r>
      <w:r>
        <w:rPr>
          <w:sz w:val="24"/>
        </w:rPr>
        <w:t>p=0.0973). On</w:t>
      </w:r>
      <w:r>
        <w:rPr>
          <w:spacing w:val="80"/>
          <w:w w:val="150"/>
          <w:sz w:val="24"/>
        </w:rPr>
        <w:t> </w:t>
      </w:r>
      <w:r>
        <w:rPr>
          <w:sz w:val="24"/>
        </w:rPr>
        <w:t>the</w:t>
      </w:r>
      <w:r>
        <w:rPr>
          <w:spacing w:val="80"/>
          <w:w w:val="150"/>
          <w:sz w:val="24"/>
        </w:rPr>
        <w:t> </w:t>
      </w:r>
      <w:r>
        <w:rPr>
          <w:sz w:val="24"/>
        </w:rPr>
        <w:t>15-episode</w:t>
      </w:r>
      <w:r>
        <w:rPr>
          <w:spacing w:val="80"/>
          <w:w w:val="150"/>
          <w:sz w:val="24"/>
        </w:rPr>
        <w:t> </w:t>
      </w:r>
      <w:r>
        <w:rPr>
          <w:sz w:val="24"/>
        </w:rPr>
        <w:t>verified-only</w:t>
      </w:r>
      <w:r>
        <w:rPr>
          <w:spacing w:val="80"/>
          <w:w w:val="150"/>
          <w:sz w:val="24"/>
        </w:rPr>
        <w:t> </w:t>
      </w:r>
      <w:r>
        <w:rPr>
          <w:sz w:val="24"/>
        </w:rPr>
        <w:t>subsample</w:t>
      </w:r>
      <w:r>
        <w:rPr>
          <w:spacing w:val="80"/>
          <w:w w:val="150"/>
          <w:sz w:val="24"/>
        </w:rPr>
        <w:t> </w:t>
      </w:r>
      <w:r>
        <w:rPr>
          <w:sz w:val="24"/>
        </w:rPr>
        <w:t>the</w:t>
      </w:r>
      <w:r>
        <w:rPr>
          <w:spacing w:val="80"/>
          <w:w w:val="150"/>
          <w:sz w:val="24"/>
        </w:rPr>
        <w:t> </w:t>
      </w:r>
      <w:r>
        <w:rPr>
          <w:sz w:val="24"/>
        </w:rPr>
        <w:t>channel</w:t>
      </w:r>
      <w:r>
        <w:rPr>
          <w:spacing w:val="80"/>
          <w:w w:val="150"/>
          <w:sz w:val="24"/>
        </w:rPr>
        <w:t> </w:t>
      </w:r>
      <w:r>
        <w:rPr>
          <w:sz w:val="24"/>
        </w:rPr>
        <w:t>is</w:t>
      </w:r>
      <w:r>
        <w:rPr>
          <w:spacing w:val="80"/>
          <w:w w:val="150"/>
          <w:sz w:val="24"/>
        </w:rPr>
        <w:t> </w:t>
      </w:r>
      <w:r>
        <w:rPr>
          <w:sz w:val="24"/>
        </w:rPr>
        <w:t>confirmed</w:t>
      </w:r>
      <w:r>
        <w:rPr>
          <w:spacing w:val="80"/>
          <w:w w:val="150"/>
          <w:sz w:val="24"/>
        </w:rPr>
        <w:t> </w:t>
      </w:r>
      <w:r>
        <w:rPr>
          <w:sz w:val="24"/>
        </w:rPr>
        <w:t>under Specification</w:t>
      </w:r>
      <w:r>
        <w:rPr>
          <w:spacing w:val="80"/>
          <w:sz w:val="24"/>
        </w:rPr>
        <w:t> </w:t>
      </w:r>
      <w:r>
        <w:rPr>
          <w:sz w:val="24"/>
        </w:rPr>
        <w:t>I</w:t>
      </w:r>
      <w:r>
        <w:rPr>
          <w:spacing w:val="80"/>
          <w:sz w:val="24"/>
        </w:rPr>
        <w:t> </w:t>
      </w:r>
      <w:r>
        <w:rPr>
          <w:sz w:val="24"/>
        </w:rPr>
        <w:t>(θ₂=0.7451,</w:t>
      </w:r>
      <w:r>
        <w:rPr>
          <w:spacing w:val="80"/>
          <w:sz w:val="24"/>
        </w:rPr>
        <w:t> </w:t>
      </w:r>
      <w:r>
        <w:rPr>
          <w:sz w:val="24"/>
        </w:rPr>
        <w:t>p=0.0325)</w:t>
      </w:r>
      <w:r>
        <w:rPr>
          <w:spacing w:val="80"/>
          <w:sz w:val="24"/>
        </w:rPr>
        <w:t> </w:t>
      </w:r>
      <w:r>
        <w:rPr>
          <w:sz w:val="24"/>
        </w:rPr>
        <w:t>but</w:t>
      </w:r>
      <w:r>
        <w:rPr>
          <w:spacing w:val="80"/>
          <w:sz w:val="24"/>
        </w:rPr>
        <w:t> </w:t>
      </w:r>
      <w:r>
        <w:rPr>
          <w:sz w:val="24"/>
        </w:rPr>
        <w:t>not</w:t>
      </w:r>
      <w:r>
        <w:rPr>
          <w:spacing w:val="80"/>
          <w:sz w:val="24"/>
        </w:rPr>
        <w:t> </w:t>
      </w:r>
      <w:r>
        <w:rPr>
          <w:sz w:val="24"/>
        </w:rPr>
        <w:t>under</w:t>
      </w:r>
      <w:r>
        <w:rPr>
          <w:spacing w:val="80"/>
          <w:sz w:val="24"/>
        </w:rPr>
        <w:t> </w:t>
      </w:r>
      <w:r>
        <w:rPr>
          <w:sz w:val="24"/>
        </w:rPr>
        <w:t>Specification</w:t>
      </w:r>
      <w:r>
        <w:rPr>
          <w:spacing w:val="80"/>
          <w:sz w:val="24"/>
        </w:rPr>
        <w:t> </w:t>
      </w:r>
      <w:r>
        <w:rPr>
          <w:sz w:val="24"/>
        </w:rPr>
        <w:t>II</w:t>
      </w:r>
      <w:r>
        <w:rPr>
          <w:spacing w:val="80"/>
          <w:sz w:val="24"/>
        </w:rPr>
        <w:t> </w:t>
      </w:r>
      <w:r>
        <w:rPr>
          <w:sz w:val="24"/>
        </w:rPr>
        <w:t>(θ₂=0.085, p=0.774);</w:t>
      </w:r>
      <w:r>
        <w:rPr>
          <w:spacing w:val="40"/>
          <w:sz w:val="24"/>
        </w:rPr>
        <w:t> </w:t>
      </w:r>
      <w:r>
        <w:rPr>
          <w:sz w:val="24"/>
        </w:rPr>
        <w:t>a</w:t>
      </w:r>
      <w:r>
        <w:rPr>
          <w:spacing w:val="40"/>
          <w:sz w:val="24"/>
        </w:rPr>
        <w:t> </w:t>
      </w:r>
      <w:r>
        <w:rPr>
          <w:sz w:val="24"/>
        </w:rPr>
        <w:t>formal</w:t>
      </w:r>
      <w:r>
        <w:rPr>
          <w:spacing w:val="40"/>
          <w:sz w:val="24"/>
        </w:rPr>
        <w:t> </w:t>
      </w:r>
      <w:r>
        <w:rPr>
          <w:sz w:val="24"/>
        </w:rPr>
        <w:t>heterogeneity</w:t>
      </w:r>
      <w:r>
        <w:rPr>
          <w:spacing w:val="40"/>
          <w:sz w:val="24"/>
        </w:rPr>
        <w:t> </w:t>
      </w:r>
      <w:r>
        <w:rPr>
          <w:sz w:val="24"/>
        </w:rPr>
        <w:t>test</w:t>
      </w:r>
      <w:r>
        <w:rPr>
          <w:spacing w:val="40"/>
          <w:sz w:val="24"/>
        </w:rPr>
        <w:t> </w:t>
      </w:r>
      <w:r>
        <w:rPr>
          <w:sz w:val="24"/>
        </w:rPr>
        <w:t>finds</w:t>
      </w:r>
      <w:r>
        <w:rPr>
          <w:spacing w:val="40"/>
          <w:sz w:val="24"/>
        </w:rPr>
        <w:t> </w:t>
      </w:r>
      <w:r>
        <w:rPr>
          <w:sz w:val="24"/>
        </w:rPr>
        <w:t>no</w:t>
      </w:r>
      <w:r>
        <w:rPr>
          <w:spacing w:val="40"/>
          <w:sz w:val="24"/>
        </w:rPr>
        <w:t> </w:t>
      </w:r>
      <w:r>
        <w:rPr>
          <w:sz w:val="24"/>
        </w:rPr>
        <w:t>significant</w:t>
      </w:r>
      <w:r>
        <w:rPr>
          <w:spacing w:val="40"/>
          <w:sz w:val="24"/>
        </w:rPr>
        <w:t> </w:t>
      </w:r>
      <w:r>
        <w:rPr>
          <w:sz w:val="24"/>
        </w:rPr>
        <w:t>difference</w:t>
      </w:r>
      <w:r>
        <w:rPr>
          <w:spacing w:val="40"/>
          <w:sz w:val="24"/>
        </w:rPr>
        <w:t> </w:t>
      </w:r>
      <w:r>
        <w:rPr>
          <w:sz w:val="24"/>
        </w:rPr>
        <w:t>between</w:t>
      </w:r>
      <w:r>
        <w:rPr>
          <w:spacing w:val="40"/>
          <w:sz w:val="24"/>
        </w:rPr>
        <w:t> </w:t>
      </w:r>
      <w:r>
        <w:rPr>
          <w:sz w:val="24"/>
        </w:rPr>
        <w:t>the</w:t>
      </w:r>
    </w:p>
    <w:p>
      <w:pPr>
        <w:pStyle w:val="ListParagraph"/>
        <w:spacing w:after="0" w:line="480" w:lineRule="auto"/>
        <w:jc w:val="left"/>
        <w:rPr>
          <w:sz w:val="24"/>
        </w:rPr>
        <w:sectPr>
          <w:pgSz w:w="11900" w:h="16820"/>
          <w:pgMar w:header="714" w:footer="0" w:top="1340" w:bottom="280" w:left="1700" w:right="1417"/>
        </w:sectPr>
      </w:pPr>
    </w:p>
    <w:p>
      <w:pPr>
        <w:pStyle w:val="BodyText"/>
        <w:spacing w:line="480" w:lineRule="auto" w:before="79"/>
        <w:ind w:right="300"/>
      </w:pPr>
      <w:r>
        <w:rPr/>
        <w:t>verified-only and estimated-only slopes (Appendix E.7, p=0.602), so this divergence</w:t>
      </w:r>
      <w:r>
        <w:rPr>
          <w:spacing w:val="80"/>
        </w:rPr>
        <w:t> </w:t>
      </w:r>
      <w:r>
        <w:rPr/>
        <w:t>is read as a precision limit at the current verified-sample size rather than as evidence against the channel. The 66/81 reconstructed-episode share remains this paper’s most consequential</w:t>
      </w:r>
      <w:r>
        <w:rPr>
          <w:spacing w:val="40"/>
        </w:rPr>
        <w:t> </w:t>
      </w:r>
      <w:r>
        <w:rPr/>
        <w:t>structural</w:t>
      </w:r>
      <w:r>
        <w:rPr>
          <w:spacing w:val="40"/>
        </w:rPr>
        <w:t> </w:t>
      </w:r>
      <w:r>
        <w:rPr/>
        <w:t>limitation</w:t>
      </w:r>
      <w:r>
        <w:rPr>
          <w:spacing w:val="40"/>
        </w:rPr>
        <w:t> </w:t>
      </w:r>
      <w:r>
        <w:rPr/>
        <w:t>(§7.2,</w:t>
      </w:r>
      <w:r>
        <w:rPr>
          <w:spacing w:val="40"/>
        </w:rPr>
        <w:t> </w:t>
      </w:r>
      <w:r>
        <w:rPr/>
        <w:t>L2);</w:t>
      </w:r>
      <w:r>
        <w:rPr>
          <w:spacing w:val="40"/>
        </w:rPr>
        <w:t> </w:t>
      </w:r>
      <w:r>
        <w:rPr/>
        <w:t>five</w:t>
      </w:r>
      <w:r>
        <w:rPr>
          <w:spacing w:val="40"/>
        </w:rPr>
        <w:t> </w:t>
      </w:r>
      <w:r>
        <w:rPr/>
        <w:t>independent</w:t>
      </w:r>
      <w:r>
        <w:rPr>
          <w:spacing w:val="40"/>
        </w:rPr>
        <w:t> </w:t>
      </w:r>
      <w:r>
        <w:rPr/>
        <w:t>robustness</w:t>
      </w:r>
      <w:r>
        <w:rPr>
          <w:spacing w:val="40"/>
        </w:rPr>
        <w:t> </w:t>
      </w:r>
      <w:r>
        <w:rPr/>
        <w:t>checks (§3.4, Appendix E, F) confirm sign stability but cannot substitute for primary-source verification. A power calculation (Appendix E.5) shows that closing this gap through verified-episode</w:t>
      </w:r>
      <w:r>
        <w:rPr>
          <w:spacing w:val="37"/>
        </w:rPr>
        <w:t> </w:t>
      </w:r>
      <w:r>
        <w:rPr/>
        <w:t>collection</w:t>
      </w:r>
      <w:r>
        <w:rPr>
          <w:spacing w:val="37"/>
        </w:rPr>
        <w:t> </w:t>
      </w:r>
      <w:r>
        <w:rPr/>
        <w:t>alone</w:t>
      </w:r>
      <w:r>
        <w:rPr>
          <w:spacing w:val="37"/>
        </w:rPr>
        <w:t> </w:t>
      </w:r>
      <w:r>
        <w:rPr/>
        <w:t>is infeasible; a random-effects shrinkage estimator computed</w:t>
      </w:r>
      <w:r>
        <w:rPr>
          <w:spacing w:val="40"/>
        </w:rPr>
        <w:t> </w:t>
      </w:r>
      <w:r>
        <w:rPr/>
        <w:t>in</w:t>
      </w:r>
      <w:r>
        <w:rPr>
          <w:spacing w:val="80"/>
          <w:w w:val="150"/>
        </w:rPr>
        <w:t> </w:t>
      </w:r>
      <w:r>
        <w:rPr/>
        <w:t>§3.4</w:t>
      </w:r>
      <w:r>
        <w:rPr>
          <w:spacing w:val="40"/>
        </w:rPr>
        <w:t> </w:t>
      </w:r>
      <w:r>
        <w:rPr/>
        <w:t>offers</w:t>
      </w:r>
      <w:r>
        <w:rPr>
          <w:spacing w:val="40"/>
        </w:rPr>
        <w:t> </w:t>
      </w:r>
      <w:r>
        <w:rPr/>
        <w:t>a</w:t>
      </w:r>
      <w:r>
        <w:rPr>
          <w:spacing w:val="40"/>
        </w:rPr>
        <w:t> </w:t>
      </w:r>
      <w:r>
        <w:rPr/>
        <w:t>data-driven</w:t>
      </w:r>
      <w:r>
        <w:rPr>
          <w:spacing w:val="40"/>
        </w:rPr>
        <w:t> </w:t>
      </w:r>
      <w:r>
        <w:rPr/>
        <w:t>middle</w:t>
      </w:r>
      <w:r>
        <w:rPr>
          <w:spacing w:val="40"/>
        </w:rPr>
        <w:t> </w:t>
      </w:r>
      <w:r>
        <w:rPr/>
        <w:t>path</w:t>
      </w:r>
      <w:r>
        <w:rPr>
          <w:spacing w:val="40"/>
        </w:rPr>
        <w:t> </w:t>
      </w:r>
      <w:r>
        <w:rPr/>
        <w:t>(pooled</w:t>
      </w:r>
      <w:r>
        <w:rPr>
          <w:spacing w:val="40"/>
        </w:rPr>
        <w:t> </w:t>
      </w:r>
      <w:r>
        <w:rPr/>
        <w:t>θ₂=0.3734,</w:t>
      </w:r>
      <w:r>
        <w:rPr>
          <w:spacing w:val="40"/>
        </w:rPr>
        <w:t> </w:t>
      </w:r>
      <w:r>
        <w:rPr/>
        <w:t>p=0.185)</w:t>
      </w:r>
      <w:r>
        <w:rPr>
          <w:spacing w:val="40"/>
        </w:rPr>
        <w:t> </w:t>
      </w:r>
      <w:r>
        <w:rPr/>
        <w:t>without</w:t>
      </w:r>
      <w:r>
        <w:rPr>
          <w:spacing w:val="40"/>
        </w:rPr>
        <w:t> </w:t>
      </w:r>
      <w:r>
        <w:rPr/>
        <w:t>requiring</w:t>
      </w:r>
      <w:r>
        <w:rPr>
          <w:spacing w:val="40"/>
        </w:rPr>
        <w:t> </w:t>
      </w:r>
      <w:r>
        <w:rPr/>
        <w:t>new</w:t>
      </w:r>
      <w:r>
        <w:rPr>
          <w:spacing w:val="40"/>
        </w:rPr>
        <w:t> </w:t>
      </w:r>
      <w:r>
        <w:rPr/>
        <w:t>episodes,</w:t>
      </w:r>
      <w:r>
        <w:rPr>
          <w:spacing w:val="40"/>
        </w:rPr>
        <w:t> </w:t>
      </w:r>
      <w:r>
        <w:rPr/>
        <w:t>though</w:t>
      </w:r>
      <w:r>
        <w:rPr>
          <w:spacing w:val="40"/>
        </w:rPr>
        <w:t> </w:t>
      </w:r>
      <w:r>
        <w:rPr/>
        <w:t>it</w:t>
      </w:r>
      <w:r>
        <w:rPr>
          <w:spacing w:val="40"/>
        </w:rPr>
        <w:t> </w:t>
      </w:r>
      <w:r>
        <w:rPr/>
        <w:t>does</w:t>
      </w:r>
      <w:r>
        <w:rPr>
          <w:spacing w:val="40"/>
        </w:rPr>
        <w:t> </w:t>
      </w:r>
      <w:r>
        <w:rPr/>
        <w:t>not</w:t>
      </w:r>
      <w:r>
        <w:rPr>
          <w:spacing w:val="40"/>
        </w:rPr>
        <w:t> </w:t>
      </w:r>
      <w:r>
        <w:rPr/>
        <w:t>itself</w:t>
      </w:r>
      <w:r>
        <w:rPr>
          <w:spacing w:val="40"/>
        </w:rPr>
        <w:t> </w:t>
      </w:r>
      <w:r>
        <w:rPr/>
        <w:t>resolve</w:t>
      </w:r>
      <w:r>
        <w:rPr>
          <w:spacing w:val="40"/>
        </w:rPr>
        <w:t> </w:t>
      </w:r>
      <w:r>
        <w:rPr/>
        <w:t>the</w:t>
      </w:r>
      <w:r>
        <w:rPr>
          <w:spacing w:val="40"/>
        </w:rPr>
        <w:t> </w:t>
      </w:r>
      <w:r>
        <w:rPr/>
        <w:t>significance question. All policy conclusions drawn from this channel are accordingly ordinal and conditional,</w:t>
      </w:r>
      <w:r>
        <w:rPr>
          <w:spacing w:val="80"/>
        </w:rPr>
        <w:t> </w:t>
      </w:r>
      <w:r>
        <w:rPr/>
        <w:t>describing</w:t>
      </w:r>
      <w:r>
        <w:rPr>
          <w:spacing w:val="80"/>
        </w:rPr>
        <w:t> </w:t>
      </w:r>
      <w:r>
        <w:rPr/>
        <w:t>relative</w:t>
      </w:r>
      <w:r>
        <w:rPr>
          <w:spacing w:val="80"/>
        </w:rPr>
        <w:t> </w:t>
      </w:r>
      <w:r>
        <w:rPr/>
        <w:t>design</w:t>
      </w:r>
      <w:r>
        <w:rPr>
          <w:spacing w:val="80"/>
        </w:rPr>
        <w:t> </w:t>
      </w:r>
      <w:r>
        <w:rPr/>
        <w:t>performance</w:t>
      </w:r>
      <w:r>
        <w:rPr>
          <w:spacing w:val="80"/>
        </w:rPr>
        <w:t> </w:t>
      </w:r>
      <w:r>
        <w:rPr/>
        <w:t>rather</w:t>
      </w:r>
      <w:r>
        <w:rPr>
          <w:spacing w:val="80"/>
        </w:rPr>
        <w:t> </w:t>
      </w:r>
      <w:r>
        <w:rPr/>
        <w:t>than</w:t>
      </w:r>
      <w:r>
        <w:rPr>
          <w:spacing w:val="80"/>
        </w:rPr>
        <w:t> </w:t>
      </w:r>
      <w:r>
        <w:rPr/>
        <w:t>absolute</w:t>
      </w:r>
      <w:r>
        <w:rPr>
          <w:spacing w:val="80"/>
        </w:rPr>
        <w:t> </w:t>
      </w:r>
      <w:r>
        <w:rPr/>
        <w:t>crisis </w:t>
      </w:r>
      <w:r>
        <w:rPr>
          <w:spacing w:val="-2"/>
        </w:rPr>
        <w:t>probabilities.</w:t>
      </w:r>
    </w:p>
    <w:p>
      <w:pPr>
        <w:pStyle w:val="ListParagraph"/>
        <w:numPr>
          <w:ilvl w:val="0"/>
          <w:numId w:val="2"/>
        </w:numPr>
        <w:tabs>
          <w:tab w:pos="512" w:val="left" w:leader="none"/>
        </w:tabs>
        <w:spacing w:line="480" w:lineRule="auto" w:before="0" w:after="0"/>
        <w:ind w:left="99" w:right="180" w:firstLine="0"/>
        <w:jc w:val="left"/>
        <w:rPr>
          <w:sz w:val="24"/>
        </w:rPr>
      </w:pPr>
      <w:r>
        <w:rPr>
          <w:b/>
          <w:sz w:val="24"/>
        </w:rPr>
        <w:t>Comparative</w:t>
      </w:r>
      <w:r>
        <w:rPr>
          <w:b/>
          <w:spacing w:val="40"/>
          <w:sz w:val="24"/>
        </w:rPr>
        <w:t> </w:t>
      </w:r>
      <w:r>
        <w:rPr>
          <w:b/>
          <w:sz w:val="24"/>
        </w:rPr>
        <w:t>design</w:t>
      </w:r>
      <w:r>
        <w:rPr>
          <w:b/>
          <w:spacing w:val="40"/>
          <w:sz w:val="24"/>
        </w:rPr>
        <w:t> </w:t>
      </w:r>
      <w:r>
        <w:rPr>
          <w:b/>
          <w:sz w:val="24"/>
        </w:rPr>
        <w:t>ranking.</w:t>
      </w:r>
      <w:r>
        <w:rPr>
          <w:b/>
          <w:spacing w:val="40"/>
          <w:sz w:val="24"/>
        </w:rPr>
        <w:t> </w:t>
      </w:r>
      <w:r>
        <w:rPr>
          <w:sz w:val="24"/>
        </w:rPr>
        <w:t>DynCap+Tiered</w:t>
      </w:r>
      <w:r>
        <w:rPr>
          <w:spacing w:val="40"/>
          <w:sz w:val="24"/>
        </w:rPr>
        <w:t> </w:t>
      </w:r>
      <w:r>
        <w:rPr>
          <w:sz w:val="24"/>
        </w:rPr>
        <w:t>outperforms</w:t>
      </w:r>
      <w:r>
        <w:rPr>
          <w:spacing w:val="40"/>
          <w:sz w:val="24"/>
        </w:rPr>
        <w:t> </w:t>
      </w:r>
      <w:r>
        <w:rPr>
          <w:sz w:val="24"/>
        </w:rPr>
        <w:t>Fixed</w:t>
      </w:r>
      <w:r>
        <w:rPr>
          <w:spacing w:val="40"/>
          <w:sz w:val="24"/>
        </w:rPr>
        <w:t> </w:t>
      </w:r>
      <w:r>
        <w:rPr>
          <w:sz w:val="24"/>
        </w:rPr>
        <w:t>Limit</w:t>
      </w:r>
      <w:r>
        <w:rPr>
          <w:spacing w:val="40"/>
          <w:sz w:val="24"/>
        </w:rPr>
        <w:t> </w:t>
      </w:r>
      <w:r>
        <w:rPr>
          <w:sz w:val="24"/>
        </w:rPr>
        <w:t>and Unconstrained</w:t>
      </w:r>
      <w:r>
        <w:rPr>
          <w:spacing w:val="40"/>
          <w:sz w:val="24"/>
        </w:rPr>
        <w:t> </w:t>
      </w:r>
      <w:r>
        <w:rPr>
          <w:sz w:val="24"/>
        </w:rPr>
        <w:t>CBDC</w:t>
      </w:r>
      <w:r>
        <w:rPr>
          <w:spacing w:val="40"/>
          <w:sz w:val="24"/>
        </w:rPr>
        <w:t> </w:t>
      </w:r>
      <w:r>
        <w:rPr>
          <w:sz w:val="24"/>
        </w:rPr>
        <w:t>within</w:t>
      </w:r>
      <w:r>
        <w:rPr>
          <w:spacing w:val="40"/>
          <w:sz w:val="24"/>
        </w:rPr>
        <w:t> </w:t>
      </w:r>
      <w:r>
        <w:rPr>
          <w:sz w:val="24"/>
        </w:rPr>
        <w:t>the</w:t>
      </w:r>
      <w:r>
        <w:rPr>
          <w:spacing w:val="40"/>
          <w:sz w:val="24"/>
        </w:rPr>
        <w:t> </w:t>
      </w:r>
      <w:r>
        <w:rPr>
          <w:sz w:val="24"/>
        </w:rPr>
        <w:t>common</w:t>
      </w:r>
      <w:r>
        <w:rPr>
          <w:spacing w:val="40"/>
          <w:sz w:val="24"/>
        </w:rPr>
        <w:t> </w:t>
      </w:r>
      <w:r>
        <w:rPr>
          <w:sz w:val="24"/>
        </w:rPr>
        <w:t>LOLR-enabled</w:t>
      </w:r>
      <w:r>
        <w:rPr>
          <w:spacing w:val="40"/>
          <w:sz w:val="24"/>
        </w:rPr>
        <w:t> </w:t>
      </w:r>
      <w:r>
        <w:rPr>
          <w:sz w:val="24"/>
        </w:rPr>
        <w:t>simulation</w:t>
      </w:r>
      <w:r>
        <w:rPr>
          <w:spacing w:val="40"/>
          <w:sz w:val="24"/>
        </w:rPr>
        <w:t> </w:t>
      </w:r>
      <w:r>
        <w:rPr>
          <w:sz w:val="24"/>
        </w:rPr>
        <w:t>(§4–5).</w:t>
      </w:r>
      <w:r>
        <w:rPr>
          <w:spacing w:val="40"/>
          <w:sz w:val="24"/>
        </w:rPr>
        <w:t> </w:t>
      </w:r>
      <w:r>
        <w:rPr>
          <w:sz w:val="24"/>
        </w:rPr>
        <w:t>The ranking</w:t>
      </w:r>
      <w:r>
        <w:rPr>
          <w:spacing w:val="40"/>
          <w:sz w:val="24"/>
        </w:rPr>
        <w:t> </w:t>
      </w:r>
      <w:r>
        <w:rPr>
          <w:sz w:val="24"/>
        </w:rPr>
        <w:t>is</w:t>
      </w:r>
      <w:r>
        <w:rPr>
          <w:spacing w:val="40"/>
          <w:sz w:val="24"/>
        </w:rPr>
        <w:t> </w:t>
      </w:r>
      <w:r>
        <w:rPr>
          <w:sz w:val="24"/>
        </w:rPr>
        <w:t>invariant</w:t>
      </w:r>
      <w:r>
        <w:rPr>
          <w:spacing w:val="40"/>
          <w:sz w:val="24"/>
        </w:rPr>
        <w:t> </w:t>
      </w:r>
      <w:r>
        <w:rPr>
          <w:sz w:val="24"/>
        </w:rPr>
        <w:t>across</w:t>
      </w:r>
      <w:r>
        <w:rPr>
          <w:spacing w:val="40"/>
          <w:sz w:val="24"/>
        </w:rPr>
        <w:t> </w:t>
      </w:r>
      <w:r>
        <w:rPr>
          <w:sz w:val="24"/>
        </w:rPr>
        <w:t>bootstrap</w:t>
      </w:r>
      <w:r>
        <w:rPr>
          <w:spacing w:val="40"/>
          <w:sz w:val="24"/>
        </w:rPr>
        <w:t> </w:t>
      </w:r>
      <w:r>
        <w:rPr>
          <w:sz w:val="24"/>
        </w:rPr>
        <w:t>refits,</w:t>
      </w:r>
      <w:r>
        <w:rPr>
          <w:spacing w:val="40"/>
          <w:sz w:val="24"/>
        </w:rPr>
        <w:t> </w:t>
      </w:r>
      <w:r>
        <w:rPr>
          <w:sz w:val="24"/>
        </w:rPr>
        <w:t>parameter</w:t>
      </w:r>
      <w:r>
        <w:rPr>
          <w:spacing w:val="39"/>
          <w:sz w:val="24"/>
        </w:rPr>
        <w:t> </w:t>
      </w:r>
      <w:r>
        <w:rPr>
          <w:sz w:val="24"/>
        </w:rPr>
        <w:t>perturbations</w:t>
      </w:r>
      <w:r>
        <w:rPr>
          <w:spacing w:val="40"/>
          <w:sz w:val="24"/>
        </w:rPr>
        <w:t> </w:t>
      </w:r>
      <w:r>
        <w:rPr>
          <w:sz w:val="24"/>
        </w:rPr>
        <w:t>at</w:t>
      </w:r>
      <w:r>
        <w:rPr>
          <w:spacing w:val="40"/>
          <w:sz w:val="24"/>
        </w:rPr>
        <w:t> </w:t>
      </w:r>
      <w:r>
        <w:rPr>
          <w:sz w:val="24"/>
        </w:rPr>
        <w:t>both</w:t>
      </w:r>
      <w:r>
        <w:rPr>
          <w:spacing w:val="40"/>
          <w:sz w:val="24"/>
        </w:rPr>
        <w:t> </w:t>
      </w:r>
      <w:r>
        <w:rPr>
          <w:sz w:val="24"/>
        </w:rPr>
        <w:t>a</w:t>
      </w:r>
      <w:r>
        <w:rPr>
          <w:spacing w:val="80"/>
          <w:sz w:val="24"/>
        </w:rPr>
        <w:t> </w:t>
      </w:r>
      <w:r>
        <w:rPr>
          <w:sz w:val="24"/>
        </w:rPr>
        <w:t>±20% and</w:t>
      </w:r>
      <w:r>
        <w:rPr>
          <w:spacing w:val="40"/>
          <w:sz w:val="24"/>
        </w:rPr>
        <w:t> </w:t>
      </w:r>
      <w:r>
        <w:rPr>
          <w:sz w:val="24"/>
        </w:rPr>
        <w:t>a</w:t>
      </w:r>
      <w:r>
        <w:rPr>
          <w:spacing w:val="40"/>
          <w:sz w:val="24"/>
        </w:rPr>
        <w:t> </w:t>
      </w:r>
      <w:r>
        <w:rPr>
          <w:sz w:val="24"/>
        </w:rPr>
        <w:t>widened</w:t>
      </w:r>
      <w:r>
        <w:rPr>
          <w:spacing w:val="80"/>
          <w:sz w:val="24"/>
        </w:rPr>
        <w:t> </w:t>
      </w:r>
      <w:r>
        <w:rPr>
          <w:sz w:val="24"/>
        </w:rPr>
        <w:t>±40%</w:t>
      </w:r>
      <w:r>
        <w:rPr>
          <w:spacing w:val="40"/>
          <w:sz w:val="24"/>
        </w:rPr>
        <w:t> </w:t>
      </w:r>
      <w:r>
        <w:rPr>
          <w:sz w:val="24"/>
        </w:rPr>
        <w:t>envelope</w:t>
      </w:r>
      <w:r>
        <w:rPr>
          <w:spacing w:val="40"/>
          <w:sz w:val="24"/>
        </w:rPr>
        <w:t> </w:t>
      </w:r>
      <w:r>
        <w:rPr>
          <w:sz w:val="24"/>
        </w:rPr>
        <w:t>(§5.5,</w:t>
      </w:r>
      <w:r>
        <w:rPr>
          <w:spacing w:val="40"/>
          <w:sz w:val="24"/>
        </w:rPr>
        <w:t> </w:t>
      </w:r>
      <w:r>
        <w:rPr>
          <w:sz w:val="24"/>
        </w:rPr>
        <w:t>item</w:t>
      </w:r>
      <w:r>
        <w:rPr>
          <w:spacing w:val="40"/>
          <w:sz w:val="24"/>
        </w:rPr>
        <w:t> </w:t>
      </w:r>
      <w:r>
        <w:rPr>
          <w:sz w:val="24"/>
        </w:rPr>
        <w:t>ii-a),</w:t>
      </w:r>
      <w:r>
        <w:rPr>
          <w:spacing w:val="40"/>
          <w:sz w:val="24"/>
        </w:rPr>
        <w:t> </w:t>
      </w:r>
      <w:r>
        <w:rPr>
          <w:sz w:val="24"/>
        </w:rPr>
        <w:t>welfare</w:t>
      </w:r>
      <w:r>
        <w:rPr>
          <w:spacing w:val="40"/>
          <w:sz w:val="24"/>
        </w:rPr>
        <w:t> </w:t>
      </w:r>
      <w:r>
        <w:rPr>
          <w:sz w:val="24"/>
        </w:rPr>
        <w:t>weightings,</w:t>
      </w:r>
      <w:r>
        <w:rPr>
          <w:spacing w:val="40"/>
          <w:sz w:val="24"/>
        </w:rPr>
        <w:t> </w:t>
      </w:r>
      <w:r>
        <w:rPr>
          <w:sz w:val="24"/>
        </w:rPr>
        <w:t>and</w:t>
      </w:r>
      <w:r>
        <w:rPr>
          <w:spacing w:val="40"/>
          <w:sz w:val="24"/>
        </w:rPr>
        <w:t> </w:t>
      </w:r>
      <w:r>
        <w:rPr>
          <w:sz w:val="24"/>
        </w:rPr>
        <w:t>the</w:t>
      </w:r>
      <w:r>
        <w:rPr>
          <w:spacing w:val="40"/>
          <w:sz w:val="24"/>
        </w:rPr>
        <w:t> </w:t>
      </w:r>
      <w:r>
        <w:rPr>
          <w:sz w:val="24"/>
        </w:rPr>
        <w:t>full simulated</w:t>
      </w:r>
      <w:r>
        <w:rPr>
          <w:spacing w:val="80"/>
          <w:sz w:val="24"/>
        </w:rPr>
        <w:t> </w:t>
      </w:r>
      <w:r>
        <w:rPr>
          <w:sz w:val="24"/>
        </w:rPr>
        <w:t>range</w:t>
      </w:r>
      <w:r>
        <w:rPr>
          <w:spacing w:val="80"/>
          <w:sz w:val="24"/>
        </w:rPr>
        <w:t> </w:t>
      </w:r>
      <w:r>
        <w:rPr>
          <w:sz w:val="24"/>
        </w:rPr>
        <w:t>of</w:t>
      </w:r>
      <w:r>
        <w:rPr>
          <w:spacing w:val="80"/>
          <w:sz w:val="24"/>
        </w:rPr>
        <w:t> </w:t>
      </w:r>
      <w:r>
        <w:rPr>
          <w:sz w:val="24"/>
        </w:rPr>
        <w:t>digital</w:t>
      </w:r>
      <w:r>
        <w:rPr>
          <w:spacing w:val="80"/>
          <w:sz w:val="24"/>
        </w:rPr>
        <w:t> </w:t>
      </w:r>
      <w:r>
        <w:rPr>
          <w:sz w:val="24"/>
        </w:rPr>
        <w:t>adoption</w:t>
      </w:r>
      <w:r>
        <w:rPr>
          <w:spacing w:val="80"/>
          <w:sz w:val="24"/>
        </w:rPr>
        <w:t> </w:t>
      </w:r>
      <w:r>
        <w:rPr>
          <w:sz w:val="24"/>
        </w:rPr>
        <w:t>(§5.5,</w:t>
      </w:r>
      <w:r>
        <w:rPr>
          <w:spacing w:val="80"/>
          <w:sz w:val="24"/>
        </w:rPr>
        <w:t> </w:t>
      </w:r>
      <w:r>
        <w:rPr>
          <w:sz w:val="24"/>
        </w:rPr>
        <w:t>Table</w:t>
      </w:r>
      <w:r>
        <w:rPr>
          <w:spacing w:val="80"/>
          <w:sz w:val="24"/>
        </w:rPr>
        <w:t> </w:t>
      </w:r>
      <w:r>
        <w:rPr>
          <w:sz w:val="24"/>
        </w:rPr>
        <w:t>5c),</w:t>
      </w:r>
      <w:r>
        <w:rPr>
          <w:spacing w:val="80"/>
          <w:sz w:val="24"/>
        </w:rPr>
        <w:t> </w:t>
      </w:r>
      <w:r>
        <w:rPr>
          <w:sz w:val="24"/>
        </w:rPr>
        <w:t>with</w:t>
      </w:r>
      <w:r>
        <w:rPr>
          <w:spacing w:val="80"/>
          <w:sz w:val="24"/>
        </w:rPr>
        <w:t> </w:t>
      </w:r>
      <w:r>
        <w:rPr>
          <w:sz w:val="24"/>
        </w:rPr>
        <w:t>DynCap+Tiered’s</w:t>
      </w:r>
      <w:r>
        <w:rPr>
          <w:spacing w:val="40"/>
          <w:sz w:val="24"/>
        </w:rPr>
        <w:t> </w:t>
      </w:r>
      <w:r>
        <w:rPr>
          <w:sz w:val="24"/>
        </w:rPr>
        <w:t>advantage</w:t>
      </w:r>
      <w:r>
        <w:rPr>
          <w:spacing w:val="80"/>
          <w:sz w:val="24"/>
        </w:rPr>
        <w:t> </w:t>
      </w:r>
      <w:r>
        <w:rPr>
          <w:sz w:val="24"/>
        </w:rPr>
        <w:t>over</w:t>
      </w:r>
      <w:r>
        <w:rPr>
          <w:spacing w:val="80"/>
          <w:sz w:val="24"/>
        </w:rPr>
        <w:t> </w:t>
      </w:r>
      <w:r>
        <w:rPr>
          <w:sz w:val="24"/>
        </w:rPr>
        <w:t>Unconstrained</w:t>
      </w:r>
      <w:r>
        <w:rPr>
          <w:spacing w:val="80"/>
          <w:sz w:val="24"/>
        </w:rPr>
        <w:t> </w:t>
      </w:r>
      <w:r>
        <w:rPr>
          <w:sz w:val="24"/>
        </w:rPr>
        <w:t>widening</w:t>
      </w:r>
      <w:r>
        <w:rPr>
          <w:spacing w:val="80"/>
          <w:sz w:val="24"/>
        </w:rPr>
        <w:t> </w:t>
      </w:r>
      <w:r>
        <w:rPr>
          <w:sz w:val="24"/>
        </w:rPr>
        <w:t>from</w:t>
      </w:r>
      <w:r>
        <w:rPr>
          <w:spacing w:val="80"/>
          <w:sz w:val="24"/>
        </w:rPr>
        <w:t> </w:t>
      </w:r>
      <w:r>
        <w:rPr>
          <w:sz w:val="24"/>
        </w:rPr>
        <w:t>16.2pp</w:t>
      </w:r>
      <w:r>
        <w:rPr>
          <w:spacing w:val="80"/>
          <w:sz w:val="24"/>
        </w:rPr>
        <w:t> </w:t>
      </w:r>
      <w:r>
        <w:rPr>
          <w:sz w:val="24"/>
        </w:rPr>
        <w:t>at</w:t>
      </w:r>
      <w:r>
        <w:rPr>
          <w:spacing w:val="80"/>
          <w:sz w:val="24"/>
        </w:rPr>
        <w:t> </w:t>
      </w:r>
      <w:r>
        <w:rPr>
          <w:sz w:val="24"/>
        </w:rPr>
        <w:t>low</w:t>
      </w:r>
      <w:r>
        <w:rPr>
          <w:spacing w:val="80"/>
          <w:sz w:val="24"/>
        </w:rPr>
        <w:t> </w:t>
      </w:r>
      <w:r>
        <w:rPr>
          <w:sz w:val="24"/>
        </w:rPr>
        <w:t>digital</w:t>
      </w:r>
      <w:r>
        <w:rPr>
          <w:spacing w:val="80"/>
          <w:sz w:val="24"/>
        </w:rPr>
        <w:t> </w:t>
      </w:r>
      <w:r>
        <w:rPr>
          <w:sz w:val="24"/>
        </w:rPr>
        <w:t>adoption</w:t>
      </w:r>
      <w:r>
        <w:rPr>
          <w:spacing w:val="80"/>
          <w:sz w:val="24"/>
        </w:rPr>
        <w:t> </w:t>
      </w:r>
      <w:r>
        <w:rPr>
          <w:sz w:val="24"/>
        </w:rPr>
        <w:t>to</w:t>
      </w:r>
    </w:p>
    <w:p>
      <w:pPr>
        <w:pStyle w:val="BodyText"/>
        <w:spacing w:line="480" w:lineRule="auto"/>
      </w:pPr>
      <w:r>
        <w:rPr/>
        <w:t>27.3pp</w:t>
      </w:r>
      <w:r>
        <w:rPr>
          <w:spacing w:val="69"/>
        </w:rPr>
        <w:t> </w:t>
      </w:r>
      <w:r>
        <w:rPr/>
        <w:t>at</w:t>
      </w:r>
      <w:r>
        <w:rPr>
          <w:spacing w:val="72"/>
        </w:rPr>
        <w:t> </w:t>
      </w:r>
      <w:r>
        <w:rPr/>
        <w:t>high</w:t>
      </w:r>
      <w:r>
        <w:rPr>
          <w:spacing w:val="69"/>
        </w:rPr>
        <w:t> </w:t>
      </w:r>
      <w:r>
        <w:rPr/>
        <w:t>digital</w:t>
      </w:r>
      <w:r>
        <w:rPr>
          <w:spacing w:val="70"/>
        </w:rPr>
        <w:t> </w:t>
      </w:r>
      <w:r>
        <w:rPr/>
        <w:t>adoption.</w:t>
      </w:r>
      <w:r>
        <w:rPr>
          <w:spacing w:val="72"/>
        </w:rPr>
        <w:t> </w:t>
      </w:r>
      <w:r>
        <w:rPr/>
        <w:t>This</w:t>
      </w:r>
      <w:r>
        <w:rPr>
          <w:spacing w:val="71"/>
        </w:rPr>
        <w:t> </w:t>
      </w:r>
      <w:r>
        <w:rPr/>
        <w:t>ranking</w:t>
      </w:r>
      <w:r>
        <w:rPr>
          <w:spacing w:val="69"/>
        </w:rPr>
        <w:t> </w:t>
      </w:r>
      <w:r>
        <w:rPr/>
        <w:t>is</w:t>
      </w:r>
      <w:r>
        <w:rPr>
          <w:spacing w:val="69"/>
        </w:rPr>
        <w:t> </w:t>
      </w:r>
      <w:r>
        <w:rPr/>
        <w:t>qualified</w:t>
      </w:r>
      <w:r>
        <w:rPr>
          <w:spacing w:val="69"/>
        </w:rPr>
        <w:t> </w:t>
      </w:r>
      <w:r>
        <w:rPr/>
        <w:t>as</w:t>
      </w:r>
      <w:r>
        <w:rPr>
          <w:spacing w:val="71"/>
        </w:rPr>
        <w:t> </w:t>
      </w:r>
      <w:r>
        <w:rPr/>
        <w:t>“partial</w:t>
      </w:r>
      <w:r>
        <w:rPr>
          <w:spacing w:val="70"/>
        </w:rPr>
        <w:t> </w:t>
      </w:r>
      <w:r>
        <w:rPr/>
        <w:t>validation” because</w:t>
      </w:r>
      <w:r>
        <w:rPr>
          <w:spacing w:val="40"/>
        </w:rPr>
        <w:t> </w:t>
      </w:r>
      <w:r>
        <w:rPr/>
        <w:t>of</w:t>
      </w:r>
      <w:r>
        <w:rPr>
          <w:spacing w:val="40"/>
        </w:rPr>
        <w:t> </w:t>
      </w:r>
      <w:r>
        <w:rPr/>
        <w:t>below-base-rate</w:t>
      </w:r>
      <w:r>
        <w:rPr>
          <w:spacing w:val="40"/>
        </w:rPr>
        <w:t> </w:t>
      </w:r>
      <w:r>
        <w:rPr/>
        <w:t>LOO/k-fold</w:t>
      </w:r>
      <w:r>
        <w:rPr>
          <w:spacing w:val="40"/>
        </w:rPr>
        <w:t> </w:t>
      </w:r>
      <w:r>
        <w:rPr/>
        <w:t>classification</w:t>
      </w:r>
      <w:r>
        <w:rPr>
          <w:spacing w:val="40"/>
        </w:rPr>
        <w:t> </w:t>
      </w:r>
      <w:r>
        <w:rPr/>
        <w:t>accuracy;</w:t>
      </w:r>
      <w:r>
        <w:rPr>
          <w:spacing w:val="80"/>
        </w:rPr>
        <w:t> </w:t>
      </w:r>
      <w:r>
        <w:rPr/>
        <w:t>§5.4</w:t>
      </w:r>
      <w:r>
        <w:rPr>
          <w:spacing w:val="40"/>
        </w:rPr>
        <w:t> </w:t>
      </w:r>
      <w:r>
        <w:rPr/>
        <w:t>sets</w:t>
      </w:r>
      <w:r>
        <w:rPr>
          <w:spacing w:val="40"/>
        </w:rPr>
        <w:t> </w:t>
      </w:r>
      <w:r>
        <w:rPr/>
        <w:t>out</w:t>
      </w:r>
      <w:r>
        <w:rPr>
          <w:spacing w:val="40"/>
        </w:rPr>
        <w:t> </w:t>
      </w:r>
      <w:r>
        <w:rPr/>
        <w:t>why ordinal ranking stability does not require calibrated point forecasts.</w:t>
      </w:r>
    </w:p>
    <w:p>
      <w:pPr>
        <w:pStyle w:val="ListParagraph"/>
        <w:numPr>
          <w:ilvl w:val="0"/>
          <w:numId w:val="2"/>
        </w:numPr>
        <w:tabs>
          <w:tab w:pos="543" w:val="left" w:leader="none"/>
        </w:tabs>
        <w:spacing w:line="274" w:lineRule="exact" w:before="0" w:after="0"/>
        <w:ind w:left="543" w:right="0" w:hanging="444"/>
        <w:jc w:val="left"/>
        <w:rPr>
          <w:sz w:val="24"/>
        </w:rPr>
      </w:pPr>
      <w:r>
        <w:rPr>
          <w:b/>
          <w:sz w:val="24"/>
        </w:rPr>
        <w:t>Holding-limit</w:t>
      </w:r>
      <w:r>
        <w:rPr>
          <w:b/>
          <w:spacing w:val="13"/>
          <w:sz w:val="24"/>
        </w:rPr>
        <w:t> </w:t>
      </w:r>
      <w:r>
        <w:rPr>
          <w:b/>
          <w:sz w:val="24"/>
        </w:rPr>
        <w:t>analysis.</w:t>
      </w:r>
      <w:r>
        <w:rPr>
          <w:b/>
          <w:spacing w:val="18"/>
          <w:sz w:val="24"/>
        </w:rPr>
        <w:t> </w:t>
      </w:r>
      <w:r>
        <w:rPr>
          <w:sz w:val="24"/>
        </w:rPr>
        <w:t>At</w:t>
      </w:r>
      <w:r>
        <w:rPr>
          <w:spacing w:val="15"/>
          <w:sz w:val="24"/>
        </w:rPr>
        <w:t> </w:t>
      </w:r>
      <w:r>
        <w:rPr>
          <w:sz w:val="24"/>
        </w:rPr>
        <w:t>shock=0.75,</w:t>
      </w:r>
      <w:r>
        <w:rPr>
          <w:spacing w:val="17"/>
          <w:sz w:val="24"/>
        </w:rPr>
        <w:t> </w:t>
      </w:r>
      <w:r>
        <w:rPr>
          <w:sz w:val="24"/>
        </w:rPr>
        <w:t>the</w:t>
      </w:r>
      <w:r>
        <w:rPr>
          <w:spacing w:val="14"/>
          <w:sz w:val="24"/>
        </w:rPr>
        <w:t> </w:t>
      </w:r>
      <w:r>
        <w:rPr>
          <w:sz w:val="24"/>
        </w:rPr>
        <w:t>coarse</w:t>
      </w:r>
      <w:r>
        <w:rPr>
          <w:spacing w:val="14"/>
          <w:sz w:val="24"/>
        </w:rPr>
        <w:t> </w:t>
      </w:r>
      <w:r>
        <w:rPr>
          <w:sz w:val="24"/>
        </w:rPr>
        <w:t>cross-country</w:t>
      </w:r>
      <w:r>
        <w:rPr>
          <w:spacing w:val="13"/>
          <w:sz w:val="24"/>
        </w:rPr>
        <w:t> </w:t>
      </w:r>
      <w:r>
        <w:rPr>
          <w:sz w:val="24"/>
        </w:rPr>
        <w:t>grid</w:t>
      </w:r>
      <w:r>
        <w:rPr>
          <w:spacing w:val="17"/>
          <w:sz w:val="24"/>
        </w:rPr>
        <w:t> </w:t>
      </w:r>
      <w:r>
        <w:rPr>
          <w:spacing w:val="-2"/>
          <w:sz w:val="24"/>
        </w:rPr>
        <w:t>identifies</w:t>
      </w:r>
    </w:p>
    <w:p>
      <w:pPr>
        <w:pStyle w:val="BodyText"/>
        <w:spacing w:line="480" w:lineRule="auto" w:before="270"/>
        <w:ind w:right="382"/>
        <w:jc w:val="both"/>
      </w:pPr>
      <w:r>
        <w:rPr/>
        <w:t>7.5M</w:t>
      </w:r>
      <w:r>
        <w:rPr>
          <w:spacing w:val="-1"/>
        </w:rPr>
        <w:t> </w:t>
      </w:r>
      <w:r>
        <w:rPr/>
        <w:t>KRW as</w:t>
      </w:r>
      <w:r>
        <w:rPr>
          <w:spacing w:val="-1"/>
        </w:rPr>
        <w:t> </w:t>
      </w:r>
      <w:r>
        <w:rPr/>
        <w:t>a benchmark,</w:t>
      </w:r>
      <w:r>
        <w:rPr>
          <w:spacing w:val="-1"/>
        </w:rPr>
        <w:t> </w:t>
      </w:r>
      <w:r>
        <w:rPr/>
        <w:t>and</w:t>
      </w:r>
      <w:r>
        <w:rPr>
          <w:spacing w:val="-1"/>
        </w:rPr>
        <w:t> </w:t>
      </w:r>
      <w:r>
        <w:rPr/>
        <w:t>the</w:t>
      </w:r>
      <w:r>
        <w:rPr>
          <w:spacing w:val="-2"/>
        </w:rPr>
        <w:t> </w:t>
      </w:r>
      <w:r>
        <w:rPr/>
        <w:t>Korea</w:t>
      </w:r>
      <w:r>
        <w:rPr>
          <w:spacing w:val="-2"/>
        </w:rPr>
        <w:t> </w:t>
      </w:r>
      <w:r>
        <w:rPr/>
        <w:t>fine</w:t>
      </w:r>
      <w:r>
        <w:rPr>
          <w:spacing w:val="-2"/>
        </w:rPr>
        <w:t> </w:t>
      </w:r>
      <w:r>
        <w:rPr/>
        <w:t>grid</w:t>
      </w:r>
      <w:r>
        <w:rPr>
          <w:spacing w:val="-1"/>
        </w:rPr>
        <w:t> </w:t>
      </w:r>
      <w:r>
        <w:rPr/>
        <w:t>identifies</w:t>
      </w:r>
      <w:r>
        <w:rPr>
          <w:spacing w:val="-1"/>
        </w:rPr>
        <w:t> </w:t>
      </w:r>
      <w:r>
        <w:rPr/>
        <w:t>a</w:t>
      </w:r>
      <w:r>
        <w:rPr>
          <w:spacing w:val="-2"/>
        </w:rPr>
        <w:t> </w:t>
      </w:r>
      <w:r>
        <w:rPr/>
        <w:t>lower</w:t>
      </w:r>
      <w:r>
        <w:rPr>
          <w:spacing w:val="-2"/>
        </w:rPr>
        <w:t> </w:t>
      </w:r>
      <w:r>
        <w:rPr/>
        <w:t>local</w:t>
      </w:r>
      <w:r>
        <w:rPr>
          <w:spacing w:val="-1"/>
        </w:rPr>
        <w:t> </w:t>
      </w:r>
      <w:r>
        <w:rPr/>
        <w:t>minimum at 5.5M KRW linked to the tier-1 threshold. Both figures are mechanism-diagnostic illustrations</w:t>
      </w:r>
      <w:r>
        <w:rPr>
          <w:spacing w:val="60"/>
        </w:rPr>
        <w:t> </w:t>
      </w:r>
      <w:r>
        <w:rPr/>
        <w:t>of</w:t>
      </w:r>
      <w:r>
        <w:rPr>
          <w:spacing w:val="59"/>
        </w:rPr>
        <w:t> </w:t>
      </w:r>
      <w:r>
        <w:rPr/>
        <w:t>where</w:t>
      </w:r>
      <w:r>
        <w:rPr>
          <w:spacing w:val="62"/>
        </w:rPr>
        <w:t> </w:t>
      </w:r>
      <w:r>
        <w:rPr/>
        <w:t>the</w:t>
      </w:r>
      <w:r>
        <w:rPr>
          <w:spacing w:val="59"/>
        </w:rPr>
        <w:t> </w:t>
      </w:r>
      <w:r>
        <w:rPr/>
        <w:t>estimated</w:t>
      </w:r>
      <w:r>
        <w:rPr>
          <w:spacing w:val="60"/>
        </w:rPr>
        <w:t> </w:t>
      </w:r>
      <w:r>
        <w:rPr/>
        <w:t>channel</w:t>
      </w:r>
      <w:r>
        <w:rPr>
          <w:spacing w:val="61"/>
        </w:rPr>
        <w:t> </w:t>
      </w:r>
      <w:r>
        <w:rPr/>
        <w:t>binds</w:t>
      </w:r>
      <w:r>
        <w:rPr>
          <w:spacing w:val="61"/>
        </w:rPr>
        <w:t> </w:t>
      </w:r>
      <w:r>
        <w:rPr/>
        <w:t>under</w:t>
      </w:r>
      <w:r>
        <w:rPr>
          <w:spacing w:val="62"/>
        </w:rPr>
        <w:t> </w:t>
      </w:r>
      <w:r>
        <w:rPr/>
        <w:t>this</w:t>
      </w:r>
      <w:r>
        <w:rPr>
          <w:spacing w:val="60"/>
        </w:rPr>
        <w:t> </w:t>
      </w:r>
      <w:r>
        <w:rPr/>
        <w:t>paper’s</w:t>
      </w:r>
      <w:r>
        <w:rPr>
          <w:spacing w:val="63"/>
        </w:rPr>
        <w:t> </w:t>
      </w:r>
      <w:r>
        <w:rPr>
          <w:spacing w:val="-2"/>
        </w:rPr>
        <w:t>simulation</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380"/>
        <w:jc w:val="both"/>
      </w:pPr>
      <w:r>
        <w:rPr/>
        <w:t>assumptions, not portable policy prescriptions (§6.7); cross-country feasibility differs sharply, with Korea and Sweden infeasible under either failure-probability target tested, China feasible only under the looser target, and the EU and US feasible under both (§6.6, Table 9).</w:t>
      </w:r>
    </w:p>
    <w:p>
      <w:pPr>
        <w:spacing w:line="240" w:lineRule="auto"/>
        <w:ind w:left="2817" w:right="0" w:firstLine="0"/>
        <w:rPr>
          <w:sz w:val="20"/>
        </w:rPr>
      </w:pPr>
      <w:r>
        <w:rPr>
          <w:sz w:val="20"/>
        </w:rPr>
        <w:drawing>
          <wp:inline distT="0" distB="0" distL="0" distR="0">
            <wp:extent cx="1995318" cy="334517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1995318" cy="3345179"/>
                    </a:xfrm>
                    <a:prstGeom prst="rect">
                      <a:avLst/>
                    </a:prstGeom>
                  </pic:spPr>
                </pic:pic>
              </a:graphicData>
            </a:graphic>
          </wp:inline>
        </w:drawing>
      </w:r>
      <w:r>
        <w:rPr>
          <w:sz w:val="20"/>
        </w:rPr>
      </w:r>
    </w:p>
    <w:p>
      <w:pPr>
        <w:pStyle w:val="Heading2"/>
        <w:spacing w:before="182"/>
        <w:ind w:left="2852" w:hanging="2567"/>
      </w:pPr>
      <w:r>
        <w:rPr>
          <w:i/>
        </w:rPr>
        <w:t>Figure6.</w:t>
      </w:r>
      <w:r>
        <w:rPr>
          <w:i/>
          <w:spacing w:val="-4"/>
        </w:rPr>
        <w:t> </w:t>
      </w:r>
      <w:r>
        <w:rPr>
          <w:i/>
        </w:rPr>
        <w:t>Policy</w:t>
      </w:r>
      <w:r>
        <w:rPr>
          <w:i/>
          <w:spacing w:val="-5"/>
        </w:rPr>
        <w:t> </w:t>
      </w:r>
      <w:r>
        <w:rPr>
          <w:i/>
        </w:rPr>
        <w:t>mechanism</w:t>
      </w:r>
      <w:r>
        <w:rPr>
          <w:i/>
          <w:spacing w:val="-4"/>
        </w:rPr>
        <w:t> </w:t>
      </w:r>
      <w:r>
        <w:rPr>
          <w:i/>
        </w:rPr>
        <w:t>linking</w:t>
      </w:r>
      <w:r>
        <w:rPr>
          <w:i/>
          <w:spacing w:val="-4"/>
        </w:rPr>
        <w:t> </w:t>
      </w:r>
      <w:r>
        <w:rPr>
          <w:i/>
        </w:rPr>
        <w:t>dynamic</w:t>
      </w:r>
      <w:r>
        <w:rPr>
          <w:i/>
          <w:spacing w:val="-5"/>
        </w:rPr>
        <w:t> </w:t>
      </w:r>
      <w:r>
        <w:rPr>
          <w:i/>
        </w:rPr>
        <w:t>holding</w:t>
      </w:r>
      <w:r>
        <w:rPr>
          <w:i/>
          <w:spacing w:val="-7"/>
        </w:rPr>
        <w:t> </w:t>
      </w:r>
      <w:r>
        <w:rPr>
          <w:i/>
        </w:rPr>
        <w:t>limits</w:t>
      </w:r>
      <w:r>
        <w:rPr>
          <w:i/>
          <w:spacing w:val="-4"/>
        </w:rPr>
        <w:t> </w:t>
      </w:r>
      <w:r>
        <w:rPr>
          <w:i/>
        </w:rPr>
        <w:t>to</w:t>
      </w:r>
      <w:r>
        <w:rPr>
          <w:i/>
          <w:spacing w:val="-7"/>
        </w:rPr>
        <w:t> </w:t>
      </w:r>
      <w:r>
        <w:rPr>
          <w:i/>
        </w:rPr>
        <w:t>CBDC</w:t>
      </w:r>
      <w:r>
        <w:rPr>
          <w:i/>
          <w:spacing w:val="-4"/>
        </w:rPr>
        <w:t> </w:t>
      </w:r>
      <w:r>
        <w:rPr>
          <w:i/>
        </w:rPr>
        <w:t>design</w:t>
      </w:r>
      <w:r>
        <w:rPr>
          <w:i/>
          <w:spacing w:val="-6"/>
        </w:rPr>
        <w:t> </w:t>
      </w:r>
      <w:r>
        <w:rPr>
          <w:i/>
        </w:rPr>
        <w:t>as</w:t>
      </w:r>
      <w:r>
        <w:rPr>
          <w:i/>
          <w:spacing w:val="-4"/>
        </w:rPr>
        <w:t> </w:t>
      </w:r>
      <w:r>
        <w:rPr>
          <w:i/>
        </w:rPr>
        <w:t>a</w:t>
      </w:r>
      <w:r>
        <w:rPr/>
        <w:t> macroprudential instrument.</w:t>
      </w:r>
    </w:p>
    <w:p>
      <w:pPr>
        <w:pStyle w:val="BodyText"/>
        <w:ind w:left="0"/>
        <w:rPr>
          <w:b/>
          <w:i/>
        </w:rPr>
      </w:pPr>
    </w:p>
    <w:p>
      <w:pPr>
        <w:pStyle w:val="BodyText"/>
        <w:spacing w:before="137"/>
        <w:ind w:left="0"/>
        <w:rPr>
          <w:b/>
          <w:i/>
        </w:rPr>
      </w:pPr>
    </w:p>
    <w:p>
      <w:pPr>
        <w:pStyle w:val="ListParagraph"/>
        <w:numPr>
          <w:ilvl w:val="1"/>
          <w:numId w:val="1"/>
        </w:numPr>
        <w:tabs>
          <w:tab w:pos="457" w:val="left" w:leader="none"/>
        </w:tabs>
        <w:spacing w:line="240" w:lineRule="auto" w:before="1" w:after="0"/>
        <w:ind w:left="457" w:right="0" w:hanging="358"/>
        <w:jc w:val="left"/>
        <w:rPr>
          <w:b/>
          <w:i/>
          <w:sz w:val="24"/>
        </w:rPr>
      </w:pPr>
      <w:r>
        <w:rPr>
          <w:b/>
          <w:i/>
          <w:spacing w:val="-2"/>
          <w:sz w:val="24"/>
        </w:rPr>
        <w:t>Limitations</w:t>
      </w:r>
    </w:p>
    <w:p>
      <w:pPr>
        <w:pStyle w:val="BodyText"/>
        <w:spacing w:before="80"/>
        <w:ind w:left="0"/>
        <w:rPr>
          <w:b/>
          <w:i/>
        </w:rPr>
      </w:pPr>
    </w:p>
    <w:p>
      <w:pPr>
        <w:pStyle w:val="BodyText"/>
        <w:spacing w:line="480" w:lineRule="auto" w:before="1"/>
        <w:ind w:right="381"/>
        <w:jc w:val="both"/>
      </w:pPr>
      <w:r>
        <w:rPr/>
        <w:t>Table 10 summarises eight limitations by severity and mitigation status; full numeric detail, case studies, and version-history notes are in Online Supplementary Appendix H rather than repeated here.</w:t>
      </w:r>
    </w:p>
    <w:p>
      <w:pPr>
        <w:pStyle w:val="Heading1"/>
        <w:spacing w:before="238"/>
        <w:ind w:left="2488"/>
        <w:jc w:val="both"/>
      </w:pPr>
      <w:r>
        <w:rPr/>
        <w:t>Table</w:t>
      </w:r>
      <w:r>
        <w:rPr>
          <w:spacing w:val="-8"/>
        </w:rPr>
        <w:t> </w:t>
      </w:r>
      <w:r>
        <w:rPr/>
        <w:t>10.</w:t>
      </w:r>
      <w:r>
        <w:rPr>
          <w:spacing w:val="-8"/>
        </w:rPr>
        <w:t> </w:t>
      </w:r>
      <w:r>
        <w:rPr/>
        <w:t>Summary</w:t>
      </w:r>
      <w:r>
        <w:rPr>
          <w:spacing w:val="-7"/>
        </w:rPr>
        <w:t> </w:t>
      </w:r>
      <w:r>
        <w:rPr/>
        <w:t>of</w:t>
      </w:r>
      <w:r>
        <w:rPr>
          <w:spacing w:val="-6"/>
        </w:rPr>
        <w:t> </w:t>
      </w:r>
      <w:r>
        <w:rPr>
          <w:spacing w:val="-2"/>
        </w:rPr>
        <w:t>Limitations</w:t>
      </w:r>
    </w:p>
    <w:p>
      <w:pPr>
        <w:pStyle w:val="BodyText"/>
        <w:spacing w:before="8"/>
        <w:ind w:left="0"/>
        <w:rPr>
          <w:b/>
          <w:sz w:val="1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615"/>
        <w:gridCol w:w="1250"/>
        <w:gridCol w:w="3781"/>
      </w:tblGrid>
      <w:tr>
        <w:trPr>
          <w:trHeight w:val="280" w:hRule="atLeast"/>
        </w:trPr>
        <w:tc>
          <w:tcPr>
            <w:tcW w:w="667" w:type="dxa"/>
          </w:tcPr>
          <w:p>
            <w:pPr>
              <w:pStyle w:val="TableParagraph"/>
              <w:spacing w:line="249" w:lineRule="exact"/>
              <w:ind w:left="0" w:right="266"/>
              <w:jc w:val="right"/>
              <w:rPr>
                <w:b/>
                <w:sz w:val="22"/>
              </w:rPr>
            </w:pPr>
            <w:r>
              <w:rPr>
                <w:b/>
                <w:spacing w:val="-10"/>
                <w:sz w:val="22"/>
              </w:rPr>
              <w:t>#</w:t>
            </w:r>
          </w:p>
        </w:tc>
        <w:tc>
          <w:tcPr>
            <w:tcW w:w="2615" w:type="dxa"/>
          </w:tcPr>
          <w:p>
            <w:pPr>
              <w:pStyle w:val="TableParagraph"/>
              <w:spacing w:line="249" w:lineRule="exact"/>
              <w:ind w:left="805"/>
              <w:rPr>
                <w:b/>
                <w:sz w:val="22"/>
              </w:rPr>
            </w:pPr>
            <w:r>
              <w:rPr>
                <w:b/>
                <w:spacing w:val="-2"/>
                <w:sz w:val="22"/>
              </w:rPr>
              <w:t>Limitation</w:t>
            </w:r>
          </w:p>
        </w:tc>
        <w:tc>
          <w:tcPr>
            <w:tcW w:w="1250" w:type="dxa"/>
          </w:tcPr>
          <w:p>
            <w:pPr>
              <w:pStyle w:val="TableParagraph"/>
              <w:spacing w:line="249" w:lineRule="exact"/>
              <w:ind w:left="239"/>
              <w:rPr>
                <w:b/>
                <w:sz w:val="22"/>
              </w:rPr>
            </w:pPr>
            <w:r>
              <w:rPr>
                <w:b/>
                <w:spacing w:val="-2"/>
                <w:sz w:val="22"/>
              </w:rPr>
              <w:t>Severity</w:t>
            </w:r>
          </w:p>
        </w:tc>
        <w:tc>
          <w:tcPr>
            <w:tcW w:w="3781" w:type="dxa"/>
          </w:tcPr>
          <w:p>
            <w:pPr>
              <w:pStyle w:val="TableParagraph"/>
              <w:spacing w:line="249" w:lineRule="exact"/>
              <w:ind w:left="1032"/>
              <w:rPr>
                <w:b/>
                <w:sz w:val="22"/>
              </w:rPr>
            </w:pPr>
            <w:r>
              <w:rPr>
                <w:b/>
                <w:sz w:val="22"/>
              </w:rPr>
              <w:t>Mitigation</w:t>
            </w:r>
            <w:r>
              <w:rPr>
                <w:b/>
                <w:spacing w:val="-5"/>
                <w:sz w:val="22"/>
              </w:rPr>
              <w:t> </w:t>
            </w:r>
            <w:r>
              <w:rPr>
                <w:b/>
                <w:sz w:val="22"/>
              </w:rPr>
              <w:t>/</w:t>
            </w:r>
            <w:r>
              <w:rPr>
                <w:b/>
                <w:spacing w:val="-5"/>
                <w:sz w:val="22"/>
              </w:rPr>
              <w:t> </w:t>
            </w:r>
            <w:r>
              <w:rPr>
                <w:b/>
                <w:spacing w:val="-2"/>
                <w:sz w:val="22"/>
              </w:rPr>
              <w:t>status</w:t>
            </w:r>
          </w:p>
        </w:tc>
      </w:tr>
      <w:tr>
        <w:trPr>
          <w:trHeight w:val="1152" w:hRule="atLeast"/>
        </w:trPr>
        <w:tc>
          <w:tcPr>
            <w:tcW w:w="667" w:type="dxa"/>
          </w:tcPr>
          <w:p>
            <w:pPr>
              <w:pStyle w:val="TableParagraph"/>
              <w:spacing w:before="179"/>
              <w:ind w:left="0"/>
              <w:rPr>
                <w:b/>
                <w:sz w:val="22"/>
              </w:rPr>
            </w:pPr>
          </w:p>
          <w:p>
            <w:pPr>
              <w:pStyle w:val="TableParagraph"/>
              <w:ind w:left="0" w:right="302"/>
              <w:jc w:val="right"/>
              <w:rPr>
                <w:sz w:val="22"/>
              </w:rPr>
            </w:pPr>
            <w:r>
              <w:rPr>
                <w:spacing w:val="-5"/>
                <w:sz w:val="22"/>
              </w:rPr>
              <w:t>L1</w:t>
            </w:r>
          </w:p>
        </w:tc>
        <w:tc>
          <w:tcPr>
            <w:tcW w:w="2615" w:type="dxa"/>
          </w:tcPr>
          <w:p>
            <w:pPr>
              <w:pStyle w:val="TableParagraph"/>
              <w:spacing w:line="276" w:lineRule="auto"/>
              <w:rPr>
                <w:sz w:val="22"/>
              </w:rPr>
            </w:pPr>
            <w:r>
              <w:rPr>
                <w:sz w:val="22"/>
              </w:rPr>
              <w:t>MCMC</w:t>
            </w:r>
            <w:r>
              <w:rPr>
                <w:spacing w:val="-13"/>
                <w:sz w:val="22"/>
              </w:rPr>
              <w:t> </w:t>
            </w:r>
            <w:r>
              <w:rPr>
                <w:sz w:val="22"/>
              </w:rPr>
              <w:t>does</w:t>
            </w:r>
            <w:r>
              <w:rPr>
                <w:spacing w:val="-11"/>
                <w:sz w:val="22"/>
              </w:rPr>
              <w:t> </w:t>
            </w:r>
            <w:r>
              <w:rPr>
                <w:sz w:val="22"/>
              </w:rPr>
              <w:t>not</w:t>
            </w:r>
            <w:r>
              <w:rPr>
                <w:spacing w:val="-11"/>
                <w:sz w:val="22"/>
              </w:rPr>
              <w:t> </w:t>
            </w:r>
            <w:r>
              <w:rPr>
                <w:sz w:val="22"/>
              </w:rPr>
              <w:t>converge for the small</w:t>
            </w:r>
          </w:p>
          <w:p>
            <w:pPr>
              <w:pStyle w:val="TableParagraph"/>
              <w:spacing w:line="251" w:lineRule="exact"/>
              <w:rPr>
                <w:sz w:val="22"/>
              </w:rPr>
            </w:pPr>
            <w:r>
              <w:rPr>
                <w:sz w:val="22"/>
              </w:rPr>
              <w:t>digital-regime</w:t>
            </w:r>
            <w:r>
              <w:rPr>
                <w:spacing w:val="-12"/>
                <w:sz w:val="22"/>
              </w:rPr>
              <w:t> </w:t>
            </w:r>
            <w:r>
              <w:rPr>
                <w:spacing w:val="-2"/>
                <w:sz w:val="22"/>
              </w:rPr>
              <w:t>component</w:t>
            </w:r>
          </w:p>
          <w:p>
            <w:pPr>
              <w:pStyle w:val="TableParagraph"/>
              <w:spacing w:before="33"/>
              <w:rPr>
                <w:sz w:val="22"/>
              </w:rPr>
            </w:pPr>
            <w:r>
              <w:rPr>
                <w:spacing w:val="-2"/>
                <w:sz w:val="22"/>
              </w:rPr>
              <w:t>(n=7)</w:t>
            </w:r>
          </w:p>
        </w:tc>
        <w:tc>
          <w:tcPr>
            <w:tcW w:w="1250" w:type="dxa"/>
          </w:tcPr>
          <w:p>
            <w:pPr>
              <w:pStyle w:val="TableParagraph"/>
              <w:spacing w:before="179"/>
              <w:ind w:left="0"/>
              <w:rPr>
                <w:b/>
                <w:sz w:val="22"/>
              </w:rPr>
            </w:pPr>
          </w:p>
          <w:p>
            <w:pPr>
              <w:pStyle w:val="TableParagraph"/>
              <w:rPr>
                <w:sz w:val="22"/>
              </w:rPr>
            </w:pPr>
            <w:r>
              <w:rPr>
                <w:spacing w:val="-5"/>
                <w:sz w:val="22"/>
              </w:rPr>
              <w:t>Low</w:t>
            </w:r>
          </w:p>
        </w:tc>
        <w:tc>
          <w:tcPr>
            <w:tcW w:w="3781" w:type="dxa"/>
          </w:tcPr>
          <w:p>
            <w:pPr>
              <w:pStyle w:val="TableParagraph"/>
              <w:spacing w:before="32"/>
              <w:ind w:left="0"/>
              <w:rPr>
                <w:b/>
                <w:sz w:val="22"/>
              </w:rPr>
            </w:pPr>
          </w:p>
          <w:p>
            <w:pPr>
              <w:pStyle w:val="TableParagraph"/>
              <w:spacing w:line="276" w:lineRule="auto" w:before="1"/>
              <w:ind w:left="106"/>
              <w:rPr>
                <w:sz w:val="22"/>
              </w:rPr>
            </w:pPr>
            <w:r>
              <w:rPr>
                <w:sz w:val="22"/>
              </w:rPr>
              <w:t>Frequentist</w:t>
            </w:r>
            <w:r>
              <w:rPr>
                <w:spacing w:val="-10"/>
                <w:sz w:val="22"/>
              </w:rPr>
              <w:t> </w:t>
            </w:r>
            <w:r>
              <w:rPr>
                <w:sz w:val="22"/>
              </w:rPr>
              <w:t>OLS/MLE</w:t>
            </w:r>
            <w:r>
              <w:rPr>
                <w:spacing w:val="-10"/>
                <w:sz w:val="22"/>
              </w:rPr>
              <w:t> </w:t>
            </w:r>
            <w:r>
              <w:rPr>
                <w:sz w:val="22"/>
              </w:rPr>
              <w:t>CIs</w:t>
            </w:r>
            <w:r>
              <w:rPr>
                <w:spacing w:val="-9"/>
                <w:sz w:val="22"/>
              </w:rPr>
              <w:t> </w:t>
            </w:r>
            <w:r>
              <w:rPr>
                <w:sz w:val="22"/>
              </w:rPr>
              <w:t>used</w:t>
            </w:r>
            <w:r>
              <w:rPr>
                <w:spacing w:val="-9"/>
                <w:sz w:val="22"/>
              </w:rPr>
              <w:t> </w:t>
            </w:r>
            <w:r>
              <w:rPr>
                <w:sz w:val="22"/>
              </w:rPr>
              <w:t>instead (Appendix C.3)</w:t>
            </w:r>
          </w:p>
        </w:tc>
      </w:tr>
      <w:tr>
        <w:trPr>
          <w:trHeight w:val="570" w:hRule="atLeast"/>
        </w:trPr>
        <w:tc>
          <w:tcPr>
            <w:tcW w:w="667" w:type="dxa"/>
          </w:tcPr>
          <w:p>
            <w:pPr>
              <w:pStyle w:val="TableParagraph"/>
              <w:spacing w:before="139"/>
              <w:ind w:left="0" w:right="302"/>
              <w:jc w:val="right"/>
              <w:rPr>
                <w:sz w:val="22"/>
              </w:rPr>
            </w:pPr>
            <w:r>
              <w:rPr>
                <w:spacing w:val="-5"/>
                <w:sz w:val="22"/>
              </w:rPr>
              <w:t>L2</w:t>
            </w:r>
          </w:p>
        </w:tc>
        <w:tc>
          <w:tcPr>
            <w:tcW w:w="2615" w:type="dxa"/>
          </w:tcPr>
          <w:p>
            <w:pPr>
              <w:pStyle w:val="TableParagraph"/>
              <w:spacing w:line="249" w:lineRule="exact"/>
              <w:rPr>
                <w:sz w:val="22"/>
              </w:rPr>
            </w:pPr>
            <w:r>
              <w:rPr>
                <w:sz w:val="22"/>
              </w:rPr>
              <w:t>66/81</w:t>
            </w:r>
            <w:r>
              <w:rPr>
                <w:spacing w:val="-4"/>
                <w:sz w:val="22"/>
              </w:rPr>
              <w:t> </w:t>
            </w:r>
            <w:r>
              <w:rPr>
                <w:sz w:val="22"/>
              </w:rPr>
              <w:t>episodes</w:t>
            </w:r>
            <w:r>
              <w:rPr>
                <w:spacing w:val="-3"/>
                <w:sz w:val="22"/>
              </w:rPr>
              <w:t> </w:t>
            </w:r>
            <w:r>
              <w:rPr>
                <w:spacing w:val="-5"/>
                <w:sz w:val="22"/>
              </w:rPr>
              <w:t>are</w:t>
            </w:r>
          </w:p>
          <w:p>
            <w:pPr>
              <w:pStyle w:val="TableParagraph"/>
              <w:spacing w:before="37"/>
              <w:rPr>
                <w:sz w:val="22"/>
              </w:rPr>
            </w:pPr>
            <w:r>
              <w:rPr>
                <w:sz w:val="22"/>
              </w:rPr>
              <w:t>reconstructed</w:t>
            </w:r>
            <w:r>
              <w:rPr>
                <w:spacing w:val="-9"/>
                <w:sz w:val="22"/>
              </w:rPr>
              <w:t> </w:t>
            </w:r>
            <w:r>
              <w:rPr>
                <w:sz w:val="22"/>
              </w:rPr>
              <w:t>rather</w:t>
            </w:r>
            <w:r>
              <w:rPr>
                <w:spacing w:val="-6"/>
                <w:sz w:val="22"/>
              </w:rPr>
              <w:t> </w:t>
            </w:r>
            <w:r>
              <w:rPr>
                <w:spacing w:val="-4"/>
                <w:sz w:val="22"/>
              </w:rPr>
              <w:t>than</w:t>
            </w:r>
          </w:p>
        </w:tc>
        <w:tc>
          <w:tcPr>
            <w:tcW w:w="1250" w:type="dxa"/>
          </w:tcPr>
          <w:p>
            <w:pPr>
              <w:pStyle w:val="TableParagraph"/>
              <w:spacing w:line="249" w:lineRule="exact"/>
              <w:rPr>
                <w:b/>
                <w:sz w:val="22"/>
              </w:rPr>
            </w:pPr>
            <w:r>
              <w:rPr>
                <w:b/>
                <w:sz w:val="22"/>
              </w:rPr>
              <w:t>High</w:t>
            </w:r>
            <w:r>
              <w:rPr>
                <w:b/>
                <w:spacing w:val="50"/>
                <w:sz w:val="22"/>
              </w:rPr>
              <w:t> </w:t>
            </w:r>
            <w:r>
              <w:rPr>
                <w:b/>
                <w:spacing w:val="-10"/>
                <w:sz w:val="22"/>
              </w:rPr>
              <w:t>—</w:t>
            </w:r>
          </w:p>
          <w:p>
            <w:pPr>
              <w:pStyle w:val="TableParagraph"/>
              <w:spacing w:before="37"/>
              <w:rPr>
                <w:b/>
                <w:sz w:val="22"/>
              </w:rPr>
            </w:pPr>
            <w:r>
              <w:rPr>
                <w:b/>
                <w:spacing w:val="-4"/>
                <w:sz w:val="22"/>
              </w:rPr>
              <w:t>most</w:t>
            </w:r>
          </w:p>
        </w:tc>
        <w:tc>
          <w:tcPr>
            <w:tcW w:w="3781" w:type="dxa"/>
          </w:tcPr>
          <w:p>
            <w:pPr>
              <w:pStyle w:val="TableParagraph"/>
              <w:spacing w:line="249" w:lineRule="exact"/>
              <w:ind w:left="106"/>
              <w:rPr>
                <w:sz w:val="22"/>
              </w:rPr>
            </w:pPr>
            <w:r>
              <w:rPr>
                <w:spacing w:val="-2"/>
                <w:sz w:val="22"/>
              </w:rPr>
              <w:t>Three</w:t>
            </w:r>
            <w:r>
              <w:rPr>
                <w:spacing w:val="-5"/>
                <w:sz w:val="22"/>
              </w:rPr>
              <w:t> </w:t>
            </w:r>
            <w:r>
              <w:rPr>
                <w:spacing w:val="-2"/>
                <w:sz w:val="22"/>
              </w:rPr>
              <w:t>robustness checks</w:t>
            </w:r>
            <w:r>
              <w:rPr>
                <w:spacing w:val="-5"/>
                <w:sz w:val="22"/>
              </w:rPr>
              <w:t> </w:t>
            </w:r>
            <w:r>
              <w:rPr>
                <w:spacing w:val="-2"/>
                <w:sz w:val="22"/>
              </w:rPr>
              <w:t>confirm</w:t>
            </w:r>
            <w:r>
              <w:rPr>
                <w:spacing w:val="-6"/>
                <w:sz w:val="22"/>
              </w:rPr>
              <w:t> </w:t>
            </w:r>
            <w:r>
              <w:rPr>
                <w:spacing w:val="-4"/>
                <w:sz w:val="22"/>
              </w:rPr>
              <w:t>sign</w:t>
            </w:r>
          </w:p>
          <w:p>
            <w:pPr>
              <w:pStyle w:val="TableParagraph"/>
              <w:spacing w:before="37"/>
              <w:ind w:left="106"/>
              <w:rPr>
                <w:sz w:val="22"/>
              </w:rPr>
            </w:pPr>
            <w:r>
              <w:rPr>
                <w:sz w:val="22"/>
              </w:rPr>
              <w:t>stability,</w:t>
            </w:r>
            <w:r>
              <w:rPr>
                <w:spacing w:val="-14"/>
                <w:sz w:val="22"/>
              </w:rPr>
              <w:t> </w:t>
            </w:r>
            <w:r>
              <w:rPr>
                <w:sz w:val="22"/>
              </w:rPr>
              <w:t>not</w:t>
            </w:r>
            <w:r>
              <w:rPr>
                <w:spacing w:val="-14"/>
                <w:sz w:val="22"/>
              </w:rPr>
              <w:t> </w:t>
            </w:r>
            <w:r>
              <w:rPr>
                <w:sz w:val="22"/>
              </w:rPr>
              <w:t>data</w:t>
            </w:r>
            <w:r>
              <w:rPr>
                <w:spacing w:val="-14"/>
                <w:sz w:val="22"/>
              </w:rPr>
              <w:t> </w:t>
            </w:r>
            <w:r>
              <w:rPr>
                <w:sz w:val="22"/>
              </w:rPr>
              <w:t>quality;</w:t>
            </w:r>
            <w:r>
              <w:rPr>
                <w:spacing w:val="27"/>
                <w:sz w:val="22"/>
              </w:rPr>
              <w:t> </w:t>
            </w:r>
            <w:r>
              <w:rPr>
                <w:spacing w:val="-2"/>
                <w:sz w:val="22"/>
              </w:rPr>
              <w:t>§3.4’s</w:t>
            </w:r>
          </w:p>
        </w:tc>
      </w:tr>
    </w:tbl>
    <w:p>
      <w:pPr>
        <w:pStyle w:val="TableParagraph"/>
        <w:spacing w:after="0"/>
        <w:rPr>
          <w:sz w:val="22"/>
        </w:rPr>
        <w:sectPr>
          <w:pgSz w:w="11900" w:h="16820"/>
          <w:pgMar w:header="714" w:footer="0" w:top="1340" w:bottom="280" w:left="1700" w:right="1417"/>
        </w:sectPr>
      </w:pPr>
    </w:p>
    <w:p>
      <w:pPr>
        <w:pStyle w:val="BodyText"/>
        <w:spacing w:before="6"/>
        <w:ind w:left="0"/>
        <w:rPr>
          <w:b/>
          <w:sz w:val="6"/>
        </w:rPr>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615"/>
        <w:gridCol w:w="1250"/>
        <w:gridCol w:w="3781"/>
      </w:tblGrid>
      <w:tr>
        <w:trPr>
          <w:trHeight w:val="280" w:hRule="atLeast"/>
        </w:trPr>
        <w:tc>
          <w:tcPr>
            <w:tcW w:w="667" w:type="dxa"/>
          </w:tcPr>
          <w:p>
            <w:pPr>
              <w:pStyle w:val="TableParagraph"/>
              <w:spacing w:line="249" w:lineRule="exact"/>
              <w:ind w:left="9"/>
              <w:jc w:val="center"/>
              <w:rPr>
                <w:b/>
                <w:sz w:val="22"/>
              </w:rPr>
            </w:pPr>
            <w:r>
              <w:rPr>
                <w:b/>
                <w:spacing w:val="-10"/>
                <w:sz w:val="22"/>
              </w:rPr>
              <w:t>#</w:t>
            </w:r>
          </w:p>
        </w:tc>
        <w:tc>
          <w:tcPr>
            <w:tcW w:w="2615" w:type="dxa"/>
          </w:tcPr>
          <w:p>
            <w:pPr>
              <w:pStyle w:val="TableParagraph"/>
              <w:spacing w:line="249" w:lineRule="exact"/>
              <w:ind w:left="805"/>
              <w:rPr>
                <w:b/>
                <w:sz w:val="22"/>
              </w:rPr>
            </w:pPr>
            <w:r>
              <w:rPr>
                <w:b/>
                <w:spacing w:val="-2"/>
                <w:sz w:val="22"/>
              </w:rPr>
              <w:t>Limitation</w:t>
            </w:r>
          </w:p>
        </w:tc>
        <w:tc>
          <w:tcPr>
            <w:tcW w:w="1250" w:type="dxa"/>
          </w:tcPr>
          <w:p>
            <w:pPr>
              <w:pStyle w:val="TableParagraph"/>
              <w:spacing w:line="249" w:lineRule="exact"/>
              <w:ind w:left="239"/>
              <w:rPr>
                <w:b/>
                <w:sz w:val="22"/>
              </w:rPr>
            </w:pPr>
            <w:r>
              <w:rPr>
                <w:b/>
                <w:spacing w:val="-2"/>
                <w:sz w:val="22"/>
              </w:rPr>
              <w:t>Severity</w:t>
            </w:r>
          </w:p>
        </w:tc>
        <w:tc>
          <w:tcPr>
            <w:tcW w:w="3781" w:type="dxa"/>
          </w:tcPr>
          <w:p>
            <w:pPr>
              <w:pStyle w:val="TableParagraph"/>
              <w:spacing w:line="249" w:lineRule="exact"/>
              <w:ind w:left="1032"/>
              <w:rPr>
                <w:b/>
                <w:sz w:val="22"/>
              </w:rPr>
            </w:pPr>
            <w:r>
              <w:rPr>
                <w:b/>
                <w:sz w:val="22"/>
              </w:rPr>
              <w:t>Mitigation</w:t>
            </w:r>
            <w:r>
              <w:rPr>
                <w:b/>
                <w:spacing w:val="-5"/>
                <w:sz w:val="22"/>
              </w:rPr>
              <w:t> </w:t>
            </w:r>
            <w:r>
              <w:rPr>
                <w:b/>
                <w:sz w:val="22"/>
              </w:rPr>
              <w:t>/</w:t>
            </w:r>
            <w:r>
              <w:rPr>
                <w:b/>
                <w:spacing w:val="-5"/>
                <w:sz w:val="22"/>
              </w:rPr>
              <w:t> </w:t>
            </w:r>
            <w:r>
              <w:rPr>
                <w:b/>
                <w:spacing w:val="-2"/>
                <w:sz w:val="22"/>
              </w:rPr>
              <w:t>status</w:t>
            </w:r>
          </w:p>
        </w:tc>
      </w:tr>
      <w:tr>
        <w:trPr>
          <w:trHeight w:val="572" w:hRule="atLeast"/>
        </w:trPr>
        <w:tc>
          <w:tcPr>
            <w:tcW w:w="667" w:type="dxa"/>
          </w:tcPr>
          <w:p>
            <w:pPr>
              <w:pStyle w:val="TableParagraph"/>
              <w:ind w:left="0"/>
              <w:rPr>
                <w:sz w:val="22"/>
              </w:rPr>
            </w:pPr>
          </w:p>
        </w:tc>
        <w:tc>
          <w:tcPr>
            <w:tcW w:w="2615" w:type="dxa"/>
          </w:tcPr>
          <w:p>
            <w:pPr>
              <w:pStyle w:val="TableParagraph"/>
              <w:spacing w:before="139"/>
              <w:rPr>
                <w:sz w:val="22"/>
              </w:rPr>
            </w:pPr>
            <w:r>
              <w:rPr>
                <w:sz w:val="22"/>
              </w:rPr>
              <w:t>primary-source</w:t>
            </w:r>
            <w:r>
              <w:rPr>
                <w:spacing w:val="-8"/>
                <w:sz w:val="22"/>
              </w:rPr>
              <w:t> </w:t>
            </w:r>
            <w:r>
              <w:rPr>
                <w:spacing w:val="-2"/>
                <w:sz w:val="22"/>
              </w:rPr>
              <w:t>verified</w:t>
            </w:r>
          </w:p>
        </w:tc>
        <w:tc>
          <w:tcPr>
            <w:tcW w:w="1250" w:type="dxa"/>
          </w:tcPr>
          <w:p>
            <w:pPr>
              <w:pStyle w:val="TableParagraph"/>
              <w:spacing w:line="249" w:lineRule="exact"/>
              <w:rPr>
                <w:b/>
                <w:sz w:val="22"/>
              </w:rPr>
            </w:pPr>
            <w:r>
              <w:rPr>
                <w:b/>
                <w:spacing w:val="-2"/>
                <w:sz w:val="22"/>
              </w:rPr>
              <w:t>consequen</w:t>
            </w:r>
          </w:p>
          <w:p>
            <w:pPr>
              <w:pStyle w:val="TableParagraph"/>
              <w:spacing w:before="37"/>
              <w:rPr>
                <w:b/>
                <w:sz w:val="22"/>
              </w:rPr>
            </w:pPr>
            <w:r>
              <w:rPr>
                <w:b/>
                <w:spacing w:val="-4"/>
                <w:sz w:val="22"/>
              </w:rPr>
              <w:t>tial</w:t>
            </w:r>
          </w:p>
        </w:tc>
        <w:tc>
          <w:tcPr>
            <w:tcW w:w="3781" w:type="dxa"/>
          </w:tcPr>
          <w:p>
            <w:pPr>
              <w:pStyle w:val="TableParagraph"/>
              <w:spacing w:line="249" w:lineRule="exact"/>
              <w:ind w:left="106"/>
              <w:rPr>
                <w:sz w:val="22"/>
              </w:rPr>
            </w:pPr>
            <w:r>
              <w:rPr>
                <w:spacing w:val="-2"/>
                <w:sz w:val="22"/>
              </w:rPr>
              <w:t>shrinkage</w:t>
            </w:r>
            <w:r>
              <w:rPr>
                <w:spacing w:val="-4"/>
                <w:sz w:val="22"/>
              </w:rPr>
              <w:t> </w:t>
            </w:r>
            <w:r>
              <w:rPr>
                <w:spacing w:val="-2"/>
                <w:sz w:val="22"/>
              </w:rPr>
              <w:t>estimator</w:t>
            </w:r>
            <w:r>
              <w:rPr>
                <w:spacing w:val="-3"/>
                <w:sz w:val="22"/>
              </w:rPr>
              <w:t> </w:t>
            </w:r>
            <w:r>
              <w:rPr>
                <w:spacing w:val="-2"/>
                <w:sz w:val="22"/>
              </w:rPr>
              <w:t>is</w:t>
            </w:r>
            <w:r>
              <w:rPr>
                <w:spacing w:val="-5"/>
                <w:sz w:val="22"/>
              </w:rPr>
              <w:t> </w:t>
            </w:r>
            <w:r>
              <w:rPr>
                <w:spacing w:val="-2"/>
                <w:sz w:val="22"/>
              </w:rPr>
              <w:t>a</w:t>
            </w:r>
            <w:r>
              <w:rPr>
                <w:spacing w:val="-3"/>
                <w:sz w:val="22"/>
              </w:rPr>
              <w:t> </w:t>
            </w:r>
            <w:r>
              <w:rPr>
                <w:spacing w:val="-2"/>
                <w:sz w:val="22"/>
              </w:rPr>
              <w:t>partial,</w:t>
            </w:r>
          </w:p>
          <w:p>
            <w:pPr>
              <w:pStyle w:val="TableParagraph"/>
              <w:spacing w:before="37"/>
              <w:ind w:left="106"/>
              <w:rPr>
                <w:sz w:val="22"/>
              </w:rPr>
            </w:pPr>
            <w:r>
              <w:rPr>
                <w:spacing w:val="-2"/>
                <w:sz w:val="22"/>
              </w:rPr>
              <w:t>data-efficient</w:t>
            </w:r>
            <w:r>
              <w:rPr>
                <w:spacing w:val="-6"/>
                <w:sz w:val="22"/>
              </w:rPr>
              <w:t> </w:t>
            </w:r>
            <w:r>
              <w:rPr>
                <w:spacing w:val="-2"/>
                <w:sz w:val="22"/>
              </w:rPr>
              <w:t>mitigation,</w:t>
            </w:r>
            <w:r>
              <w:rPr>
                <w:spacing w:val="-3"/>
                <w:sz w:val="22"/>
              </w:rPr>
              <w:t> </w:t>
            </w:r>
            <w:r>
              <w:rPr>
                <w:spacing w:val="-2"/>
                <w:sz w:val="22"/>
              </w:rPr>
              <w:t>not</w:t>
            </w:r>
            <w:r>
              <w:rPr>
                <w:spacing w:val="-5"/>
                <w:sz w:val="22"/>
              </w:rPr>
              <w:t> </w:t>
            </w:r>
            <w:r>
              <w:rPr>
                <w:spacing w:val="-2"/>
                <w:sz w:val="22"/>
              </w:rPr>
              <w:t>a</w:t>
            </w:r>
            <w:r>
              <w:rPr>
                <w:spacing w:val="-8"/>
                <w:sz w:val="22"/>
              </w:rPr>
              <w:t> </w:t>
            </w:r>
            <w:r>
              <w:rPr>
                <w:spacing w:val="-2"/>
                <w:sz w:val="22"/>
              </w:rPr>
              <w:t>resolution</w:t>
            </w:r>
          </w:p>
        </w:tc>
      </w:tr>
      <w:tr>
        <w:trPr>
          <w:trHeight w:val="860" w:hRule="atLeast"/>
        </w:trPr>
        <w:tc>
          <w:tcPr>
            <w:tcW w:w="667" w:type="dxa"/>
          </w:tcPr>
          <w:p>
            <w:pPr>
              <w:pStyle w:val="TableParagraph"/>
              <w:spacing w:before="30"/>
              <w:ind w:left="0"/>
              <w:rPr>
                <w:b/>
                <w:sz w:val="22"/>
              </w:rPr>
            </w:pPr>
          </w:p>
          <w:p>
            <w:pPr>
              <w:pStyle w:val="TableParagraph"/>
              <w:rPr>
                <w:sz w:val="22"/>
              </w:rPr>
            </w:pPr>
            <w:r>
              <w:rPr>
                <w:spacing w:val="-5"/>
                <w:sz w:val="22"/>
              </w:rPr>
              <w:t>L2a</w:t>
            </w:r>
          </w:p>
        </w:tc>
        <w:tc>
          <w:tcPr>
            <w:tcW w:w="2615" w:type="dxa"/>
          </w:tcPr>
          <w:p>
            <w:pPr>
              <w:pStyle w:val="TableParagraph"/>
              <w:spacing w:line="276" w:lineRule="auto"/>
              <w:rPr>
                <w:sz w:val="22"/>
              </w:rPr>
            </w:pPr>
            <w:r>
              <w:rPr>
                <w:sz w:val="22"/>
              </w:rPr>
              <w:t>Eq. 2 omits country/year fixed</w:t>
            </w:r>
            <w:r>
              <w:rPr>
                <w:spacing w:val="-13"/>
                <w:sz w:val="22"/>
              </w:rPr>
              <w:t> </w:t>
            </w:r>
            <w:r>
              <w:rPr>
                <w:sz w:val="22"/>
              </w:rPr>
              <w:t>effects</w:t>
            </w:r>
            <w:r>
              <w:rPr>
                <w:spacing w:val="-13"/>
                <w:sz w:val="22"/>
              </w:rPr>
              <w:t> </w:t>
            </w:r>
            <w:r>
              <w:rPr>
                <w:sz w:val="22"/>
              </w:rPr>
              <w:t>and</w:t>
            </w:r>
            <w:r>
              <w:rPr>
                <w:spacing w:val="-13"/>
                <w:sz w:val="22"/>
              </w:rPr>
              <w:t> </w:t>
            </w:r>
            <w:r>
              <w:rPr>
                <w:sz w:val="22"/>
              </w:rPr>
              <w:t>clustered</w:t>
            </w:r>
          </w:p>
          <w:p>
            <w:pPr>
              <w:pStyle w:val="TableParagraph"/>
              <w:rPr>
                <w:sz w:val="22"/>
              </w:rPr>
            </w:pPr>
            <w:r>
              <w:rPr>
                <w:spacing w:val="-5"/>
                <w:sz w:val="22"/>
              </w:rPr>
              <w:t>SEs</w:t>
            </w:r>
          </w:p>
        </w:tc>
        <w:tc>
          <w:tcPr>
            <w:tcW w:w="1250" w:type="dxa"/>
          </w:tcPr>
          <w:p>
            <w:pPr>
              <w:pStyle w:val="TableParagraph"/>
              <w:spacing w:line="276" w:lineRule="auto" w:before="139"/>
              <w:ind w:right="379"/>
              <w:rPr>
                <w:sz w:val="22"/>
              </w:rPr>
            </w:pPr>
            <w:r>
              <w:rPr>
                <w:spacing w:val="-4"/>
                <w:sz w:val="22"/>
              </w:rPr>
              <w:t>Low–</w:t>
            </w:r>
            <w:r>
              <w:rPr>
                <w:spacing w:val="-2"/>
                <w:sz w:val="22"/>
              </w:rPr>
              <w:t>Medium</w:t>
            </w:r>
          </w:p>
        </w:tc>
        <w:tc>
          <w:tcPr>
            <w:tcW w:w="3781" w:type="dxa"/>
          </w:tcPr>
          <w:p>
            <w:pPr>
              <w:pStyle w:val="TableParagraph"/>
              <w:spacing w:line="276" w:lineRule="auto"/>
              <w:ind w:left="106"/>
              <w:rPr>
                <w:sz w:val="22"/>
              </w:rPr>
            </w:pPr>
            <w:r>
              <w:rPr>
                <w:sz w:val="22"/>
              </w:rPr>
              <w:t>A</w:t>
            </w:r>
            <w:r>
              <w:rPr>
                <w:spacing w:val="-7"/>
                <w:sz w:val="22"/>
              </w:rPr>
              <w:t> </w:t>
            </w:r>
            <w:r>
              <w:rPr>
                <w:sz w:val="22"/>
              </w:rPr>
              <w:t>country-clustered</w:t>
            </w:r>
            <w:r>
              <w:rPr>
                <w:spacing w:val="-8"/>
                <w:sz w:val="22"/>
              </w:rPr>
              <w:t> </w:t>
            </w:r>
            <w:r>
              <w:rPr>
                <w:sz w:val="22"/>
              </w:rPr>
              <w:t>check</w:t>
            </w:r>
            <w:r>
              <w:rPr>
                <w:spacing w:val="-9"/>
                <w:sz w:val="22"/>
              </w:rPr>
              <w:t> </w:t>
            </w:r>
            <w:r>
              <w:rPr>
                <w:sz w:val="22"/>
              </w:rPr>
              <w:t>on</w:t>
            </w:r>
            <w:r>
              <w:rPr>
                <w:spacing w:val="-6"/>
                <w:sz w:val="22"/>
              </w:rPr>
              <w:t> </w:t>
            </w:r>
            <w:r>
              <w:rPr>
                <w:sz w:val="22"/>
              </w:rPr>
              <w:t>the</w:t>
            </w:r>
            <w:r>
              <w:rPr>
                <w:spacing w:val="-8"/>
                <w:sz w:val="22"/>
              </w:rPr>
              <w:t> </w:t>
            </w:r>
            <w:r>
              <w:rPr>
                <w:sz w:val="22"/>
              </w:rPr>
              <w:t>prior panel preserves sign and significance;</w:t>
            </w:r>
          </w:p>
          <w:p>
            <w:pPr>
              <w:pStyle w:val="TableParagraph"/>
              <w:ind w:left="106"/>
              <w:rPr>
                <w:sz w:val="22"/>
              </w:rPr>
            </w:pPr>
            <w:r>
              <w:rPr>
                <w:sz w:val="22"/>
              </w:rPr>
              <w:t>not</w:t>
            </w:r>
            <w:r>
              <w:rPr>
                <w:spacing w:val="-4"/>
                <w:sz w:val="22"/>
              </w:rPr>
              <w:t> </w:t>
            </w:r>
            <w:r>
              <w:rPr>
                <w:sz w:val="22"/>
              </w:rPr>
              <w:t>yet</w:t>
            </w:r>
            <w:r>
              <w:rPr>
                <w:spacing w:val="-2"/>
                <w:sz w:val="22"/>
              </w:rPr>
              <w:t> </w:t>
            </w:r>
            <w:r>
              <w:rPr>
                <w:sz w:val="22"/>
              </w:rPr>
              <w:t>re-run</w:t>
            </w:r>
            <w:r>
              <w:rPr>
                <w:spacing w:val="-3"/>
                <w:sz w:val="22"/>
              </w:rPr>
              <w:t> </w:t>
            </w:r>
            <w:r>
              <w:rPr>
                <w:sz w:val="22"/>
              </w:rPr>
              <w:t>on</w:t>
            </w:r>
            <w:r>
              <w:rPr>
                <w:spacing w:val="-3"/>
                <w:sz w:val="22"/>
              </w:rPr>
              <w:t> </w:t>
            </w:r>
            <w:r>
              <w:rPr>
                <w:sz w:val="22"/>
              </w:rPr>
              <w:t>the</w:t>
            </w:r>
            <w:r>
              <w:rPr>
                <w:spacing w:val="-3"/>
                <w:sz w:val="22"/>
              </w:rPr>
              <w:t> </w:t>
            </w:r>
            <w:r>
              <w:rPr>
                <w:sz w:val="22"/>
              </w:rPr>
              <w:t>current</w:t>
            </w:r>
            <w:r>
              <w:rPr>
                <w:spacing w:val="-1"/>
                <w:sz w:val="22"/>
              </w:rPr>
              <w:t> </w:t>
            </w:r>
            <w:r>
              <w:rPr>
                <w:spacing w:val="-4"/>
                <w:sz w:val="22"/>
              </w:rPr>
              <w:t>panel</w:t>
            </w:r>
          </w:p>
        </w:tc>
      </w:tr>
      <w:tr>
        <w:trPr>
          <w:trHeight w:val="570" w:hRule="atLeast"/>
        </w:trPr>
        <w:tc>
          <w:tcPr>
            <w:tcW w:w="667" w:type="dxa"/>
          </w:tcPr>
          <w:p>
            <w:pPr>
              <w:pStyle w:val="TableParagraph"/>
              <w:spacing w:before="139"/>
              <w:rPr>
                <w:sz w:val="22"/>
              </w:rPr>
            </w:pPr>
            <w:r>
              <w:rPr>
                <w:spacing w:val="-5"/>
                <w:sz w:val="22"/>
              </w:rPr>
              <w:t>L2b</w:t>
            </w:r>
          </w:p>
        </w:tc>
        <w:tc>
          <w:tcPr>
            <w:tcW w:w="2615" w:type="dxa"/>
          </w:tcPr>
          <w:p>
            <w:pPr>
              <w:pStyle w:val="TableParagraph"/>
              <w:spacing w:line="249" w:lineRule="exact"/>
              <w:rPr>
                <w:sz w:val="22"/>
              </w:rPr>
            </w:pPr>
            <w:r>
              <w:rPr>
                <w:sz w:val="22"/>
              </w:rPr>
              <w:t>Digital</w:t>
            </w:r>
            <w:r>
              <w:rPr>
                <w:spacing w:val="-3"/>
                <w:sz w:val="22"/>
              </w:rPr>
              <w:t> </w:t>
            </w:r>
            <w:r>
              <w:rPr>
                <w:sz w:val="22"/>
              </w:rPr>
              <w:t>adoption</w:t>
            </w:r>
            <w:r>
              <w:rPr>
                <w:spacing w:val="-3"/>
                <w:sz w:val="22"/>
              </w:rPr>
              <w:t> </w:t>
            </w:r>
            <w:r>
              <w:rPr>
                <w:sz w:val="22"/>
              </w:rPr>
              <w:t>D</w:t>
            </w:r>
            <w:r>
              <w:rPr>
                <w:spacing w:val="-2"/>
                <w:sz w:val="22"/>
              </w:rPr>
              <w:t> </w:t>
            </w:r>
            <w:r>
              <w:rPr>
                <w:sz w:val="22"/>
              </w:rPr>
              <w:t>is</w:t>
            </w:r>
            <w:r>
              <w:rPr>
                <w:spacing w:val="-3"/>
                <w:sz w:val="22"/>
              </w:rPr>
              <w:t> </w:t>
            </w:r>
            <w:r>
              <w:rPr>
                <w:spacing w:val="-5"/>
                <w:sz w:val="22"/>
              </w:rPr>
              <w:t>not</w:t>
            </w:r>
          </w:p>
          <w:p>
            <w:pPr>
              <w:pStyle w:val="TableParagraph"/>
              <w:spacing w:before="37"/>
              <w:rPr>
                <w:sz w:val="22"/>
              </w:rPr>
            </w:pPr>
            <w:r>
              <w:rPr>
                <w:sz w:val="22"/>
              </w:rPr>
              <w:t>independently</w:t>
            </w:r>
            <w:r>
              <w:rPr>
                <w:spacing w:val="-10"/>
                <w:sz w:val="22"/>
              </w:rPr>
              <w:t> </w:t>
            </w:r>
            <w:r>
              <w:rPr>
                <w:spacing w:val="-2"/>
                <w:sz w:val="22"/>
              </w:rPr>
              <w:t>significant</w:t>
            </w:r>
          </w:p>
        </w:tc>
        <w:tc>
          <w:tcPr>
            <w:tcW w:w="1250" w:type="dxa"/>
          </w:tcPr>
          <w:p>
            <w:pPr>
              <w:pStyle w:val="TableParagraph"/>
              <w:spacing w:before="139"/>
              <w:rPr>
                <w:sz w:val="22"/>
              </w:rPr>
            </w:pPr>
            <w:r>
              <w:rPr>
                <w:spacing w:val="-2"/>
                <w:sz w:val="22"/>
              </w:rPr>
              <w:t>Medium</w:t>
            </w:r>
          </w:p>
        </w:tc>
        <w:tc>
          <w:tcPr>
            <w:tcW w:w="3781" w:type="dxa"/>
          </w:tcPr>
          <w:p>
            <w:pPr>
              <w:pStyle w:val="TableParagraph"/>
              <w:spacing w:line="249" w:lineRule="exact"/>
              <w:ind w:left="106"/>
              <w:rPr>
                <w:sz w:val="22"/>
              </w:rPr>
            </w:pPr>
            <w:r>
              <w:rPr>
                <w:sz w:val="22"/>
              </w:rPr>
              <w:t>Reported</w:t>
            </w:r>
            <w:r>
              <w:rPr>
                <w:spacing w:val="-3"/>
                <w:sz w:val="22"/>
              </w:rPr>
              <w:t> </w:t>
            </w:r>
            <w:r>
              <w:rPr>
                <w:sz w:val="22"/>
              </w:rPr>
              <w:t>as</w:t>
            </w:r>
            <w:r>
              <w:rPr>
                <w:spacing w:val="-5"/>
                <w:sz w:val="22"/>
              </w:rPr>
              <w:t> </w:t>
            </w:r>
            <w:r>
              <w:rPr>
                <w:sz w:val="22"/>
              </w:rPr>
              <w:t>a</w:t>
            </w:r>
            <w:r>
              <w:rPr>
                <w:spacing w:val="-3"/>
                <w:sz w:val="22"/>
              </w:rPr>
              <w:t> </w:t>
            </w:r>
            <w:r>
              <w:rPr>
                <w:sz w:val="22"/>
              </w:rPr>
              <w:t>suggestive,</w:t>
            </w:r>
            <w:r>
              <w:rPr>
                <w:spacing w:val="-5"/>
                <w:sz w:val="22"/>
              </w:rPr>
              <w:t> </w:t>
            </w:r>
            <w:r>
              <w:rPr>
                <w:sz w:val="22"/>
              </w:rPr>
              <w:t>not</w:t>
            </w:r>
            <w:r>
              <w:rPr>
                <w:spacing w:val="-1"/>
                <w:sz w:val="22"/>
              </w:rPr>
              <w:t> </w:t>
            </w:r>
            <w:r>
              <w:rPr>
                <w:spacing w:val="-2"/>
                <w:sz w:val="22"/>
              </w:rPr>
              <w:t>confirmed,</w:t>
            </w:r>
          </w:p>
          <w:p>
            <w:pPr>
              <w:pStyle w:val="TableParagraph"/>
              <w:spacing w:before="37"/>
              <w:ind w:left="106"/>
              <w:rPr>
                <w:sz w:val="22"/>
              </w:rPr>
            </w:pPr>
            <w:r>
              <w:rPr>
                <w:sz w:val="22"/>
              </w:rPr>
              <w:t>secondary</w:t>
            </w:r>
            <w:r>
              <w:rPr>
                <w:spacing w:val="-7"/>
                <w:sz w:val="22"/>
              </w:rPr>
              <w:t> </w:t>
            </w:r>
            <w:r>
              <w:rPr>
                <w:sz w:val="22"/>
              </w:rPr>
              <w:t>association</w:t>
            </w:r>
            <w:r>
              <w:rPr>
                <w:spacing w:val="-8"/>
                <w:sz w:val="22"/>
              </w:rPr>
              <w:t> </w:t>
            </w:r>
            <w:r>
              <w:rPr>
                <w:sz w:val="22"/>
              </w:rPr>
              <w:t>(Table</w:t>
            </w:r>
            <w:r>
              <w:rPr>
                <w:spacing w:val="-4"/>
                <w:sz w:val="22"/>
              </w:rPr>
              <w:t> </w:t>
            </w:r>
            <w:r>
              <w:rPr>
                <w:spacing w:val="-5"/>
                <w:sz w:val="22"/>
              </w:rPr>
              <w:t>2b)</w:t>
            </w:r>
          </w:p>
        </w:tc>
      </w:tr>
      <w:tr>
        <w:trPr>
          <w:trHeight w:val="862" w:hRule="atLeast"/>
        </w:trPr>
        <w:tc>
          <w:tcPr>
            <w:tcW w:w="667" w:type="dxa"/>
          </w:tcPr>
          <w:p>
            <w:pPr>
              <w:pStyle w:val="TableParagraph"/>
              <w:spacing w:before="32"/>
              <w:ind w:left="0"/>
              <w:rPr>
                <w:b/>
                <w:sz w:val="22"/>
              </w:rPr>
            </w:pPr>
          </w:p>
          <w:p>
            <w:pPr>
              <w:pStyle w:val="TableParagraph"/>
              <w:spacing w:before="1"/>
              <w:rPr>
                <w:sz w:val="22"/>
              </w:rPr>
            </w:pPr>
            <w:r>
              <w:rPr>
                <w:spacing w:val="-5"/>
                <w:sz w:val="22"/>
              </w:rPr>
              <w:t>L3</w:t>
            </w:r>
          </w:p>
        </w:tc>
        <w:tc>
          <w:tcPr>
            <w:tcW w:w="2615" w:type="dxa"/>
          </w:tcPr>
          <w:p>
            <w:pPr>
              <w:pStyle w:val="TableParagraph"/>
              <w:spacing w:line="276" w:lineRule="auto"/>
              <w:ind w:right="262"/>
              <w:rPr>
                <w:sz w:val="22"/>
              </w:rPr>
            </w:pPr>
            <w:r>
              <w:rPr>
                <w:sz w:val="22"/>
              </w:rPr>
              <w:t>Holding-limit analysis inherits</w:t>
            </w:r>
            <w:r>
              <w:rPr>
                <w:spacing w:val="-14"/>
                <w:sz w:val="22"/>
              </w:rPr>
              <w:t> </w:t>
            </w:r>
            <w:r>
              <w:rPr>
                <w:sz w:val="22"/>
              </w:rPr>
              <w:t>partial-validation</w:t>
            </w:r>
          </w:p>
          <w:p>
            <w:pPr>
              <w:pStyle w:val="TableParagraph"/>
              <w:spacing w:line="251" w:lineRule="exact"/>
              <w:rPr>
                <w:sz w:val="22"/>
              </w:rPr>
            </w:pPr>
            <w:r>
              <w:rPr>
                <w:spacing w:val="-2"/>
                <w:sz w:val="22"/>
              </w:rPr>
              <w:t>status</w:t>
            </w:r>
          </w:p>
        </w:tc>
        <w:tc>
          <w:tcPr>
            <w:tcW w:w="1250" w:type="dxa"/>
          </w:tcPr>
          <w:p>
            <w:pPr>
              <w:pStyle w:val="TableParagraph"/>
              <w:spacing w:before="32"/>
              <w:ind w:left="0"/>
              <w:rPr>
                <w:b/>
                <w:sz w:val="22"/>
              </w:rPr>
            </w:pPr>
          </w:p>
          <w:p>
            <w:pPr>
              <w:pStyle w:val="TableParagraph"/>
              <w:spacing w:before="1"/>
              <w:rPr>
                <w:sz w:val="22"/>
              </w:rPr>
            </w:pPr>
            <w:r>
              <w:rPr>
                <w:spacing w:val="-2"/>
                <w:sz w:val="22"/>
              </w:rPr>
              <w:t>Medium</w:t>
            </w:r>
          </w:p>
        </w:tc>
        <w:tc>
          <w:tcPr>
            <w:tcW w:w="3781" w:type="dxa"/>
          </w:tcPr>
          <w:p>
            <w:pPr>
              <w:pStyle w:val="TableParagraph"/>
              <w:spacing w:line="276" w:lineRule="auto" w:before="142"/>
              <w:ind w:left="106"/>
              <w:rPr>
                <w:sz w:val="22"/>
              </w:rPr>
            </w:pPr>
            <w:r>
              <w:rPr>
                <w:sz w:val="22"/>
              </w:rPr>
              <w:t>LOLR</w:t>
            </w:r>
            <w:r>
              <w:rPr>
                <w:spacing w:val="-6"/>
                <w:sz w:val="22"/>
              </w:rPr>
              <w:t> </w:t>
            </w:r>
            <w:r>
              <w:rPr>
                <w:sz w:val="22"/>
              </w:rPr>
              <w:t>is</w:t>
            </w:r>
            <w:r>
              <w:rPr>
                <w:spacing w:val="-7"/>
                <w:sz w:val="22"/>
              </w:rPr>
              <w:t> </w:t>
            </w:r>
            <w:r>
              <w:rPr>
                <w:sz w:val="22"/>
              </w:rPr>
              <w:t>an</w:t>
            </w:r>
            <w:r>
              <w:rPr>
                <w:spacing w:val="-5"/>
                <w:sz w:val="22"/>
              </w:rPr>
              <w:t> </w:t>
            </w:r>
            <w:r>
              <w:rPr>
                <w:sz w:val="22"/>
              </w:rPr>
              <w:t>exogenous</w:t>
            </w:r>
            <w:r>
              <w:rPr>
                <w:spacing w:val="-5"/>
                <w:sz w:val="22"/>
              </w:rPr>
              <w:t> </w:t>
            </w:r>
            <w:r>
              <w:rPr>
                <w:sz w:val="22"/>
              </w:rPr>
              <w:t>rule,</w:t>
            </w:r>
            <w:r>
              <w:rPr>
                <w:spacing w:val="-8"/>
                <w:sz w:val="22"/>
              </w:rPr>
              <w:t> </w:t>
            </w:r>
            <w:r>
              <w:rPr>
                <w:sz w:val="22"/>
              </w:rPr>
              <w:t>not</w:t>
            </w:r>
            <w:r>
              <w:rPr>
                <w:spacing w:val="-4"/>
                <w:sz w:val="22"/>
              </w:rPr>
              <w:t> </w:t>
            </w:r>
            <w:r>
              <w:rPr>
                <w:sz w:val="22"/>
              </w:rPr>
              <w:t>an optimised reaction function</w:t>
            </w:r>
          </w:p>
        </w:tc>
      </w:tr>
      <w:tr>
        <w:trPr>
          <w:trHeight w:val="570" w:hRule="atLeast"/>
        </w:trPr>
        <w:tc>
          <w:tcPr>
            <w:tcW w:w="667" w:type="dxa"/>
          </w:tcPr>
          <w:p>
            <w:pPr>
              <w:pStyle w:val="TableParagraph"/>
              <w:spacing w:before="139"/>
              <w:rPr>
                <w:sz w:val="22"/>
              </w:rPr>
            </w:pPr>
            <w:r>
              <w:rPr>
                <w:spacing w:val="-5"/>
                <w:sz w:val="22"/>
              </w:rPr>
              <w:t>L3a</w:t>
            </w:r>
          </w:p>
        </w:tc>
        <w:tc>
          <w:tcPr>
            <w:tcW w:w="2615" w:type="dxa"/>
          </w:tcPr>
          <w:p>
            <w:pPr>
              <w:pStyle w:val="TableParagraph"/>
              <w:spacing w:line="249" w:lineRule="exact"/>
              <w:rPr>
                <w:sz w:val="22"/>
              </w:rPr>
            </w:pPr>
            <w:r>
              <w:rPr>
                <w:sz w:val="22"/>
              </w:rPr>
              <w:t>Panel-version</w:t>
            </w:r>
            <w:r>
              <w:rPr>
                <w:spacing w:val="-10"/>
                <w:sz w:val="22"/>
              </w:rPr>
              <w:t> </w:t>
            </w:r>
            <w:r>
              <w:rPr>
                <w:spacing w:val="-2"/>
                <w:sz w:val="22"/>
              </w:rPr>
              <w:t>consistency</w:t>
            </w:r>
          </w:p>
          <w:p>
            <w:pPr>
              <w:pStyle w:val="TableParagraph"/>
              <w:spacing w:before="37"/>
              <w:rPr>
                <w:sz w:val="22"/>
              </w:rPr>
            </w:pPr>
            <w:r>
              <w:rPr>
                <w:sz w:val="22"/>
              </w:rPr>
              <w:t>across</w:t>
            </w:r>
            <w:r>
              <w:rPr>
                <w:spacing w:val="-7"/>
                <w:sz w:val="22"/>
              </w:rPr>
              <w:t> </w:t>
            </w:r>
            <w:r>
              <w:rPr>
                <w:spacing w:val="-2"/>
                <w:sz w:val="22"/>
              </w:rPr>
              <w:t>tables</w:t>
            </w:r>
          </w:p>
        </w:tc>
        <w:tc>
          <w:tcPr>
            <w:tcW w:w="1250" w:type="dxa"/>
          </w:tcPr>
          <w:p>
            <w:pPr>
              <w:pStyle w:val="TableParagraph"/>
              <w:spacing w:before="139"/>
              <w:rPr>
                <w:sz w:val="22"/>
              </w:rPr>
            </w:pPr>
            <w:r>
              <w:rPr>
                <w:spacing w:val="-2"/>
                <w:sz w:val="22"/>
              </w:rPr>
              <w:t>Resolved</w:t>
            </w:r>
          </w:p>
        </w:tc>
        <w:tc>
          <w:tcPr>
            <w:tcW w:w="3781" w:type="dxa"/>
          </w:tcPr>
          <w:p>
            <w:pPr>
              <w:pStyle w:val="TableParagraph"/>
              <w:spacing w:line="249" w:lineRule="exact"/>
              <w:ind w:left="106"/>
              <w:rPr>
                <w:sz w:val="22"/>
              </w:rPr>
            </w:pPr>
            <w:r>
              <w:rPr>
                <w:sz w:val="22"/>
              </w:rPr>
              <w:t>Current</w:t>
            </w:r>
            <w:r>
              <w:rPr>
                <w:spacing w:val="-3"/>
                <w:sz w:val="22"/>
              </w:rPr>
              <w:t> </w:t>
            </w:r>
            <w:r>
              <w:rPr>
                <w:sz w:val="22"/>
              </w:rPr>
              <w:t>package</w:t>
            </w:r>
            <w:r>
              <w:rPr>
                <w:spacing w:val="-4"/>
                <w:sz w:val="22"/>
              </w:rPr>
              <w:t> </w:t>
            </w:r>
            <w:r>
              <w:rPr>
                <w:sz w:val="22"/>
              </w:rPr>
              <w:t>matches</w:t>
            </w:r>
            <w:r>
              <w:rPr>
                <w:spacing w:val="-4"/>
                <w:sz w:val="22"/>
              </w:rPr>
              <w:t> </w:t>
            </w:r>
            <w:r>
              <w:rPr>
                <w:sz w:val="22"/>
              </w:rPr>
              <w:t>the</w:t>
            </w:r>
            <w:r>
              <w:rPr>
                <w:spacing w:val="-6"/>
                <w:sz w:val="22"/>
              </w:rPr>
              <w:t> </w:t>
            </w:r>
            <w:r>
              <w:rPr>
                <w:sz w:val="22"/>
              </w:rPr>
              <w:t>n=81</w:t>
            </w:r>
            <w:r>
              <w:rPr>
                <w:spacing w:val="-3"/>
                <w:sz w:val="22"/>
              </w:rPr>
              <w:t> </w:t>
            </w:r>
            <w:r>
              <w:rPr>
                <w:spacing w:val="-5"/>
                <w:sz w:val="22"/>
              </w:rPr>
              <w:t>(15</w:t>
            </w:r>
          </w:p>
          <w:p>
            <w:pPr>
              <w:pStyle w:val="TableParagraph"/>
              <w:spacing w:before="37"/>
              <w:ind w:left="106"/>
              <w:rPr>
                <w:sz w:val="22"/>
              </w:rPr>
            </w:pPr>
            <w:r>
              <w:rPr>
                <w:sz w:val="22"/>
              </w:rPr>
              <w:t>verified/66</w:t>
            </w:r>
            <w:r>
              <w:rPr>
                <w:spacing w:val="-6"/>
                <w:sz w:val="22"/>
              </w:rPr>
              <w:t> </w:t>
            </w:r>
            <w:r>
              <w:rPr>
                <w:sz w:val="22"/>
              </w:rPr>
              <w:t>estimated)</w:t>
            </w:r>
            <w:r>
              <w:rPr>
                <w:spacing w:val="-5"/>
                <w:sz w:val="22"/>
              </w:rPr>
              <w:t> </w:t>
            </w:r>
            <w:r>
              <w:rPr>
                <w:sz w:val="22"/>
              </w:rPr>
              <w:t>panel</w:t>
            </w:r>
            <w:r>
              <w:rPr>
                <w:spacing w:val="-5"/>
                <w:sz w:val="22"/>
              </w:rPr>
              <w:t> </w:t>
            </w:r>
            <w:r>
              <w:rPr>
                <w:spacing w:val="-2"/>
                <w:sz w:val="22"/>
              </w:rPr>
              <w:t>throughout</w:t>
            </w:r>
          </w:p>
        </w:tc>
      </w:tr>
      <w:tr>
        <w:trPr>
          <w:trHeight w:val="862" w:hRule="atLeast"/>
        </w:trPr>
        <w:tc>
          <w:tcPr>
            <w:tcW w:w="667" w:type="dxa"/>
          </w:tcPr>
          <w:p>
            <w:pPr>
              <w:pStyle w:val="TableParagraph"/>
              <w:spacing w:before="32"/>
              <w:ind w:left="0"/>
              <w:rPr>
                <w:b/>
                <w:sz w:val="22"/>
              </w:rPr>
            </w:pPr>
          </w:p>
          <w:p>
            <w:pPr>
              <w:pStyle w:val="TableParagraph"/>
              <w:spacing w:before="1"/>
              <w:rPr>
                <w:sz w:val="22"/>
              </w:rPr>
            </w:pPr>
            <w:r>
              <w:rPr>
                <w:spacing w:val="-5"/>
                <w:sz w:val="22"/>
              </w:rPr>
              <w:t>L4</w:t>
            </w:r>
          </w:p>
        </w:tc>
        <w:tc>
          <w:tcPr>
            <w:tcW w:w="2615" w:type="dxa"/>
          </w:tcPr>
          <w:p>
            <w:pPr>
              <w:pStyle w:val="TableParagraph"/>
              <w:spacing w:line="278" w:lineRule="auto" w:before="139"/>
              <w:ind w:right="419"/>
              <w:rPr>
                <w:sz w:val="22"/>
              </w:rPr>
            </w:pPr>
            <w:r>
              <w:rPr>
                <w:sz w:val="22"/>
              </w:rPr>
              <w:t>T=90-day</w:t>
            </w:r>
            <w:r>
              <w:rPr>
                <w:spacing w:val="-14"/>
                <w:sz w:val="22"/>
              </w:rPr>
              <w:t> </w:t>
            </w:r>
            <w:r>
              <w:rPr>
                <w:sz w:val="22"/>
              </w:rPr>
              <w:t>deterministic shock wave</w:t>
            </w:r>
          </w:p>
        </w:tc>
        <w:tc>
          <w:tcPr>
            <w:tcW w:w="1250" w:type="dxa"/>
          </w:tcPr>
          <w:p>
            <w:pPr>
              <w:pStyle w:val="TableParagraph"/>
              <w:spacing w:before="32"/>
              <w:ind w:left="0"/>
              <w:rPr>
                <w:b/>
                <w:sz w:val="22"/>
              </w:rPr>
            </w:pPr>
          </w:p>
          <w:p>
            <w:pPr>
              <w:pStyle w:val="TableParagraph"/>
              <w:spacing w:before="1"/>
              <w:rPr>
                <w:sz w:val="22"/>
              </w:rPr>
            </w:pPr>
            <w:r>
              <w:rPr>
                <w:spacing w:val="-2"/>
                <w:sz w:val="22"/>
              </w:rPr>
              <w:t>Medium</w:t>
            </w:r>
          </w:p>
        </w:tc>
        <w:tc>
          <w:tcPr>
            <w:tcW w:w="3781" w:type="dxa"/>
          </w:tcPr>
          <w:p>
            <w:pPr>
              <w:pStyle w:val="TableParagraph"/>
              <w:spacing w:line="249" w:lineRule="exact"/>
              <w:ind w:left="106"/>
              <w:rPr>
                <w:sz w:val="22"/>
              </w:rPr>
            </w:pPr>
            <w:r>
              <w:rPr>
                <w:sz w:val="22"/>
              </w:rPr>
              <w:t>Underestimates</w:t>
            </w:r>
            <w:r>
              <w:rPr>
                <w:spacing w:val="-12"/>
                <w:sz w:val="22"/>
              </w:rPr>
              <w:t> </w:t>
            </w:r>
            <w:r>
              <w:rPr>
                <w:sz w:val="22"/>
              </w:rPr>
              <w:t>sub-</w:t>
            </w:r>
            <w:r>
              <w:rPr>
                <w:spacing w:val="-5"/>
                <w:sz w:val="22"/>
              </w:rPr>
              <w:t>48h</w:t>
            </w:r>
          </w:p>
          <w:p>
            <w:pPr>
              <w:pStyle w:val="TableParagraph"/>
              <w:spacing w:line="290" w:lineRule="atLeast"/>
              <w:ind w:left="106" w:right="59"/>
              <w:rPr>
                <w:sz w:val="22"/>
              </w:rPr>
            </w:pPr>
            <w:r>
              <w:rPr>
                <w:sz w:val="22"/>
              </w:rPr>
              <w:t>social-media-speed</w:t>
            </w:r>
            <w:r>
              <w:rPr>
                <w:spacing w:val="-14"/>
                <w:sz w:val="22"/>
              </w:rPr>
              <w:t> </w:t>
            </w:r>
            <w:r>
              <w:rPr>
                <w:sz w:val="22"/>
              </w:rPr>
              <w:t>dynamics</w:t>
            </w:r>
            <w:r>
              <w:rPr>
                <w:spacing w:val="-14"/>
                <w:sz w:val="22"/>
              </w:rPr>
              <w:t> </w:t>
            </w:r>
            <w:r>
              <w:rPr>
                <w:sz w:val="22"/>
              </w:rPr>
              <w:t>(SVB 2023; Cookson et al., 2023)</w:t>
            </w:r>
          </w:p>
        </w:tc>
      </w:tr>
      <w:tr>
        <w:trPr>
          <w:trHeight w:val="860" w:hRule="atLeast"/>
        </w:trPr>
        <w:tc>
          <w:tcPr>
            <w:tcW w:w="667" w:type="dxa"/>
          </w:tcPr>
          <w:p>
            <w:pPr>
              <w:pStyle w:val="TableParagraph"/>
              <w:spacing w:before="32"/>
              <w:ind w:left="0"/>
              <w:rPr>
                <w:b/>
                <w:sz w:val="22"/>
              </w:rPr>
            </w:pPr>
          </w:p>
          <w:p>
            <w:pPr>
              <w:pStyle w:val="TableParagraph"/>
              <w:spacing w:before="1"/>
              <w:rPr>
                <w:sz w:val="22"/>
              </w:rPr>
            </w:pPr>
            <w:r>
              <w:rPr>
                <w:spacing w:val="-5"/>
                <w:sz w:val="22"/>
              </w:rPr>
              <w:t>L5</w:t>
            </w:r>
          </w:p>
        </w:tc>
        <w:tc>
          <w:tcPr>
            <w:tcW w:w="2615" w:type="dxa"/>
          </w:tcPr>
          <w:p>
            <w:pPr>
              <w:pStyle w:val="TableParagraph"/>
              <w:spacing w:line="276" w:lineRule="auto" w:before="139"/>
              <w:ind w:right="723"/>
              <w:rPr>
                <w:sz w:val="22"/>
              </w:rPr>
            </w:pPr>
            <w:r>
              <w:rPr>
                <w:sz w:val="22"/>
              </w:rPr>
              <w:t>Welfare</w:t>
            </w:r>
            <w:r>
              <w:rPr>
                <w:spacing w:val="-14"/>
                <w:sz w:val="22"/>
              </w:rPr>
              <w:t> </w:t>
            </w:r>
            <w:r>
              <w:rPr>
                <w:sz w:val="22"/>
              </w:rPr>
              <w:t>weights</w:t>
            </w:r>
            <w:r>
              <w:rPr>
                <w:spacing w:val="-14"/>
                <w:sz w:val="22"/>
              </w:rPr>
              <w:t> </w:t>
            </w:r>
            <w:r>
              <w:rPr>
                <w:sz w:val="22"/>
              </w:rPr>
              <w:t>are </w:t>
            </w:r>
            <w:r>
              <w:rPr>
                <w:spacing w:val="-2"/>
                <w:sz w:val="22"/>
              </w:rPr>
              <w:t>author-specified</w:t>
            </w:r>
          </w:p>
        </w:tc>
        <w:tc>
          <w:tcPr>
            <w:tcW w:w="1250" w:type="dxa"/>
          </w:tcPr>
          <w:p>
            <w:pPr>
              <w:pStyle w:val="TableParagraph"/>
              <w:spacing w:before="32"/>
              <w:ind w:left="0"/>
              <w:rPr>
                <w:b/>
                <w:sz w:val="22"/>
              </w:rPr>
            </w:pPr>
          </w:p>
          <w:p>
            <w:pPr>
              <w:pStyle w:val="TableParagraph"/>
              <w:spacing w:before="1"/>
              <w:rPr>
                <w:sz w:val="22"/>
              </w:rPr>
            </w:pPr>
            <w:r>
              <w:rPr>
                <w:spacing w:val="-5"/>
                <w:sz w:val="22"/>
              </w:rPr>
              <w:t>Low</w:t>
            </w:r>
          </w:p>
        </w:tc>
        <w:tc>
          <w:tcPr>
            <w:tcW w:w="3781" w:type="dxa"/>
          </w:tcPr>
          <w:p>
            <w:pPr>
              <w:pStyle w:val="TableParagraph"/>
              <w:spacing w:line="246" w:lineRule="exact"/>
              <w:ind w:left="106"/>
              <w:rPr>
                <w:sz w:val="22"/>
              </w:rPr>
            </w:pPr>
            <w:r>
              <w:rPr>
                <w:sz w:val="22"/>
              </w:rPr>
              <w:t>Revealed-preference</w:t>
            </w:r>
            <w:r>
              <w:rPr>
                <w:spacing w:val="-11"/>
                <w:sz w:val="22"/>
              </w:rPr>
              <w:t> </w:t>
            </w:r>
            <w:r>
              <w:rPr>
                <w:sz w:val="22"/>
              </w:rPr>
              <w:t>sensitivity</w:t>
            </w:r>
            <w:r>
              <w:rPr>
                <w:spacing w:val="-11"/>
                <w:sz w:val="22"/>
              </w:rPr>
              <w:t> </w:t>
            </w:r>
            <w:r>
              <w:rPr>
                <w:spacing w:val="-2"/>
                <w:sz w:val="22"/>
              </w:rPr>
              <w:t>leaves</w:t>
            </w:r>
          </w:p>
          <w:p>
            <w:pPr>
              <w:pStyle w:val="TableParagraph"/>
              <w:spacing w:line="290" w:lineRule="atLeast" w:before="2"/>
              <w:ind w:left="106"/>
              <w:rPr>
                <w:sz w:val="22"/>
              </w:rPr>
            </w:pPr>
            <w:r>
              <w:rPr>
                <w:sz w:val="22"/>
              </w:rPr>
              <w:t>the</w:t>
            </w:r>
            <w:r>
              <w:rPr>
                <w:spacing w:val="-12"/>
                <w:sz w:val="22"/>
              </w:rPr>
              <w:t> </w:t>
            </w:r>
            <w:r>
              <w:rPr>
                <w:sz w:val="22"/>
              </w:rPr>
              <w:t>within-CBDC</w:t>
            </w:r>
            <w:r>
              <w:rPr>
                <w:spacing w:val="-13"/>
                <w:sz w:val="22"/>
              </w:rPr>
              <w:t> </w:t>
            </w:r>
            <w:r>
              <w:rPr>
                <w:sz w:val="22"/>
              </w:rPr>
              <w:t>ranking</w:t>
            </w:r>
            <w:r>
              <w:rPr>
                <w:spacing w:val="-12"/>
                <w:sz w:val="22"/>
              </w:rPr>
              <w:t> </w:t>
            </w:r>
            <w:r>
              <w:rPr>
                <w:sz w:val="22"/>
              </w:rPr>
              <w:t>unchanged </w:t>
            </w:r>
            <w:r>
              <w:rPr>
                <w:spacing w:val="-2"/>
                <w:sz w:val="22"/>
              </w:rPr>
              <w:t>(§5.6)</w:t>
            </w:r>
          </w:p>
        </w:tc>
      </w:tr>
      <w:tr>
        <w:trPr>
          <w:trHeight w:val="862" w:hRule="atLeast"/>
        </w:trPr>
        <w:tc>
          <w:tcPr>
            <w:tcW w:w="667" w:type="dxa"/>
          </w:tcPr>
          <w:p>
            <w:pPr>
              <w:pStyle w:val="TableParagraph"/>
              <w:spacing w:before="32"/>
              <w:ind w:left="0"/>
              <w:rPr>
                <w:b/>
                <w:sz w:val="22"/>
              </w:rPr>
            </w:pPr>
          </w:p>
          <w:p>
            <w:pPr>
              <w:pStyle w:val="TableParagraph"/>
              <w:spacing w:before="1"/>
              <w:rPr>
                <w:sz w:val="22"/>
              </w:rPr>
            </w:pPr>
            <w:r>
              <w:rPr>
                <w:spacing w:val="-5"/>
                <w:sz w:val="22"/>
              </w:rPr>
              <w:t>L6</w:t>
            </w:r>
          </w:p>
        </w:tc>
        <w:tc>
          <w:tcPr>
            <w:tcW w:w="2615" w:type="dxa"/>
          </w:tcPr>
          <w:p>
            <w:pPr>
              <w:pStyle w:val="TableParagraph"/>
              <w:spacing w:line="276" w:lineRule="auto"/>
              <w:rPr>
                <w:sz w:val="22"/>
              </w:rPr>
            </w:pPr>
            <w:r>
              <w:rPr>
                <w:sz w:val="22"/>
              </w:rPr>
              <w:t>θ₂=0.2466</w:t>
            </w:r>
            <w:r>
              <w:rPr>
                <w:spacing w:val="-14"/>
                <w:sz w:val="22"/>
              </w:rPr>
              <w:t> </w:t>
            </w:r>
            <w:r>
              <w:rPr>
                <w:sz w:val="22"/>
              </w:rPr>
              <w:t>falls</w:t>
            </w:r>
            <w:r>
              <w:rPr>
                <w:spacing w:val="-14"/>
                <w:sz w:val="22"/>
              </w:rPr>
              <w:t> </w:t>
            </w:r>
            <w:r>
              <w:rPr>
                <w:sz w:val="22"/>
              </w:rPr>
              <w:t>slightly above the literature-</w:t>
            </w:r>
          </w:p>
          <w:p>
            <w:pPr>
              <w:pStyle w:val="TableParagraph"/>
              <w:spacing w:line="251" w:lineRule="exact"/>
              <w:rPr>
                <w:sz w:val="22"/>
              </w:rPr>
            </w:pPr>
            <w:r>
              <w:rPr>
                <w:sz w:val="22"/>
              </w:rPr>
              <w:t>implied</w:t>
            </w:r>
            <w:r>
              <w:rPr>
                <w:spacing w:val="-6"/>
                <w:sz w:val="22"/>
              </w:rPr>
              <w:t> </w:t>
            </w:r>
            <w:r>
              <w:rPr>
                <w:sz w:val="22"/>
              </w:rPr>
              <w:t>product</w:t>
            </w:r>
            <w:r>
              <w:rPr>
                <w:spacing w:val="-6"/>
                <w:sz w:val="22"/>
              </w:rPr>
              <w:t> </w:t>
            </w:r>
            <w:r>
              <w:rPr>
                <w:spacing w:val="-2"/>
                <w:sz w:val="22"/>
              </w:rPr>
              <w:t>range</w:t>
            </w:r>
          </w:p>
        </w:tc>
        <w:tc>
          <w:tcPr>
            <w:tcW w:w="1250" w:type="dxa"/>
          </w:tcPr>
          <w:p>
            <w:pPr>
              <w:pStyle w:val="TableParagraph"/>
              <w:spacing w:before="32"/>
              <w:ind w:left="0"/>
              <w:rPr>
                <w:b/>
                <w:sz w:val="22"/>
              </w:rPr>
            </w:pPr>
          </w:p>
          <w:p>
            <w:pPr>
              <w:pStyle w:val="TableParagraph"/>
              <w:spacing w:before="1"/>
              <w:rPr>
                <w:sz w:val="22"/>
              </w:rPr>
            </w:pPr>
            <w:r>
              <w:rPr>
                <w:spacing w:val="-5"/>
                <w:sz w:val="22"/>
              </w:rPr>
              <w:t>Low</w:t>
            </w:r>
          </w:p>
        </w:tc>
        <w:tc>
          <w:tcPr>
            <w:tcW w:w="3781" w:type="dxa"/>
          </w:tcPr>
          <w:p>
            <w:pPr>
              <w:pStyle w:val="TableParagraph"/>
              <w:spacing w:line="276" w:lineRule="auto"/>
              <w:ind w:left="106"/>
              <w:rPr>
                <w:sz w:val="22"/>
              </w:rPr>
            </w:pPr>
            <w:r>
              <w:rPr>
                <w:sz w:val="22"/>
              </w:rPr>
              <w:t>Does not imply over-calibration; the literature</w:t>
            </w:r>
            <w:r>
              <w:rPr>
                <w:spacing w:val="-9"/>
                <w:sz w:val="22"/>
              </w:rPr>
              <w:t> </w:t>
            </w:r>
            <w:r>
              <w:rPr>
                <w:sz w:val="22"/>
              </w:rPr>
              <w:t>range</w:t>
            </w:r>
            <w:r>
              <w:rPr>
                <w:spacing w:val="-9"/>
                <w:sz w:val="22"/>
              </w:rPr>
              <w:t> </w:t>
            </w:r>
            <w:r>
              <w:rPr>
                <w:sz w:val="22"/>
              </w:rPr>
              <w:t>is</w:t>
            </w:r>
            <w:r>
              <w:rPr>
                <w:spacing w:val="-9"/>
                <w:sz w:val="22"/>
              </w:rPr>
              <w:t> </w:t>
            </w:r>
            <w:r>
              <w:rPr>
                <w:sz w:val="22"/>
              </w:rPr>
              <w:t>derived</w:t>
            </w:r>
            <w:r>
              <w:rPr>
                <w:spacing w:val="-8"/>
                <w:sz w:val="22"/>
              </w:rPr>
              <w:t> </w:t>
            </w:r>
            <w:r>
              <w:rPr>
                <w:sz w:val="22"/>
              </w:rPr>
              <w:t>independently</w:t>
            </w:r>
          </w:p>
          <w:p>
            <w:pPr>
              <w:pStyle w:val="TableParagraph"/>
              <w:spacing w:line="251" w:lineRule="exact"/>
              <w:ind w:left="106"/>
              <w:rPr>
                <w:sz w:val="22"/>
              </w:rPr>
            </w:pPr>
            <w:r>
              <w:rPr>
                <w:sz w:val="22"/>
              </w:rPr>
              <w:t>of</w:t>
            </w:r>
            <w:r>
              <w:rPr>
                <w:spacing w:val="-2"/>
                <w:sz w:val="22"/>
              </w:rPr>
              <w:t> </w:t>
            </w:r>
            <w:r>
              <w:rPr>
                <w:spacing w:val="-5"/>
                <w:sz w:val="22"/>
              </w:rPr>
              <w:t>θ₂</w:t>
            </w:r>
          </w:p>
        </w:tc>
      </w:tr>
      <w:tr>
        <w:trPr>
          <w:trHeight w:val="860" w:hRule="atLeast"/>
        </w:trPr>
        <w:tc>
          <w:tcPr>
            <w:tcW w:w="667" w:type="dxa"/>
          </w:tcPr>
          <w:p>
            <w:pPr>
              <w:pStyle w:val="TableParagraph"/>
              <w:spacing w:before="32"/>
              <w:ind w:left="0"/>
              <w:rPr>
                <w:b/>
                <w:sz w:val="22"/>
              </w:rPr>
            </w:pPr>
          </w:p>
          <w:p>
            <w:pPr>
              <w:pStyle w:val="TableParagraph"/>
              <w:spacing w:before="1"/>
              <w:rPr>
                <w:sz w:val="22"/>
              </w:rPr>
            </w:pPr>
            <w:r>
              <w:rPr>
                <w:spacing w:val="-5"/>
                <w:sz w:val="22"/>
              </w:rPr>
              <w:t>L7</w:t>
            </w:r>
          </w:p>
        </w:tc>
        <w:tc>
          <w:tcPr>
            <w:tcW w:w="2615" w:type="dxa"/>
          </w:tcPr>
          <w:p>
            <w:pPr>
              <w:pStyle w:val="TableParagraph"/>
              <w:spacing w:line="246" w:lineRule="exact"/>
              <w:rPr>
                <w:sz w:val="22"/>
              </w:rPr>
            </w:pPr>
            <w:r>
              <w:rPr>
                <w:sz w:val="22"/>
              </w:rPr>
              <w:t>5.5M–7.5M</w:t>
            </w:r>
            <w:r>
              <w:rPr>
                <w:spacing w:val="-6"/>
                <w:sz w:val="22"/>
              </w:rPr>
              <w:t> </w:t>
            </w:r>
            <w:r>
              <w:rPr>
                <w:spacing w:val="-5"/>
                <w:sz w:val="22"/>
              </w:rPr>
              <w:t>KRW</w:t>
            </w:r>
          </w:p>
          <w:p>
            <w:pPr>
              <w:pStyle w:val="TableParagraph"/>
              <w:spacing w:line="290" w:lineRule="atLeast" w:before="2"/>
              <w:ind w:right="1200"/>
              <w:rPr>
                <w:sz w:val="22"/>
              </w:rPr>
            </w:pPr>
            <w:r>
              <w:rPr>
                <w:sz w:val="22"/>
              </w:rPr>
              <w:t>thresholds are </w:t>
            </w:r>
            <w:r>
              <w:rPr>
                <w:spacing w:val="-2"/>
                <w:sz w:val="22"/>
              </w:rPr>
              <w:t>Korea-specific</w:t>
            </w:r>
          </w:p>
        </w:tc>
        <w:tc>
          <w:tcPr>
            <w:tcW w:w="1250" w:type="dxa"/>
          </w:tcPr>
          <w:p>
            <w:pPr>
              <w:pStyle w:val="TableParagraph"/>
              <w:spacing w:before="32"/>
              <w:ind w:left="0"/>
              <w:rPr>
                <w:b/>
                <w:sz w:val="22"/>
              </w:rPr>
            </w:pPr>
          </w:p>
          <w:p>
            <w:pPr>
              <w:pStyle w:val="TableParagraph"/>
              <w:spacing w:before="1"/>
              <w:rPr>
                <w:sz w:val="22"/>
              </w:rPr>
            </w:pPr>
            <w:r>
              <w:rPr>
                <w:spacing w:val="-2"/>
                <w:sz w:val="22"/>
              </w:rPr>
              <w:t>Medium</w:t>
            </w:r>
          </w:p>
        </w:tc>
        <w:tc>
          <w:tcPr>
            <w:tcW w:w="3781" w:type="dxa"/>
          </w:tcPr>
          <w:p>
            <w:pPr>
              <w:pStyle w:val="TableParagraph"/>
              <w:spacing w:line="246" w:lineRule="exact"/>
              <w:ind w:left="106"/>
              <w:rPr>
                <w:sz w:val="22"/>
              </w:rPr>
            </w:pPr>
            <w:r>
              <w:rPr>
                <w:sz w:val="22"/>
              </w:rPr>
              <w:t>Explicitly</w:t>
            </w:r>
            <w:r>
              <w:rPr>
                <w:spacing w:val="-8"/>
                <w:sz w:val="22"/>
              </w:rPr>
              <w:t> </w:t>
            </w:r>
            <w:r>
              <w:rPr>
                <w:sz w:val="22"/>
              </w:rPr>
              <w:t>framed</w:t>
            </w:r>
            <w:r>
              <w:rPr>
                <w:spacing w:val="-5"/>
                <w:sz w:val="22"/>
              </w:rPr>
              <w:t> as</w:t>
            </w:r>
          </w:p>
          <w:p>
            <w:pPr>
              <w:pStyle w:val="TableParagraph"/>
              <w:spacing w:line="290" w:lineRule="atLeast" w:before="2"/>
              <w:ind w:left="106"/>
              <w:rPr>
                <w:sz w:val="22"/>
              </w:rPr>
            </w:pPr>
            <w:r>
              <w:rPr>
                <w:sz w:val="22"/>
              </w:rPr>
              <w:t>mechanism-diagnostic,</w:t>
            </w:r>
            <w:r>
              <w:rPr>
                <w:spacing w:val="-14"/>
                <w:sz w:val="22"/>
              </w:rPr>
              <w:t> </w:t>
            </w:r>
            <w:r>
              <w:rPr>
                <w:sz w:val="22"/>
              </w:rPr>
              <w:t>not</w:t>
            </w:r>
            <w:r>
              <w:rPr>
                <w:spacing w:val="-14"/>
                <w:sz w:val="22"/>
              </w:rPr>
              <w:t> </w:t>
            </w:r>
            <w:r>
              <w:rPr>
                <w:sz w:val="22"/>
              </w:rPr>
              <w:t>portable, throughout</w:t>
            </w:r>
            <w:r>
              <w:rPr>
                <w:spacing w:val="40"/>
                <w:sz w:val="22"/>
              </w:rPr>
              <w:t> </w:t>
            </w:r>
            <w:r>
              <w:rPr>
                <w:sz w:val="22"/>
              </w:rPr>
              <w:t>§6</w:t>
            </w:r>
          </w:p>
        </w:tc>
      </w:tr>
      <w:tr>
        <w:trPr>
          <w:trHeight w:val="1442" w:hRule="atLeast"/>
        </w:trPr>
        <w:tc>
          <w:tcPr>
            <w:tcW w:w="667" w:type="dxa"/>
          </w:tcPr>
          <w:p>
            <w:pPr>
              <w:pStyle w:val="TableParagraph"/>
              <w:ind w:left="0"/>
              <w:rPr>
                <w:b/>
                <w:sz w:val="22"/>
              </w:rPr>
            </w:pPr>
          </w:p>
          <w:p>
            <w:pPr>
              <w:pStyle w:val="TableParagraph"/>
              <w:spacing w:before="70"/>
              <w:ind w:left="0"/>
              <w:rPr>
                <w:b/>
                <w:sz w:val="22"/>
              </w:rPr>
            </w:pPr>
          </w:p>
          <w:p>
            <w:pPr>
              <w:pStyle w:val="TableParagraph"/>
              <w:rPr>
                <w:sz w:val="22"/>
              </w:rPr>
            </w:pPr>
            <w:r>
              <w:rPr>
                <w:spacing w:val="-5"/>
                <w:sz w:val="22"/>
              </w:rPr>
              <w:t>L8</w:t>
            </w:r>
          </w:p>
        </w:tc>
        <w:tc>
          <w:tcPr>
            <w:tcW w:w="2615" w:type="dxa"/>
          </w:tcPr>
          <w:p>
            <w:pPr>
              <w:pStyle w:val="TableParagraph"/>
              <w:spacing w:line="276" w:lineRule="auto"/>
              <w:ind w:right="262"/>
              <w:rPr>
                <w:sz w:val="22"/>
              </w:rPr>
            </w:pPr>
            <w:r>
              <w:rPr>
                <w:sz w:val="22"/>
              </w:rPr>
              <w:t>Agent behaviour is parametric,</w:t>
            </w:r>
            <w:r>
              <w:rPr>
                <w:spacing w:val="-14"/>
                <w:sz w:val="22"/>
              </w:rPr>
              <w:t> </w:t>
            </w:r>
            <w:r>
              <w:rPr>
                <w:sz w:val="22"/>
              </w:rPr>
              <w:t>not</w:t>
            </w:r>
            <w:r>
              <w:rPr>
                <w:spacing w:val="-14"/>
                <w:sz w:val="22"/>
              </w:rPr>
              <w:t> </w:t>
            </w:r>
            <w:r>
              <w:rPr>
                <w:sz w:val="22"/>
              </w:rPr>
              <w:t>derived from household optimisation (Lucas</w:t>
            </w:r>
          </w:p>
          <w:p>
            <w:pPr>
              <w:pStyle w:val="TableParagraph"/>
              <w:spacing w:line="252" w:lineRule="exact"/>
              <w:rPr>
                <w:sz w:val="22"/>
              </w:rPr>
            </w:pPr>
            <w:r>
              <w:rPr>
                <w:spacing w:val="-2"/>
                <w:sz w:val="22"/>
              </w:rPr>
              <w:t>critique)</w:t>
            </w:r>
          </w:p>
        </w:tc>
        <w:tc>
          <w:tcPr>
            <w:tcW w:w="1250" w:type="dxa"/>
          </w:tcPr>
          <w:p>
            <w:pPr>
              <w:pStyle w:val="TableParagraph"/>
              <w:spacing w:before="179"/>
              <w:ind w:left="0"/>
              <w:rPr>
                <w:b/>
                <w:sz w:val="22"/>
              </w:rPr>
            </w:pPr>
          </w:p>
          <w:p>
            <w:pPr>
              <w:pStyle w:val="TableParagraph"/>
              <w:spacing w:line="276" w:lineRule="auto"/>
              <w:ind w:right="271"/>
              <w:rPr>
                <w:sz w:val="22"/>
              </w:rPr>
            </w:pPr>
            <w:r>
              <w:rPr>
                <w:spacing w:val="-2"/>
                <w:sz w:val="22"/>
              </w:rPr>
              <w:t>Medium–</w:t>
            </w:r>
            <w:r>
              <w:rPr>
                <w:spacing w:val="-4"/>
                <w:sz w:val="22"/>
              </w:rPr>
              <w:t>High</w:t>
            </w:r>
          </w:p>
        </w:tc>
        <w:tc>
          <w:tcPr>
            <w:tcW w:w="3781" w:type="dxa"/>
          </w:tcPr>
          <w:p>
            <w:pPr>
              <w:pStyle w:val="TableParagraph"/>
              <w:spacing w:line="276" w:lineRule="auto" w:before="139"/>
              <w:ind w:left="106" w:right="114"/>
              <w:rPr>
                <w:sz w:val="22"/>
              </w:rPr>
            </w:pPr>
            <w:r>
              <w:rPr>
                <w:sz w:val="22"/>
              </w:rPr>
              <w:t>Comparative stress test, not a structural equilibrium</w:t>
            </w:r>
            <w:r>
              <w:rPr>
                <w:spacing w:val="-14"/>
                <w:sz w:val="22"/>
              </w:rPr>
              <w:t> </w:t>
            </w:r>
            <w:r>
              <w:rPr>
                <w:sz w:val="22"/>
              </w:rPr>
              <w:t>prediction;</w:t>
            </w:r>
            <w:r>
              <w:rPr>
                <w:spacing w:val="-12"/>
                <w:sz w:val="22"/>
              </w:rPr>
              <w:t> </w:t>
            </w:r>
            <w:r>
              <w:rPr>
                <w:sz w:val="22"/>
              </w:rPr>
              <w:t>a</w:t>
            </w:r>
            <w:r>
              <w:rPr>
                <w:spacing w:val="-13"/>
                <w:sz w:val="22"/>
              </w:rPr>
              <w:t> </w:t>
            </w:r>
            <w:r>
              <w:rPr>
                <w:sz w:val="22"/>
              </w:rPr>
              <w:t>micro-founded extension is the top Future Work priority (§7.4, item vii)</w:t>
            </w:r>
          </w:p>
        </w:tc>
      </w:tr>
    </w:tbl>
    <w:p>
      <w:pPr>
        <w:pStyle w:val="Heading2"/>
        <w:numPr>
          <w:ilvl w:val="1"/>
          <w:numId w:val="1"/>
        </w:numPr>
        <w:tabs>
          <w:tab w:pos="457" w:val="left" w:leader="none"/>
        </w:tabs>
        <w:spacing w:line="240" w:lineRule="auto" w:before="238" w:after="0"/>
        <w:ind w:left="457" w:right="0" w:hanging="358"/>
        <w:jc w:val="left"/>
        <w:rPr>
          <w:i/>
        </w:rPr>
      </w:pPr>
      <w:r>
        <w:rPr>
          <w:i/>
          <w:spacing w:val="-2"/>
        </w:rPr>
        <w:t>Primary-Source</w:t>
      </w:r>
      <w:r>
        <w:rPr>
          <w:i/>
          <w:spacing w:val="1"/>
        </w:rPr>
        <w:t> </w:t>
      </w:r>
      <w:r>
        <w:rPr>
          <w:i/>
          <w:spacing w:val="-2"/>
        </w:rPr>
        <w:t>Verification:</w:t>
      </w:r>
      <w:r>
        <w:rPr>
          <w:i/>
          <w:spacing w:val="5"/>
        </w:rPr>
        <w:t> </w:t>
      </w:r>
      <w:r>
        <w:rPr>
          <w:i/>
          <w:spacing w:val="-2"/>
        </w:rPr>
        <w:t>Attempts</w:t>
      </w:r>
      <w:r>
        <w:rPr>
          <w:i/>
          <w:spacing w:val="3"/>
        </w:rPr>
        <w:t> </w:t>
      </w:r>
      <w:r>
        <w:rPr>
          <w:i/>
          <w:spacing w:val="-2"/>
        </w:rPr>
        <w:t>and</w:t>
      </w:r>
      <w:r>
        <w:rPr>
          <w:i/>
          <w:spacing w:val="4"/>
        </w:rPr>
        <w:t> </w:t>
      </w:r>
      <w:r>
        <w:rPr>
          <w:i/>
          <w:spacing w:val="-2"/>
        </w:rPr>
        <w:t>Findings</w:t>
      </w:r>
    </w:p>
    <w:p>
      <w:pPr>
        <w:pStyle w:val="BodyText"/>
        <w:spacing w:before="81"/>
        <w:ind w:left="0"/>
        <w:rPr>
          <w:b/>
          <w:i/>
        </w:rPr>
      </w:pPr>
    </w:p>
    <w:p>
      <w:pPr>
        <w:pStyle w:val="BodyText"/>
        <w:spacing w:line="480" w:lineRule="auto"/>
        <w:ind w:right="320"/>
        <w:jc w:val="both"/>
      </w:pPr>
      <w:r>
        <w:rPr/>
        <w:t>The limitations in</w:t>
      </w:r>
      <w:r>
        <w:rPr>
          <w:spacing w:val="40"/>
        </w:rPr>
        <w:t> </w:t>
      </w:r>
      <w:r>
        <w:rPr/>
        <w:t>§7.2 are not left purely as caveats. Fourteen primary-source verification attempts have been carried out against public regulatory filings, supervisory records, and press releases, targeting the episodes most likely</w:t>
      </w:r>
      <w:r>
        <w:rPr>
          <w:spacing w:val="-1"/>
        </w:rPr>
        <w:t> </w:t>
      </w:r>
      <w:r>
        <w:rPr/>
        <w:t>to move the verified-only stratum. In aggregate: three episodes were promoted from estimated to verified</w:t>
      </w:r>
      <w:r>
        <w:rPr>
          <w:spacing w:val="40"/>
        </w:rPr>
        <w:t> </w:t>
      </w:r>
      <w:r>
        <w:rPr/>
        <w:t>status</w:t>
      </w:r>
      <w:r>
        <w:rPr>
          <w:spacing w:val="40"/>
        </w:rPr>
        <w:t> </w:t>
      </w:r>
      <w:r>
        <w:rPr/>
        <w:t>(indymac,</w:t>
      </w:r>
      <w:r>
        <w:rPr>
          <w:spacing w:val="40"/>
        </w:rPr>
        <w:t> </w:t>
      </w:r>
      <w:r>
        <w:rPr/>
        <w:t>wachovia,</w:t>
      </w:r>
      <w:r>
        <w:rPr>
          <w:spacing w:val="40"/>
        </w:rPr>
        <w:t> </w:t>
      </w:r>
      <w:r>
        <w:rPr/>
        <w:t>landsbanki),</w:t>
      </w:r>
      <w:r>
        <w:rPr>
          <w:spacing w:val="40"/>
        </w:rPr>
        <w:t> </w:t>
      </w:r>
      <w:r>
        <w:rPr/>
        <w:t>and</w:t>
      </w:r>
      <w:r>
        <w:rPr>
          <w:spacing w:val="40"/>
        </w:rPr>
        <w:t> </w:t>
      </w:r>
      <w:r>
        <w:rPr/>
        <w:t>two</w:t>
      </w:r>
      <w:r>
        <w:rPr>
          <w:spacing w:val="40"/>
        </w:rPr>
        <w:t> </w:t>
      </w:r>
      <w:r>
        <w:rPr/>
        <w:t>further</w:t>
      </w:r>
      <w:r>
        <w:rPr>
          <w:spacing w:val="40"/>
        </w:rPr>
        <w:t> </w:t>
      </w:r>
      <w:r>
        <w:rPr/>
        <w:t>episodes</w:t>
      </w:r>
      <w:r>
        <w:rPr>
          <w:spacing w:val="40"/>
        </w:rPr>
        <w:t> </w:t>
      </w:r>
      <w:r>
        <w:rPr/>
        <w:t>with fully-sourced acute-window figures (Bank of New England, 1991; Countrywide Financial, 2007) are included in the panel, together taking the verified count to 15 out of</w:t>
      </w:r>
      <w:r>
        <w:rPr>
          <w:spacing w:val="34"/>
        </w:rPr>
        <w:t> </w:t>
      </w:r>
      <w:r>
        <w:rPr/>
        <w:t>n=81;</w:t>
      </w:r>
      <w:r>
        <w:rPr>
          <w:spacing w:val="34"/>
        </w:rPr>
        <w:t> </w:t>
      </w:r>
      <w:r>
        <w:rPr/>
        <w:t>two</w:t>
      </w:r>
      <w:r>
        <w:rPr>
          <w:spacing w:val="35"/>
        </w:rPr>
        <w:t> </w:t>
      </w:r>
      <w:r>
        <w:rPr/>
        <w:t>episodes</w:t>
      </w:r>
      <w:r>
        <w:rPr>
          <w:spacing w:val="33"/>
        </w:rPr>
        <w:t> </w:t>
      </w:r>
      <w:r>
        <w:rPr/>
        <w:t>received</w:t>
      </w:r>
      <w:r>
        <w:rPr>
          <w:spacing w:val="33"/>
        </w:rPr>
        <w:t> </w:t>
      </w:r>
      <w:r>
        <w:rPr/>
        <w:t>mechanism</w:t>
      </w:r>
      <w:r>
        <w:rPr>
          <w:spacing w:val="36"/>
        </w:rPr>
        <w:t> </w:t>
      </w:r>
      <w:r>
        <w:rPr/>
        <w:t>corrections</w:t>
      </w:r>
      <w:r>
        <w:rPr>
          <w:spacing w:val="35"/>
        </w:rPr>
        <w:t> </w:t>
      </w:r>
      <w:r>
        <w:rPr/>
        <w:t>after</w:t>
      </w:r>
      <w:r>
        <w:rPr>
          <w:spacing w:val="32"/>
        </w:rPr>
        <w:t> </w:t>
      </w:r>
      <w:r>
        <w:rPr/>
        <w:t>primary-source</w:t>
      </w:r>
      <w:r>
        <w:rPr>
          <w:spacing w:val="32"/>
        </w:rPr>
        <w:t> </w:t>
      </w:r>
      <w:r>
        <w:rPr/>
        <w:t>review</w:t>
      </w:r>
    </w:p>
    <w:p>
      <w:pPr>
        <w:pStyle w:val="BodyText"/>
        <w:spacing w:after="0" w:line="480" w:lineRule="auto"/>
        <w:jc w:val="both"/>
        <w:sectPr>
          <w:pgSz w:w="11900" w:h="16820"/>
          <w:pgMar w:header="714" w:footer="0" w:top="1340" w:bottom="280" w:left="1700" w:right="1417"/>
        </w:sectPr>
      </w:pPr>
    </w:p>
    <w:p>
      <w:pPr>
        <w:pStyle w:val="BodyText"/>
        <w:spacing w:line="480" w:lineRule="auto" w:before="79"/>
        <w:ind w:right="213"/>
      </w:pPr>
      <w:r>
        <w:rPr/>
        <w:t>showed they did not involve an acute deposit run at all (guaranty_bank, corus_bank);</w:t>
      </w:r>
      <w:r>
        <w:rPr>
          <w:spacing w:val="40"/>
        </w:rPr>
        <w:t> </w:t>
      </w:r>
      <w:r>
        <w:rPr/>
        <w:t>one episode was structurally excluded because the panel’s retail-run mechanism does not</w:t>
      </w:r>
      <w:r>
        <w:rPr>
          <w:spacing w:val="40"/>
        </w:rPr>
        <w:t> </w:t>
      </w:r>
      <w:r>
        <w:rPr/>
        <w:t>apply</w:t>
      </w:r>
      <w:r>
        <w:rPr>
          <w:spacing w:val="40"/>
        </w:rPr>
        <w:t> </w:t>
      </w:r>
      <w:r>
        <w:rPr/>
        <w:t>to</w:t>
      </w:r>
      <w:r>
        <w:rPr>
          <w:spacing w:val="40"/>
        </w:rPr>
        <w:t> </w:t>
      </w:r>
      <w:r>
        <w:rPr/>
        <w:t>a</w:t>
      </w:r>
      <w:r>
        <w:rPr>
          <w:spacing w:val="40"/>
        </w:rPr>
        <w:t> </w:t>
      </w:r>
      <w:r>
        <w:rPr/>
        <w:t>correspondent-only</w:t>
      </w:r>
      <w:r>
        <w:rPr>
          <w:spacing w:val="40"/>
        </w:rPr>
        <w:t> </w:t>
      </w:r>
      <w:r>
        <w:rPr/>
        <w:t>institution</w:t>
      </w:r>
      <w:r>
        <w:rPr>
          <w:spacing w:val="40"/>
        </w:rPr>
        <w:t> </w:t>
      </w:r>
      <w:r>
        <w:rPr/>
        <w:t>(silverton_bank);</w:t>
      </w:r>
      <w:r>
        <w:rPr>
          <w:spacing w:val="40"/>
        </w:rPr>
        <w:t> </w:t>
      </w:r>
      <w:r>
        <w:rPr/>
        <w:t>and</w:t>
      </w:r>
      <w:r>
        <w:rPr>
          <w:spacing w:val="40"/>
        </w:rPr>
        <w:t> </w:t>
      </w:r>
      <w:r>
        <w:rPr/>
        <w:t>the</w:t>
      </w:r>
      <w:r>
        <w:rPr>
          <w:spacing w:val="40"/>
        </w:rPr>
        <w:t> </w:t>
      </w:r>
      <w:r>
        <w:rPr/>
        <w:t>remaining attempts</w:t>
      </w:r>
      <w:r>
        <w:rPr>
          <w:spacing w:val="40"/>
        </w:rPr>
        <w:t> </w:t>
      </w:r>
      <w:r>
        <w:rPr/>
        <w:t>yielded</w:t>
      </w:r>
      <w:r>
        <w:rPr>
          <w:spacing w:val="40"/>
        </w:rPr>
        <w:t> </w:t>
      </w:r>
      <w:r>
        <w:rPr/>
        <w:t>either</w:t>
      </w:r>
      <w:r>
        <w:rPr>
          <w:spacing w:val="40"/>
        </w:rPr>
        <w:t> </w:t>
      </w:r>
      <w:r>
        <w:rPr/>
        <w:t>partial</w:t>
      </w:r>
      <w:r>
        <w:rPr>
          <w:spacing w:val="40"/>
        </w:rPr>
        <w:t> </w:t>
      </w:r>
      <w:r>
        <w:rPr/>
        <w:t>corroboration</w:t>
      </w:r>
      <w:r>
        <w:rPr>
          <w:spacing w:val="40"/>
        </w:rPr>
        <w:t> </w:t>
      </w:r>
      <w:r>
        <w:rPr/>
        <w:t>that</w:t>
      </w:r>
      <w:r>
        <w:rPr>
          <w:spacing w:val="40"/>
        </w:rPr>
        <w:t> </w:t>
      </w:r>
      <w:r>
        <w:rPr/>
        <w:t>did</w:t>
      </w:r>
      <w:r>
        <w:rPr>
          <w:spacing w:val="40"/>
        </w:rPr>
        <w:t> </w:t>
      </w:r>
      <w:r>
        <w:rPr/>
        <w:t>not</w:t>
      </w:r>
      <w:r>
        <w:rPr>
          <w:spacing w:val="40"/>
        </w:rPr>
        <w:t> </w:t>
      </w:r>
      <w:r>
        <w:rPr/>
        <w:t>meet</w:t>
      </w:r>
      <w:r>
        <w:rPr>
          <w:spacing w:val="40"/>
        </w:rPr>
        <w:t> </w:t>
      </w:r>
      <w:r>
        <w:rPr/>
        <w:t>the</w:t>
      </w:r>
      <w:r>
        <w:rPr>
          <w:spacing w:val="40"/>
        </w:rPr>
        <w:t> </w:t>
      </w:r>
      <w:r>
        <w:rPr/>
        <w:t>acute-window verification</w:t>
      </w:r>
      <w:r>
        <w:rPr>
          <w:spacing w:val="77"/>
        </w:rPr>
        <w:t> </w:t>
      </w:r>
      <w:r>
        <w:rPr/>
        <w:t>bar,</w:t>
      </w:r>
      <w:r>
        <w:rPr>
          <w:spacing w:val="77"/>
        </w:rPr>
        <w:t> </w:t>
      </w:r>
      <w:r>
        <w:rPr/>
        <w:t>or</w:t>
      </w:r>
      <w:r>
        <w:rPr>
          <w:spacing w:val="79"/>
        </w:rPr>
        <w:t> </w:t>
      </w:r>
      <w:r>
        <w:rPr/>
        <w:t>negative</w:t>
      </w:r>
      <w:r>
        <w:rPr>
          <w:spacing w:val="77"/>
        </w:rPr>
        <w:t> </w:t>
      </w:r>
      <w:r>
        <w:rPr/>
        <w:t>findings</w:t>
      </w:r>
      <w:r>
        <w:rPr>
          <w:spacing w:val="78"/>
        </w:rPr>
        <w:t> </w:t>
      </w:r>
      <w:r>
        <w:rPr/>
        <w:t>(e.g.,</w:t>
      </w:r>
      <w:r>
        <w:rPr>
          <w:spacing w:val="79"/>
        </w:rPr>
        <w:t> </w:t>
      </w:r>
      <w:r>
        <w:rPr/>
        <w:t>no</w:t>
      </w:r>
      <w:r>
        <w:rPr>
          <w:spacing w:val="77"/>
        </w:rPr>
        <w:t> </w:t>
      </w:r>
      <w:r>
        <w:rPr/>
        <w:t>run</w:t>
      </w:r>
      <w:r>
        <w:rPr>
          <w:spacing w:val="77"/>
        </w:rPr>
        <w:t> </w:t>
      </w:r>
      <w:r>
        <w:rPr/>
        <w:t>occurred,</w:t>
      </w:r>
      <w:r>
        <w:rPr>
          <w:spacing w:val="77"/>
        </w:rPr>
        <w:t> </w:t>
      </w:r>
      <w:r>
        <w:rPr/>
        <w:t>or</w:t>
      </w:r>
      <w:r>
        <w:rPr>
          <w:spacing w:val="40"/>
        </w:rPr>
        <w:t> </w:t>
      </w:r>
      <w:r>
        <w:rPr/>
        <w:t>a</w:t>
      </w:r>
      <w:r>
        <w:rPr>
          <w:spacing w:val="79"/>
        </w:rPr>
        <w:t> </w:t>
      </w:r>
      <w:r>
        <w:rPr/>
        <w:t>public</w:t>
      </w:r>
      <w:r>
        <w:rPr>
          <w:spacing w:val="40"/>
        </w:rPr>
        <w:t> </w:t>
      </w:r>
      <w:r>
        <w:rPr/>
        <w:t>source contradicts</w:t>
      </w:r>
      <w:r>
        <w:rPr>
          <w:spacing w:val="80"/>
        </w:rPr>
        <w:t> </w:t>
      </w:r>
      <w:r>
        <w:rPr/>
        <w:t>the</w:t>
      </w:r>
      <w:r>
        <w:rPr>
          <w:spacing w:val="80"/>
        </w:rPr>
        <w:t> </w:t>
      </w:r>
      <w:r>
        <w:rPr/>
        <w:t>reconstructed</w:t>
      </w:r>
      <w:r>
        <w:rPr>
          <w:spacing w:val="80"/>
        </w:rPr>
        <w:t> </w:t>
      </w:r>
      <w:r>
        <w:rPr/>
        <w:t>figure).</w:t>
      </w:r>
      <w:r>
        <w:rPr>
          <w:spacing w:val="80"/>
        </w:rPr>
        <w:t> </w:t>
      </w:r>
      <w:r>
        <w:rPr/>
        <w:t>A</w:t>
      </w:r>
      <w:r>
        <w:rPr>
          <w:spacing w:val="80"/>
        </w:rPr>
        <w:t> </w:t>
      </w:r>
      <w:r>
        <w:rPr/>
        <w:t>further</w:t>
      </w:r>
      <w:r>
        <w:rPr>
          <w:spacing w:val="80"/>
        </w:rPr>
        <w:t> </w:t>
      </w:r>
      <w:r>
        <w:rPr/>
        <w:t>set</w:t>
      </w:r>
      <w:r>
        <w:rPr>
          <w:spacing w:val="80"/>
        </w:rPr>
        <w:t> </w:t>
      </w:r>
      <w:r>
        <w:rPr/>
        <w:t>of</w:t>
      </w:r>
      <w:r>
        <w:rPr>
          <w:spacing w:val="80"/>
        </w:rPr>
        <w:t> </w:t>
      </w:r>
      <w:r>
        <w:rPr/>
        <w:t>four</w:t>
      </w:r>
      <w:r>
        <w:rPr>
          <w:spacing w:val="80"/>
        </w:rPr>
        <w:t> </w:t>
      </w:r>
      <w:r>
        <w:rPr/>
        <w:t>candidate</w:t>
      </w:r>
      <w:r>
        <w:rPr>
          <w:spacing w:val="80"/>
        </w:rPr>
        <w:t> </w:t>
      </w:r>
      <w:r>
        <w:rPr/>
        <w:t>episodes (Northern Rock, Credit Suisse, Signature Bank, First Republic) was identified but not integrated: refining them to precise Basel Committee on Banking Supervision (BCBS, 2024) acute-window figures breaks headline significance (p=0.171), which we read as an indication that the concentration×shock specification may not generalise cleanly to large, wholesale-funding-driven systemic institutions; their inclusion is deferred to a dedicated future robustness section (§7.4) rather than folded in here.</w:t>
      </w:r>
    </w:p>
    <w:p>
      <w:pPr>
        <w:pStyle w:val="BodyText"/>
        <w:spacing w:line="480" w:lineRule="auto"/>
        <w:ind w:right="320"/>
        <w:jc w:val="both"/>
      </w:pPr>
      <w:r>
        <w:rPr/>
        <w:t>The complete, item-by-item verification log</w:t>
      </w:r>
      <w:r>
        <w:rPr>
          <w:spacing w:val="40"/>
        </w:rPr>
        <w:t> </w:t>
      </w:r>
      <w:r>
        <w:rPr/>
        <w:t>—</w:t>
      </w:r>
      <w:r>
        <w:rPr>
          <w:spacing w:val="40"/>
        </w:rPr>
        <w:t> </w:t>
      </w:r>
      <w:r>
        <w:rPr/>
        <w:t>including every source consulted, exact</w:t>
      </w:r>
      <w:r>
        <w:rPr>
          <w:spacing w:val="31"/>
        </w:rPr>
        <w:t> </w:t>
      </w:r>
      <w:r>
        <w:rPr/>
        <w:t>figures,</w:t>
      </w:r>
      <w:r>
        <w:rPr>
          <w:spacing w:val="33"/>
        </w:rPr>
        <w:t> </w:t>
      </w:r>
      <w:r>
        <w:rPr/>
        <w:t>and</w:t>
      </w:r>
      <w:r>
        <w:rPr>
          <w:spacing w:val="29"/>
        </w:rPr>
        <w:t> </w:t>
      </w:r>
      <w:r>
        <w:rPr/>
        <w:t>the</w:t>
      </w:r>
      <w:r>
        <w:rPr>
          <w:spacing w:val="32"/>
        </w:rPr>
        <w:t> </w:t>
      </w:r>
      <w:r>
        <w:rPr/>
        <w:t>reasoning</w:t>
      </w:r>
      <w:r>
        <w:rPr>
          <w:spacing w:val="29"/>
        </w:rPr>
        <w:t> </w:t>
      </w:r>
      <w:r>
        <w:rPr/>
        <w:t>behind</w:t>
      </w:r>
      <w:r>
        <w:rPr>
          <w:spacing w:val="31"/>
        </w:rPr>
        <w:t> </w:t>
      </w:r>
      <w:r>
        <w:rPr/>
        <w:t>each</w:t>
      </w:r>
      <w:r>
        <w:rPr>
          <w:spacing w:val="29"/>
        </w:rPr>
        <w:t> </w:t>
      </w:r>
      <w:r>
        <w:rPr/>
        <w:t>promotion/non-promotion</w:t>
      </w:r>
      <w:r>
        <w:rPr>
          <w:spacing w:val="31"/>
        </w:rPr>
        <w:t> </w:t>
      </w:r>
      <w:r>
        <w:rPr/>
        <w:t>decision</w:t>
      </w:r>
      <w:r>
        <w:rPr>
          <w:spacing w:val="80"/>
        </w:rPr>
        <w:t> </w:t>
      </w:r>
      <w:r>
        <w:rPr/>
        <w:t>— is provided as Online Supplementary Appendix H, together with the extended detail underlying each of the eight limitations in</w:t>
      </w:r>
      <w:r>
        <w:rPr>
          <w:spacing w:val="40"/>
        </w:rPr>
        <w:t> </w:t>
      </w:r>
      <w:r>
        <w:rPr/>
        <w:t>§7.2. Neither appendix is required to</w:t>
      </w:r>
      <w:r>
        <w:rPr>
          <w:spacing w:val="80"/>
        </w:rPr>
        <w:t> </w:t>
      </w:r>
      <w:r>
        <w:rPr/>
        <w:t>follow the paper’s argument; both support independent audit and referee verification.</w:t>
      </w:r>
    </w:p>
    <w:p>
      <w:pPr>
        <w:pStyle w:val="Heading2"/>
        <w:numPr>
          <w:ilvl w:val="1"/>
          <w:numId w:val="1"/>
        </w:numPr>
        <w:tabs>
          <w:tab w:pos="457" w:val="left" w:leader="none"/>
        </w:tabs>
        <w:spacing w:line="240" w:lineRule="auto" w:before="235" w:after="0"/>
        <w:ind w:left="457" w:right="0" w:hanging="358"/>
        <w:jc w:val="both"/>
        <w:rPr>
          <w:i/>
        </w:rPr>
      </w:pPr>
      <w:r>
        <w:rPr>
          <w:i/>
        </w:rPr>
        <w:t>Future</w:t>
      </w:r>
      <w:r>
        <w:rPr>
          <w:i/>
          <w:spacing w:val="-10"/>
        </w:rPr>
        <w:t> </w:t>
      </w:r>
      <w:r>
        <w:rPr>
          <w:i/>
          <w:spacing w:val="-4"/>
        </w:rPr>
        <w:t>Work</w:t>
      </w:r>
    </w:p>
    <w:p>
      <w:pPr>
        <w:pStyle w:val="BodyText"/>
        <w:spacing w:before="79"/>
        <w:ind w:left="0"/>
        <w:rPr>
          <w:b/>
          <w:i/>
        </w:rPr>
      </w:pPr>
    </w:p>
    <w:p>
      <w:pPr>
        <w:pStyle w:val="BodyText"/>
        <w:spacing w:line="480" w:lineRule="auto"/>
        <w:ind w:right="378"/>
        <w:jc w:val="both"/>
      </w:pPr>
      <w:r>
        <w:rPr/>
        <w:t>In order of priority (full source-by-source roadmap detail, including the BIS/FDIC/ECB data-source assessment and the standing re-run procedure triggered whenever a new episode is promoted to verified status, is in Online Supplementary Appendix H rather than repeated here):</w:t>
      </w:r>
    </w:p>
    <w:p>
      <w:pPr>
        <w:pStyle w:val="ListParagraph"/>
        <w:numPr>
          <w:ilvl w:val="0"/>
          <w:numId w:val="3"/>
        </w:numPr>
        <w:tabs>
          <w:tab w:pos="491" w:val="left" w:leader="none"/>
        </w:tabs>
        <w:spacing w:line="480" w:lineRule="auto" w:before="0" w:after="0"/>
        <w:ind w:left="99" w:right="378" w:firstLine="0"/>
        <w:jc w:val="both"/>
        <w:rPr>
          <w:sz w:val="24"/>
        </w:rPr>
      </w:pPr>
      <w:r>
        <w:rPr>
          <w:b/>
          <w:sz w:val="24"/>
        </w:rPr>
        <w:t>Alternative identification strategies that do not require an unrealistic expansion</w:t>
      </w:r>
      <w:r>
        <w:rPr>
          <w:b/>
          <w:spacing w:val="80"/>
          <w:w w:val="150"/>
          <w:sz w:val="24"/>
        </w:rPr>
        <w:t> </w:t>
      </w:r>
      <w:r>
        <w:rPr>
          <w:b/>
          <w:sz w:val="24"/>
        </w:rPr>
        <w:t>of</w:t>
      </w:r>
      <w:r>
        <w:rPr>
          <w:b/>
          <w:spacing w:val="80"/>
          <w:w w:val="150"/>
          <w:sz w:val="24"/>
        </w:rPr>
        <w:t> </w:t>
      </w:r>
      <w:r>
        <w:rPr>
          <w:b/>
          <w:sz w:val="24"/>
        </w:rPr>
        <w:t>the</w:t>
      </w:r>
      <w:r>
        <w:rPr>
          <w:b/>
          <w:spacing w:val="80"/>
          <w:w w:val="150"/>
          <w:sz w:val="24"/>
        </w:rPr>
        <w:t> </w:t>
      </w:r>
      <w:r>
        <w:rPr>
          <w:b/>
          <w:sz w:val="24"/>
        </w:rPr>
        <w:t>verified</w:t>
      </w:r>
      <w:r>
        <w:rPr>
          <w:b/>
          <w:spacing w:val="80"/>
          <w:w w:val="150"/>
          <w:sz w:val="24"/>
        </w:rPr>
        <w:t> </w:t>
      </w:r>
      <w:r>
        <w:rPr>
          <w:b/>
          <w:sz w:val="24"/>
        </w:rPr>
        <w:t>panel.</w:t>
      </w:r>
      <w:r>
        <w:rPr>
          <w:b/>
          <w:spacing w:val="80"/>
          <w:w w:val="150"/>
          <w:sz w:val="24"/>
        </w:rPr>
        <w:t> </w:t>
      </w:r>
      <w:r>
        <w:rPr>
          <w:sz w:val="24"/>
        </w:rPr>
        <w:t>The</w:t>
      </w:r>
      <w:r>
        <w:rPr>
          <w:spacing w:val="80"/>
          <w:w w:val="150"/>
          <w:sz w:val="24"/>
        </w:rPr>
        <w:t> </w:t>
      </w:r>
      <w:r>
        <w:rPr>
          <w:sz w:val="24"/>
        </w:rPr>
        <w:t>frequentist</w:t>
      </w:r>
      <w:r>
        <w:rPr>
          <w:spacing w:val="80"/>
          <w:w w:val="150"/>
          <w:sz w:val="24"/>
        </w:rPr>
        <w:t> </w:t>
      </w:r>
      <w:r>
        <w:rPr>
          <w:sz w:val="24"/>
        </w:rPr>
        <w:t>target</w:t>
      </w:r>
      <w:r>
        <w:rPr>
          <w:spacing w:val="80"/>
          <w:w w:val="150"/>
          <w:sz w:val="24"/>
        </w:rPr>
        <w:t> </w:t>
      </w:r>
      <w:r>
        <w:rPr>
          <w:sz w:val="24"/>
        </w:rPr>
        <w:t>for</w:t>
      </w:r>
      <w:r>
        <w:rPr>
          <w:spacing w:val="80"/>
          <w:w w:val="150"/>
          <w:sz w:val="24"/>
        </w:rPr>
        <w:t> </w:t>
      </w:r>
      <w:r>
        <w:rPr>
          <w:sz w:val="24"/>
        </w:rPr>
        <w:t>verified-only self-sufficiency</w:t>
      </w:r>
      <w:r>
        <w:rPr>
          <w:spacing w:val="68"/>
          <w:w w:val="150"/>
          <w:sz w:val="24"/>
        </w:rPr>
        <w:t> </w:t>
      </w:r>
      <w:r>
        <w:rPr>
          <w:sz w:val="24"/>
        </w:rPr>
        <w:t>is</w:t>
      </w:r>
      <w:r>
        <w:rPr>
          <w:spacing w:val="71"/>
          <w:w w:val="150"/>
          <w:sz w:val="24"/>
        </w:rPr>
        <w:t> </w:t>
      </w:r>
      <w:r>
        <w:rPr>
          <w:sz w:val="24"/>
        </w:rPr>
        <w:t>n≈2,650</w:t>
      </w:r>
      <w:r>
        <w:rPr>
          <w:spacing w:val="74"/>
          <w:w w:val="150"/>
          <w:sz w:val="24"/>
        </w:rPr>
        <w:t> </w:t>
      </w:r>
      <w:r>
        <w:rPr>
          <w:sz w:val="24"/>
        </w:rPr>
        <w:t>(Appendix</w:t>
      </w:r>
      <w:r>
        <w:rPr>
          <w:spacing w:val="74"/>
          <w:w w:val="150"/>
          <w:sz w:val="24"/>
        </w:rPr>
        <w:t> </w:t>
      </w:r>
      <w:r>
        <w:rPr>
          <w:sz w:val="24"/>
        </w:rPr>
        <w:t>E.5),</w:t>
      </w:r>
      <w:r>
        <w:rPr>
          <w:spacing w:val="73"/>
          <w:w w:val="150"/>
          <w:sz w:val="24"/>
        </w:rPr>
        <w:t> </w:t>
      </w:r>
      <w:r>
        <w:rPr>
          <w:sz w:val="24"/>
        </w:rPr>
        <w:t>which</w:t>
      </w:r>
      <w:r>
        <w:rPr>
          <w:spacing w:val="73"/>
          <w:w w:val="150"/>
          <w:sz w:val="24"/>
        </w:rPr>
        <w:t> </w:t>
      </w:r>
      <w:r>
        <w:rPr>
          <w:sz w:val="24"/>
        </w:rPr>
        <w:t>is</w:t>
      </w:r>
      <w:r>
        <w:rPr>
          <w:spacing w:val="72"/>
          <w:w w:val="150"/>
          <w:sz w:val="24"/>
        </w:rPr>
        <w:t> </w:t>
      </w:r>
      <w:r>
        <w:rPr>
          <w:sz w:val="24"/>
        </w:rPr>
        <w:t>not</w:t>
      </w:r>
      <w:r>
        <w:rPr>
          <w:spacing w:val="72"/>
          <w:w w:val="150"/>
          <w:sz w:val="24"/>
        </w:rPr>
        <w:t> </w:t>
      </w:r>
      <w:r>
        <w:rPr>
          <w:sz w:val="24"/>
        </w:rPr>
        <w:t>achievable</w:t>
      </w:r>
      <w:r>
        <w:rPr>
          <w:spacing w:val="73"/>
          <w:w w:val="150"/>
          <w:sz w:val="24"/>
        </w:rPr>
        <w:t> </w:t>
      </w:r>
      <w:r>
        <w:rPr>
          <w:spacing w:val="-2"/>
          <w:sz w:val="24"/>
        </w:rPr>
        <w:t>through</w:t>
      </w:r>
    </w:p>
    <w:p>
      <w:pPr>
        <w:pStyle w:val="ListParagraph"/>
        <w:spacing w:after="0" w:line="480" w:lineRule="auto"/>
        <w:jc w:val="both"/>
        <w:rPr>
          <w:sz w:val="24"/>
        </w:rPr>
        <w:sectPr>
          <w:pgSz w:w="11900" w:h="16820"/>
          <w:pgMar w:header="714" w:footer="0" w:top="1340" w:bottom="280" w:left="1700" w:right="1417"/>
        </w:sectPr>
      </w:pPr>
    </w:p>
    <w:p>
      <w:pPr>
        <w:pStyle w:val="BodyText"/>
        <w:spacing w:line="480" w:lineRule="auto" w:before="79"/>
        <w:ind w:right="381"/>
        <w:jc w:val="both"/>
      </w:pPr>
      <w:r>
        <w:rPr/>
        <w:t>primary-source acquisition at any realistic scale. Three complementary strategies apply: (a) a hierarchical shrinkage estimator pooling the verified and estimated strata rather than treating the verified stratum as needing to stand alone, reported in</w:t>
      </w:r>
      <w:r>
        <w:rPr>
          <w:spacing w:val="40"/>
        </w:rPr>
        <w:t> </w:t>
      </w:r>
      <w:r>
        <w:rPr/>
        <w:t>§3.4</w:t>
      </w:r>
      <w:r>
        <w:rPr>
          <w:spacing w:val="40"/>
        </w:rPr>
        <w:t> </w:t>
      </w:r>
      <w:r>
        <w:rPr/>
        <w:t>and item (iii) below; (b) quasi-experimental variation from staggered CBDC pilot launches across countries, not yet pursued; (c) structural cross-validation against the five-country Pareto results in Section 6, calibrated independently of the historical panel, not yet pursued. None of these substitutes for primary-source verification, but together they offer a path to strengthening confidence in the channel without an infeasible data-collection target. A concrete primary-source acquisition roadmap (targeting</w:t>
      </w:r>
      <w:r>
        <w:rPr>
          <w:spacing w:val="-5"/>
        </w:rPr>
        <w:t> </w:t>
      </w:r>
      <w:r>
        <w:rPr/>
        <w:t>further</w:t>
      </w:r>
      <w:r>
        <w:rPr>
          <w:spacing w:val="-4"/>
        </w:rPr>
        <w:t> </w:t>
      </w:r>
      <w:r>
        <w:rPr/>
        <w:t>BCBS,</w:t>
      </w:r>
      <w:r>
        <w:rPr>
          <w:spacing w:val="-3"/>
        </w:rPr>
        <w:t> </w:t>
      </w:r>
      <w:r>
        <w:rPr/>
        <w:t>FDIC,</w:t>
      </w:r>
      <w:r>
        <w:rPr>
          <w:spacing w:val="-1"/>
        </w:rPr>
        <w:t> </w:t>
      </w:r>
      <w:r>
        <w:rPr/>
        <w:t>and</w:t>
      </w:r>
      <w:r>
        <w:rPr>
          <w:spacing w:val="-3"/>
        </w:rPr>
        <w:t> </w:t>
      </w:r>
      <w:r>
        <w:rPr/>
        <w:t>supervisory</w:t>
      </w:r>
      <w:r>
        <w:rPr>
          <w:spacing w:val="-5"/>
        </w:rPr>
        <w:t> </w:t>
      </w:r>
      <w:r>
        <w:rPr/>
        <w:t>sources)</w:t>
      </w:r>
      <w:r>
        <w:rPr>
          <w:spacing w:val="-4"/>
        </w:rPr>
        <w:t> </w:t>
      </w:r>
      <w:r>
        <w:rPr/>
        <w:t>continues</w:t>
      </w:r>
      <w:r>
        <w:rPr>
          <w:spacing w:val="-2"/>
        </w:rPr>
        <w:t> </w:t>
      </w:r>
      <w:r>
        <w:rPr/>
        <w:t>alongside</w:t>
      </w:r>
      <w:r>
        <w:rPr>
          <w:spacing w:val="-1"/>
        </w:rPr>
        <w:t> </w:t>
      </w:r>
      <w:r>
        <w:rPr/>
        <w:t>this,</w:t>
      </w:r>
      <w:r>
        <w:rPr>
          <w:spacing w:val="-3"/>
        </w:rPr>
        <w:t> </w:t>
      </w:r>
      <w:r>
        <w:rPr/>
        <w:t>per Online Supplementary Appendix H.</w:t>
      </w:r>
    </w:p>
    <w:p>
      <w:pPr>
        <w:pStyle w:val="ListParagraph"/>
        <w:numPr>
          <w:ilvl w:val="0"/>
          <w:numId w:val="3"/>
        </w:numPr>
        <w:tabs>
          <w:tab w:pos="505" w:val="left" w:leader="none"/>
        </w:tabs>
        <w:spacing w:line="480" w:lineRule="auto" w:before="0" w:after="0"/>
        <w:ind w:left="99" w:right="142" w:firstLine="0"/>
        <w:jc w:val="left"/>
        <w:rPr>
          <w:sz w:val="24"/>
        </w:rPr>
      </w:pPr>
      <w:r>
        <w:rPr>
          <w:b/>
          <w:sz w:val="24"/>
        </w:rPr>
        <w:t>Widen</w:t>
      </w:r>
      <w:r>
        <w:rPr>
          <w:b/>
          <w:spacing w:val="40"/>
          <w:sz w:val="24"/>
        </w:rPr>
        <w:t> </w:t>
      </w:r>
      <w:r>
        <w:rPr>
          <w:b/>
          <w:sz w:val="24"/>
        </w:rPr>
        <w:t>the</w:t>
      </w:r>
      <w:r>
        <w:rPr>
          <w:b/>
          <w:spacing w:val="40"/>
          <w:sz w:val="24"/>
        </w:rPr>
        <w:t> </w:t>
      </w:r>
      <w:r>
        <w:rPr>
          <w:b/>
          <w:sz w:val="24"/>
        </w:rPr>
        <w:t>simulation</w:t>
      </w:r>
      <w:r>
        <w:rPr>
          <w:b/>
          <w:spacing w:val="40"/>
          <w:sz w:val="24"/>
        </w:rPr>
        <w:t> </w:t>
      </w:r>
      <w:r>
        <w:rPr>
          <w:b/>
          <w:sz w:val="24"/>
        </w:rPr>
        <w:t>parameter-sensitivity</w:t>
      </w:r>
      <w:r>
        <w:rPr>
          <w:b/>
          <w:spacing w:val="40"/>
          <w:sz w:val="24"/>
        </w:rPr>
        <w:t> </w:t>
      </w:r>
      <w:r>
        <w:rPr>
          <w:b/>
          <w:sz w:val="24"/>
        </w:rPr>
        <w:t>envelope</w:t>
      </w:r>
      <w:r>
        <w:rPr>
          <w:b/>
          <w:spacing w:val="40"/>
          <w:sz w:val="24"/>
        </w:rPr>
        <w:t> </w:t>
      </w:r>
      <w:r>
        <w:rPr>
          <w:b/>
          <w:sz w:val="24"/>
        </w:rPr>
        <w:t>from</w:t>
      </w:r>
      <w:r>
        <w:rPr>
          <w:b/>
          <w:spacing w:val="80"/>
          <w:sz w:val="24"/>
        </w:rPr>
        <w:t> </w:t>
      </w:r>
      <w:r>
        <w:rPr>
          <w:b/>
          <w:sz w:val="24"/>
        </w:rPr>
        <w:t>±20%</w:t>
      </w:r>
      <w:r>
        <w:rPr>
          <w:b/>
          <w:spacing w:val="40"/>
          <w:sz w:val="24"/>
        </w:rPr>
        <w:t> </w:t>
      </w:r>
      <w:r>
        <w:rPr>
          <w:b/>
          <w:sz w:val="24"/>
        </w:rPr>
        <w:t>to</w:t>
      </w:r>
      <w:r>
        <w:rPr>
          <w:b/>
          <w:spacing w:val="80"/>
          <w:sz w:val="24"/>
        </w:rPr>
        <w:t> </w:t>
      </w:r>
      <w:r>
        <w:rPr>
          <w:b/>
          <w:sz w:val="24"/>
        </w:rPr>
        <w:t>±40% </w:t>
      </w:r>
      <w:r>
        <w:rPr>
          <w:sz w:val="24"/>
        </w:rPr>
        <w:t>and re-run the 27-combination design-ranking grid. Reported in</w:t>
      </w:r>
      <w:r>
        <w:rPr>
          <w:spacing w:val="40"/>
          <w:sz w:val="24"/>
        </w:rPr>
        <w:t> </w:t>
      </w:r>
      <w:r>
        <w:rPr>
          <w:sz w:val="24"/>
        </w:rPr>
        <w:t>§5.5, item ii-a: the</w:t>
      </w:r>
      <w:r>
        <w:rPr>
          <w:spacing w:val="80"/>
          <w:sz w:val="24"/>
        </w:rPr>
        <w:t> </w:t>
      </w:r>
      <w:r>
        <w:rPr>
          <w:sz w:val="24"/>
        </w:rPr>
        <w:t>ranking is unchanged (27/27, 100% strictly Pareto-dominant, 0 reversals).</w:t>
      </w:r>
    </w:p>
    <w:p>
      <w:pPr>
        <w:pStyle w:val="ListParagraph"/>
        <w:numPr>
          <w:ilvl w:val="0"/>
          <w:numId w:val="3"/>
        </w:numPr>
        <w:tabs>
          <w:tab w:pos="523" w:val="left" w:leader="none"/>
        </w:tabs>
        <w:spacing w:line="480" w:lineRule="auto" w:before="0" w:after="0"/>
        <w:ind w:left="99" w:right="320" w:firstLine="0"/>
        <w:jc w:val="both"/>
        <w:rPr>
          <w:sz w:val="24"/>
        </w:rPr>
      </w:pPr>
      <w:r>
        <w:rPr>
          <w:b/>
          <w:sz w:val="24"/>
        </w:rPr>
        <w:t>Fit a hierarchical shrinkage estimator </w:t>
      </w:r>
      <w:r>
        <w:rPr>
          <w:sz w:val="24"/>
        </w:rPr>
        <w:t>pooling the verified and estimated strata and report the resulting interval for θ₂</w:t>
      </w:r>
      <w:r>
        <w:rPr>
          <w:spacing w:val="40"/>
          <w:sz w:val="24"/>
        </w:rPr>
        <w:t> </w:t>
      </w:r>
      <w:r>
        <w:rPr>
          <w:sz w:val="24"/>
        </w:rPr>
        <w:t>alongside the existing frequentist estimates. Reported in</w:t>
      </w:r>
      <w:r>
        <w:rPr>
          <w:spacing w:val="40"/>
          <w:sz w:val="24"/>
        </w:rPr>
        <w:t> </w:t>
      </w:r>
      <w:r>
        <w:rPr>
          <w:sz w:val="24"/>
        </w:rPr>
        <w:t>§3.4: the random-effects pooled estimate is θ₂=0.3734 (SE=0.282, p=0.185,</w:t>
      </w:r>
      <w:r>
        <w:rPr>
          <w:spacing w:val="-1"/>
          <w:sz w:val="24"/>
        </w:rPr>
        <w:t> </w:t>
      </w:r>
      <w:r>
        <w:rPr>
          <w:sz w:val="24"/>
        </w:rPr>
        <w:t>95%</w:t>
      </w:r>
      <w:r>
        <w:rPr>
          <w:spacing w:val="-2"/>
          <w:sz w:val="24"/>
        </w:rPr>
        <w:t> </w:t>
      </w:r>
      <w:r>
        <w:rPr>
          <w:sz w:val="24"/>
        </w:rPr>
        <w:t>CI</w:t>
      </w:r>
      <w:r>
        <w:rPr>
          <w:spacing w:val="-7"/>
          <w:sz w:val="24"/>
        </w:rPr>
        <w:t> </w:t>
      </w:r>
      <w:r>
        <w:rPr>
          <w:sz w:val="24"/>
        </w:rPr>
        <w:t>[−0.179,</w:t>
      </w:r>
      <w:r>
        <w:rPr>
          <w:spacing w:val="-1"/>
          <w:sz w:val="24"/>
        </w:rPr>
        <w:t> </w:t>
      </w:r>
      <w:r>
        <w:rPr>
          <w:sz w:val="24"/>
        </w:rPr>
        <w:t>0.926]),</w:t>
      </w:r>
      <w:r>
        <w:rPr>
          <w:spacing w:val="-1"/>
          <w:sz w:val="24"/>
        </w:rPr>
        <w:t> </w:t>
      </w:r>
      <w:r>
        <w:rPr>
          <w:sz w:val="24"/>
        </w:rPr>
        <w:t>positive</w:t>
      </w:r>
      <w:r>
        <w:rPr>
          <w:spacing w:val="-2"/>
          <w:sz w:val="24"/>
        </w:rPr>
        <w:t> </w:t>
      </w:r>
      <w:r>
        <w:rPr>
          <w:sz w:val="24"/>
        </w:rPr>
        <w:t>and</w:t>
      </w:r>
      <w:r>
        <w:rPr>
          <w:spacing w:val="-1"/>
          <w:sz w:val="24"/>
        </w:rPr>
        <w:t> </w:t>
      </w:r>
      <w:r>
        <w:rPr>
          <w:sz w:val="24"/>
        </w:rPr>
        <w:t>of</w:t>
      </w:r>
      <w:r>
        <w:rPr>
          <w:spacing w:val="-2"/>
          <w:sz w:val="24"/>
        </w:rPr>
        <w:t> </w:t>
      </w:r>
      <w:r>
        <w:rPr>
          <w:sz w:val="24"/>
        </w:rPr>
        <w:t>a</w:t>
      </w:r>
      <w:r>
        <w:rPr>
          <w:spacing w:val="-2"/>
          <w:sz w:val="24"/>
        </w:rPr>
        <w:t> </w:t>
      </w:r>
      <w:r>
        <w:rPr>
          <w:sz w:val="24"/>
        </w:rPr>
        <w:t>magnitude</w:t>
      </w:r>
      <w:r>
        <w:rPr>
          <w:spacing w:val="-1"/>
          <w:sz w:val="24"/>
        </w:rPr>
        <w:t> </w:t>
      </w:r>
      <w:r>
        <w:rPr>
          <w:sz w:val="24"/>
        </w:rPr>
        <w:t>between</w:t>
      </w:r>
      <w:r>
        <w:rPr>
          <w:spacing w:val="-3"/>
          <w:sz w:val="24"/>
        </w:rPr>
        <w:t> </w:t>
      </w:r>
      <w:r>
        <w:rPr>
          <w:sz w:val="24"/>
        </w:rPr>
        <w:t>the</w:t>
      </w:r>
      <w:r>
        <w:rPr>
          <w:spacing w:val="-2"/>
          <w:sz w:val="24"/>
        </w:rPr>
        <w:t> </w:t>
      </w:r>
      <w:r>
        <w:rPr>
          <w:sz w:val="24"/>
        </w:rPr>
        <w:t>two</w:t>
      </w:r>
      <w:r>
        <w:rPr>
          <w:spacing w:val="-1"/>
          <w:sz w:val="24"/>
        </w:rPr>
        <w:t> </w:t>
      </w:r>
      <w:r>
        <w:rPr>
          <w:sz w:val="24"/>
        </w:rPr>
        <w:t>strata, but not independently significant at conventional levels</w:t>
      </w:r>
      <w:r>
        <w:rPr>
          <w:spacing w:val="40"/>
          <w:sz w:val="24"/>
        </w:rPr>
        <w:t> </w:t>
      </w:r>
      <w:r>
        <w:rPr>
          <w:sz w:val="24"/>
        </w:rPr>
        <w:t>—</w:t>
      </w:r>
      <w:r>
        <w:rPr>
          <w:spacing w:val="40"/>
          <w:sz w:val="24"/>
        </w:rPr>
        <w:t> </w:t>
      </w:r>
      <w:r>
        <w:rPr>
          <w:sz w:val="24"/>
        </w:rPr>
        <w:t>an honest intermediate result, not a resolution of the underlying precision problem, and reported as such.</w:t>
      </w:r>
    </w:p>
    <w:p>
      <w:pPr>
        <w:pStyle w:val="ListParagraph"/>
        <w:numPr>
          <w:ilvl w:val="0"/>
          <w:numId w:val="3"/>
        </w:numPr>
        <w:tabs>
          <w:tab w:pos="568" w:val="left" w:leader="none"/>
        </w:tabs>
        <w:spacing w:line="480" w:lineRule="auto" w:before="0" w:after="0"/>
        <w:ind w:left="99" w:right="381" w:firstLine="0"/>
        <w:jc w:val="both"/>
        <w:rPr>
          <w:sz w:val="24"/>
        </w:rPr>
      </w:pPr>
      <w:r>
        <w:rPr>
          <w:b/>
          <w:sz w:val="24"/>
        </w:rPr>
        <w:t>Higher-N direct Monte Carlo replication </w:t>
      </w:r>
      <w:r>
        <w:rPr>
          <w:sz w:val="24"/>
        </w:rPr>
        <w:t>of the full holding-limit surface (N≥1,000</w:t>
      </w:r>
      <w:r>
        <w:rPr>
          <w:spacing w:val="-3"/>
          <w:sz w:val="24"/>
        </w:rPr>
        <w:t> </w:t>
      </w:r>
      <w:r>
        <w:rPr>
          <w:sz w:val="24"/>
        </w:rPr>
        <w:t>per</w:t>
      </w:r>
      <w:r>
        <w:rPr>
          <w:spacing w:val="-1"/>
          <w:sz w:val="24"/>
        </w:rPr>
        <w:t> </w:t>
      </w:r>
      <w:r>
        <w:rPr>
          <w:sz w:val="24"/>
        </w:rPr>
        <w:t>cap, narrowing</w:t>
      </w:r>
      <w:r>
        <w:rPr>
          <w:spacing w:val="-2"/>
          <w:sz w:val="24"/>
        </w:rPr>
        <w:t> </w:t>
      </w:r>
      <w:r>
        <w:rPr>
          <w:sz w:val="24"/>
        </w:rPr>
        <w:t>the</w:t>
      </w:r>
      <w:r>
        <w:rPr>
          <w:spacing w:val="-1"/>
          <w:sz w:val="24"/>
        </w:rPr>
        <w:t> </w:t>
      </w:r>
      <w:r>
        <w:rPr>
          <w:sz w:val="24"/>
        </w:rPr>
        <w:t>Wilson</w:t>
      </w:r>
      <w:r>
        <w:rPr>
          <w:spacing w:val="-3"/>
          <w:sz w:val="24"/>
        </w:rPr>
        <w:t> </w:t>
      </w:r>
      <w:r>
        <w:rPr>
          <w:sz w:val="24"/>
        </w:rPr>
        <w:t>95%</w:t>
      </w:r>
      <w:r>
        <w:rPr>
          <w:spacing w:val="-1"/>
          <w:sz w:val="24"/>
        </w:rPr>
        <w:t> </w:t>
      </w:r>
      <w:r>
        <w:rPr>
          <w:sz w:val="24"/>
        </w:rPr>
        <w:t>CIs)</w:t>
      </w:r>
      <w:r>
        <w:rPr>
          <w:spacing w:val="-3"/>
          <w:sz w:val="24"/>
        </w:rPr>
        <w:t> </w:t>
      </w:r>
      <w:r>
        <w:rPr>
          <w:sz w:val="24"/>
        </w:rPr>
        <w:t>and</w:t>
      </w:r>
      <w:r>
        <w:rPr>
          <w:spacing w:val="-3"/>
          <w:sz w:val="24"/>
        </w:rPr>
        <w:t> </w:t>
      </w:r>
      <w:r>
        <w:rPr>
          <w:sz w:val="24"/>
        </w:rPr>
        <w:t>of</w:t>
      </w:r>
      <w:r>
        <w:rPr>
          <w:spacing w:val="-1"/>
          <w:sz w:val="24"/>
        </w:rPr>
        <w:t> </w:t>
      </w:r>
      <w:r>
        <w:rPr>
          <w:sz w:val="24"/>
        </w:rPr>
        <w:t>the</w:t>
      </w:r>
      <w:r>
        <w:rPr>
          <w:spacing w:val="-3"/>
          <w:sz w:val="24"/>
        </w:rPr>
        <w:t> </w:t>
      </w:r>
      <w:r>
        <w:rPr>
          <w:sz w:val="24"/>
        </w:rPr>
        <w:t>five-country</w:t>
      </w:r>
      <w:r>
        <w:rPr>
          <w:spacing w:val="-4"/>
          <w:sz w:val="24"/>
        </w:rPr>
        <w:t> </w:t>
      </w:r>
      <w:r>
        <w:rPr>
          <w:sz w:val="24"/>
        </w:rPr>
        <w:t>cap</w:t>
      </w:r>
      <w:r>
        <w:rPr>
          <w:spacing w:val="-3"/>
          <w:sz w:val="24"/>
        </w:rPr>
        <w:t> </w:t>
      </w:r>
      <w:r>
        <w:rPr>
          <w:sz w:val="24"/>
        </w:rPr>
        <w:t>surface (Appendix G currently reports selected-cap N=300 only).</w:t>
      </w:r>
    </w:p>
    <w:p>
      <w:pPr>
        <w:pStyle w:val="ListParagraph"/>
        <w:numPr>
          <w:ilvl w:val="0"/>
          <w:numId w:val="3"/>
        </w:numPr>
        <w:tabs>
          <w:tab w:pos="453" w:val="left" w:leader="none"/>
        </w:tabs>
        <w:spacing w:line="480" w:lineRule="auto" w:before="0" w:after="0"/>
        <w:ind w:left="99" w:right="381" w:firstLine="0"/>
        <w:jc w:val="both"/>
        <w:rPr>
          <w:sz w:val="24"/>
        </w:rPr>
      </w:pPr>
      <w:r>
        <w:rPr>
          <w:b/>
          <w:sz w:val="24"/>
        </w:rPr>
        <w:t>Independent code audit and fingerprint verification </w:t>
      </w:r>
      <w:r>
        <w:rPr>
          <w:sz w:val="24"/>
        </w:rPr>
        <w:t>against reproduce.py by a party outside the author team.</w:t>
      </w:r>
    </w:p>
    <w:p>
      <w:pPr>
        <w:pStyle w:val="ListParagraph"/>
        <w:spacing w:after="0" w:line="480" w:lineRule="auto"/>
        <w:jc w:val="both"/>
        <w:rPr>
          <w:sz w:val="24"/>
        </w:rPr>
        <w:sectPr>
          <w:pgSz w:w="11900" w:h="16820"/>
          <w:pgMar w:header="714" w:footer="0" w:top="1340" w:bottom="280" w:left="1700" w:right="1417"/>
        </w:sectPr>
      </w:pPr>
    </w:p>
    <w:p>
      <w:pPr>
        <w:pStyle w:val="ListParagraph"/>
        <w:numPr>
          <w:ilvl w:val="0"/>
          <w:numId w:val="3"/>
        </w:numPr>
        <w:tabs>
          <w:tab w:pos="516" w:val="left" w:leader="none"/>
        </w:tabs>
        <w:spacing w:line="482" w:lineRule="auto" w:before="79" w:after="0"/>
        <w:ind w:left="99" w:right="383" w:firstLine="0"/>
        <w:jc w:val="left"/>
        <w:rPr>
          <w:sz w:val="24"/>
        </w:rPr>
      </w:pPr>
      <w:r>
        <w:rPr>
          <w:b/>
          <w:sz w:val="24"/>
        </w:rPr>
        <w:t>Additional verified digital-run episodes </w:t>
      </w:r>
      <w:r>
        <w:rPr>
          <w:sz w:val="24"/>
        </w:rPr>
        <w:t>to enable a converged free-assignment Gibbs sampler in place of the two-regime frequentist split (Appendix C.3).</w:t>
      </w:r>
    </w:p>
    <w:p>
      <w:pPr>
        <w:pStyle w:val="ListParagraph"/>
        <w:numPr>
          <w:ilvl w:val="0"/>
          <w:numId w:val="3"/>
        </w:numPr>
        <w:tabs>
          <w:tab w:pos="616" w:val="left" w:leader="none"/>
        </w:tabs>
        <w:spacing w:line="480" w:lineRule="auto" w:before="0" w:after="0"/>
        <w:ind w:left="99" w:right="262" w:firstLine="0"/>
        <w:jc w:val="left"/>
        <w:rPr>
          <w:sz w:val="24"/>
        </w:rPr>
      </w:pPr>
      <w:r>
        <w:rPr>
          <w:b/>
          <w:sz w:val="24"/>
        </w:rPr>
        <w:t>A</w:t>
      </w:r>
      <w:r>
        <w:rPr>
          <w:b/>
          <w:spacing w:val="40"/>
          <w:sz w:val="24"/>
        </w:rPr>
        <w:t> </w:t>
      </w:r>
      <w:r>
        <w:rPr>
          <w:b/>
          <w:sz w:val="24"/>
        </w:rPr>
        <w:t>micro-founded</w:t>
      </w:r>
      <w:r>
        <w:rPr>
          <w:b/>
          <w:spacing w:val="40"/>
          <w:sz w:val="24"/>
        </w:rPr>
        <w:t> </w:t>
      </w:r>
      <w:r>
        <w:rPr>
          <w:b/>
          <w:sz w:val="24"/>
        </w:rPr>
        <w:t>structural</w:t>
      </w:r>
      <w:r>
        <w:rPr>
          <w:b/>
          <w:spacing w:val="40"/>
          <w:sz w:val="24"/>
        </w:rPr>
        <w:t> </w:t>
      </w:r>
      <w:r>
        <w:rPr>
          <w:b/>
          <w:sz w:val="24"/>
        </w:rPr>
        <w:t>extension</w:t>
      </w:r>
      <w:r>
        <w:rPr>
          <w:b/>
          <w:spacing w:val="40"/>
          <w:sz w:val="24"/>
        </w:rPr>
        <w:t> </w:t>
      </w:r>
      <w:r>
        <w:rPr>
          <w:sz w:val="24"/>
        </w:rPr>
        <w:t>connecting</w:t>
      </w:r>
      <w:r>
        <w:rPr>
          <w:spacing w:val="40"/>
          <w:sz w:val="24"/>
        </w:rPr>
        <w:t> </w:t>
      </w:r>
      <w:r>
        <w:rPr>
          <w:sz w:val="24"/>
        </w:rPr>
        <w:t>the</w:t>
      </w:r>
      <w:r>
        <w:rPr>
          <w:spacing w:val="40"/>
          <w:sz w:val="24"/>
        </w:rPr>
        <w:t> </w:t>
      </w:r>
      <w:r>
        <w:rPr>
          <w:sz w:val="24"/>
        </w:rPr>
        <w:t>outflow</w:t>
      </w:r>
      <w:r>
        <w:rPr>
          <w:spacing w:val="40"/>
          <w:sz w:val="24"/>
        </w:rPr>
        <w:t> </w:t>
      </w:r>
      <w:r>
        <w:rPr>
          <w:sz w:val="24"/>
        </w:rPr>
        <w:t>channel</w:t>
      </w:r>
      <w:r>
        <w:rPr>
          <w:spacing w:val="40"/>
          <w:sz w:val="24"/>
        </w:rPr>
        <w:t> </w:t>
      </w:r>
      <w:r>
        <w:rPr>
          <w:sz w:val="24"/>
        </w:rPr>
        <w:t>to</w:t>
      </w:r>
      <w:r>
        <w:rPr>
          <w:spacing w:val="40"/>
          <w:sz w:val="24"/>
        </w:rPr>
        <w:t> </w:t>
      </w:r>
      <w:r>
        <w:rPr>
          <w:sz w:val="24"/>
        </w:rPr>
        <w:t>a heterogeneous-agent</w:t>
      </w:r>
      <w:r>
        <w:rPr>
          <w:spacing w:val="80"/>
          <w:sz w:val="24"/>
        </w:rPr>
        <w:t> </w:t>
      </w:r>
      <w:r>
        <w:rPr>
          <w:sz w:val="24"/>
        </w:rPr>
        <w:t>general-equilibrium</w:t>
      </w:r>
      <w:r>
        <w:rPr>
          <w:spacing w:val="80"/>
          <w:sz w:val="24"/>
        </w:rPr>
        <w:t> </w:t>
      </w:r>
      <w:r>
        <w:rPr>
          <w:sz w:val="24"/>
        </w:rPr>
        <w:t>framework</w:t>
      </w:r>
      <w:r>
        <w:rPr>
          <w:spacing w:val="80"/>
          <w:sz w:val="24"/>
        </w:rPr>
        <w:t> </w:t>
      </w:r>
      <w:r>
        <w:rPr>
          <w:sz w:val="24"/>
        </w:rPr>
        <w:t>(Fernández-Villaverde</w:t>
      </w:r>
      <w:r>
        <w:rPr>
          <w:spacing w:val="80"/>
          <w:sz w:val="24"/>
        </w:rPr>
        <w:t> </w:t>
      </w:r>
      <w:r>
        <w:rPr>
          <w:sz w:val="24"/>
        </w:rPr>
        <w:t>et</w:t>
      </w:r>
      <w:r>
        <w:rPr>
          <w:spacing w:val="80"/>
          <w:sz w:val="24"/>
        </w:rPr>
        <w:t> </w:t>
      </w:r>
      <w:r>
        <w:rPr>
          <w:sz w:val="24"/>
        </w:rPr>
        <w:t>al., 2021;</w:t>
      </w:r>
      <w:r>
        <w:rPr>
          <w:spacing w:val="80"/>
          <w:sz w:val="24"/>
        </w:rPr>
        <w:t> </w:t>
      </w:r>
      <w:r>
        <w:rPr>
          <w:sz w:val="24"/>
        </w:rPr>
        <w:t>Keister</w:t>
      </w:r>
      <w:r>
        <w:rPr>
          <w:spacing w:val="80"/>
          <w:sz w:val="24"/>
        </w:rPr>
        <w:t> </w:t>
      </w:r>
      <w:r>
        <w:rPr>
          <w:sz w:val="24"/>
        </w:rPr>
        <w:t>and</w:t>
      </w:r>
      <w:r>
        <w:rPr>
          <w:spacing w:val="80"/>
          <w:sz w:val="24"/>
        </w:rPr>
        <w:t> </w:t>
      </w:r>
      <w:r>
        <w:rPr>
          <w:sz w:val="24"/>
        </w:rPr>
        <w:t>Monnet,</w:t>
      </w:r>
      <w:r>
        <w:rPr>
          <w:spacing w:val="80"/>
          <w:sz w:val="24"/>
        </w:rPr>
        <w:t> </w:t>
      </w:r>
      <w:r>
        <w:rPr>
          <w:sz w:val="24"/>
        </w:rPr>
        <w:t>2022),</w:t>
      </w:r>
      <w:r>
        <w:rPr>
          <w:spacing w:val="80"/>
          <w:sz w:val="24"/>
        </w:rPr>
        <w:t> </w:t>
      </w:r>
      <w:r>
        <w:rPr>
          <w:sz w:val="24"/>
        </w:rPr>
        <w:t>addressing</w:t>
      </w:r>
      <w:r>
        <w:rPr>
          <w:spacing w:val="80"/>
          <w:sz w:val="24"/>
        </w:rPr>
        <w:t> </w:t>
      </w:r>
      <w:r>
        <w:rPr>
          <w:sz w:val="24"/>
        </w:rPr>
        <w:t>the</w:t>
      </w:r>
      <w:r>
        <w:rPr>
          <w:spacing w:val="80"/>
          <w:sz w:val="24"/>
        </w:rPr>
        <w:t> </w:t>
      </w:r>
      <w:r>
        <w:rPr>
          <w:sz w:val="24"/>
        </w:rPr>
        <w:t>Lucas-critique</w:t>
      </w:r>
      <w:r>
        <w:rPr>
          <w:spacing w:val="80"/>
          <w:sz w:val="24"/>
        </w:rPr>
        <w:t> </w:t>
      </w:r>
      <w:r>
        <w:rPr>
          <w:sz w:val="24"/>
        </w:rPr>
        <w:t>limitation</w:t>
      </w:r>
      <w:r>
        <w:rPr>
          <w:spacing w:val="80"/>
          <w:sz w:val="24"/>
        </w:rPr>
        <w:t> </w:t>
      </w:r>
      <w:r>
        <w:rPr>
          <w:sz w:val="24"/>
        </w:rPr>
        <w:t>(L8) directly rather than only acknowledging it.</w:t>
      </w:r>
    </w:p>
    <w:p>
      <w:pPr>
        <w:pStyle w:val="ListParagraph"/>
        <w:spacing w:after="0" w:line="480" w:lineRule="auto"/>
        <w:jc w:val="left"/>
        <w:rPr>
          <w:sz w:val="24"/>
        </w:rPr>
        <w:sectPr>
          <w:pgSz w:w="11900" w:h="16820"/>
          <w:pgMar w:header="714" w:footer="0" w:top="1340" w:bottom="280" w:left="1700" w:right="1417"/>
        </w:sectPr>
      </w:pPr>
    </w:p>
    <w:p>
      <w:pPr>
        <w:pStyle w:val="Heading1"/>
        <w:spacing w:before="79"/>
        <w:ind w:left="99"/>
      </w:pPr>
      <w:r>
        <w:rPr>
          <w:spacing w:val="-2"/>
        </w:rPr>
        <w:t>References</w:t>
      </w:r>
    </w:p>
    <w:p>
      <w:pPr>
        <w:pStyle w:val="BodyText"/>
        <w:spacing w:before="122"/>
        <w:ind w:left="0"/>
        <w:rPr>
          <w:b/>
        </w:rPr>
      </w:pPr>
    </w:p>
    <w:p>
      <w:pPr>
        <w:pStyle w:val="BodyText"/>
        <w:spacing w:line="480" w:lineRule="auto"/>
        <w:ind w:right="380"/>
        <w:jc w:val="both"/>
      </w:pPr>
      <w:r>
        <w:rPr/>
        <w:t>Aiken, L. S., &amp; West, S. G. (1991). Multiple regression: Testing and interpreting interactions. Sage Publications, Newbury Park, CA.</w:t>
      </w:r>
    </w:p>
    <w:p>
      <w:pPr>
        <w:pStyle w:val="BodyText"/>
        <w:spacing w:line="480" w:lineRule="auto"/>
        <w:ind w:right="320"/>
        <w:jc w:val="both"/>
      </w:pPr>
      <w:r>
        <w:rPr/>
        <w:t>Ahnert, T., Hoffmann, P., Leonello, A., &amp; Porcellacchia, D. (2023). Central bank digital currency and financial stability. ECB Working Paper Series No. 2783,</w:t>
      </w:r>
      <w:r>
        <w:rPr>
          <w:spacing w:val="40"/>
        </w:rPr>
        <w:t> </w:t>
      </w:r>
      <w:r>
        <w:rPr/>
        <w:t>European Central Bank, Frankfurt.</w:t>
      </w:r>
    </w:p>
    <w:p>
      <w:pPr>
        <w:pStyle w:val="BodyText"/>
        <w:spacing w:line="480" w:lineRule="auto"/>
        <w:ind w:right="320"/>
        <w:jc w:val="both"/>
      </w:pPr>
      <w:r>
        <w:rPr/>
        <w:t>Allen, F., &amp; Gale, D. (2000). Financial contagion. Journal of Political Economy, 108(1), 1–33.</w:t>
      </w:r>
    </w:p>
    <w:p>
      <w:pPr>
        <w:pStyle w:val="BodyText"/>
        <w:spacing w:line="480" w:lineRule="auto"/>
        <w:ind w:right="380"/>
        <w:jc w:val="both"/>
      </w:pPr>
      <w:r>
        <w:rPr/>
        <w:t>Andolfatto, D. (2021). Assessing the impact of central bank digital currency on</w:t>
      </w:r>
      <w:r>
        <w:rPr>
          <w:spacing w:val="40"/>
        </w:rPr>
        <w:t> </w:t>
      </w:r>
      <w:r>
        <w:rPr/>
        <w:t>private banks. The Economic Journal, 131(634), 525–540.</w:t>
      </w:r>
    </w:p>
    <w:p>
      <w:pPr>
        <w:pStyle w:val="BodyText"/>
        <w:spacing w:line="480" w:lineRule="auto"/>
        <w:ind w:right="322"/>
        <w:jc w:val="both"/>
      </w:pPr>
      <w:r>
        <w:rPr/>
        <w:t>Auer, R., Cornelli, G., &amp; Frost, J. (2023). Rise of the central bank digital currencies. International Journal of Central Banking, 19(4), 185–214.</w:t>
      </w:r>
    </w:p>
    <w:p>
      <w:pPr>
        <w:pStyle w:val="BodyText"/>
        <w:spacing w:line="482" w:lineRule="auto"/>
        <w:ind w:right="383"/>
        <w:jc w:val="both"/>
      </w:pPr>
      <w:r>
        <w:rPr/>
        <w:t>Bank for International Settlements. (2021). Central bank digital currencies: Financial stability implications (Report). BIS, Basel.</w:t>
      </w:r>
    </w:p>
    <w:p>
      <w:pPr>
        <w:pStyle w:val="BodyText"/>
        <w:spacing w:line="480" w:lineRule="auto"/>
        <w:ind w:right="382"/>
        <w:jc w:val="both"/>
      </w:pPr>
      <w:r>
        <w:rPr/>
        <w:t>Basel Committee on Banking Supervision. (2024). The 2023 banking turmoil and liquidity</w:t>
      </w:r>
      <w:r>
        <w:rPr>
          <w:spacing w:val="-2"/>
        </w:rPr>
        <w:t> </w:t>
      </w:r>
      <w:r>
        <w:rPr/>
        <w:t>risk: A progress report (BCBS Publication No. d582). Bank for International Settlements, Basel. Retrieved from </w:t>
      </w:r>
      <w:hyperlink r:id="rId13">
        <w:r>
          <w:rPr/>
          <w:t>https://www.bis.org/bcbs/publ/d582.htm</w:t>
        </w:r>
      </w:hyperlink>
    </w:p>
    <w:p>
      <w:pPr>
        <w:pStyle w:val="BodyText"/>
        <w:spacing w:line="480" w:lineRule="auto"/>
        <w:ind w:right="377"/>
        <w:jc w:val="both"/>
      </w:pPr>
      <w:r>
        <w:rPr/>
        <w:t>BIS Innovation Hub. (2023). CBDC tracker: Global central bank digital currency developments. Bank for International Settlements, Basel. Retrieved from </w:t>
      </w:r>
      <w:hyperlink r:id="rId14">
        <w:r>
          <w:rPr>
            <w:spacing w:val="-2"/>
          </w:rPr>
          <w:t>https://www.bis.org/cbdc/</w:t>
        </w:r>
      </w:hyperlink>
    </w:p>
    <w:p>
      <w:pPr>
        <w:pStyle w:val="BodyText"/>
        <w:spacing w:line="480" w:lineRule="auto"/>
        <w:ind w:right="380"/>
        <w:jc w:val="both"/>
      </w:pPr>
      <w:r>
        <w:rPr/>
        <w:t>Brunnermeier, M. K., &amp; Pedersen, L. H. (2009). Market liquidity and funding liquidity. Review of Financial Studies, 22(6), 2201–2238.</w:t>
      </w:r>
    </w:p>
    <w:p>
      <w:pPr>
        <w:pStyle w:val="BodyText"/>
        <w:spacing w:line="480" w:lineRule="auto"/>
        <w:ind w:right="381"/>
        <w:jc w:val="both"/>
      </w:pPr>
      <w:r>
        <w:rPr/>
        <w:t>Brunnermeier, M. K., &amp; Sannikov, Y. (2014). A macroeconomic model with a financial sector. American Economic Review, 104(2), 379–421.</w:t>
      </w:r>
    </w:p>
    <w:p>
      <w:pPr>
        <w:pStyle w:val="BodyText"/>
        <w:spacing w:line="275" w:lineRule="exact"/>
        <w:jc w:val="both"/>
      </w:pPr>
      <w:r>
        <w:rPr/>
        <w:t>Brunnermeier,</w:t>
      </w:r>
      <w:r>
        <w:rPr>
          <w:spacing w:val="-7"/>
        </w:rPr>
        <w:t> </w:t>
      </w:r>
      <w:r>
        <w:rPr/>
        <w:t>M.</w:t>
      </w:r>
      <w:r>
        <w:rPr>
          <w:spacing w:val="-4"/>
        </w:rPr>
        <w:t> </w:t>
      </w:r>
      <w:r>
        <w:rPr/>
        <w:t>K.,</w:t>
      </w:r>
      <w:r>
        <w:rPr>
          <w:spacing w:val="-8"/>
        </w:rPr>
        <w:t> </w:t>
      </w:r>
      <w:r>
        <w:rPr/>
        <w:t>&amp;</w:t>
      </w:r>
      <w:r>
        <w:rPr>
          <w:spacing w:val="-6"/>
        </w:rPr>
        <w:t> </w:t>
      </w:r>
      <w:r>
        <w:rPr/>
        <w:t>Sannikov,</w:t>
      </w:r>
      <w:r>
        <w:rPr>
          <w:spacing w:val="-6"/>
        </w:rPr>
        <w:t> </w:t>
      </w:r>
      <w:r>
        <w:rPr/>
        <w:t>Y.</w:t>
      </w:r>
      <w:r>
        <w:rPr>
          <w:spacing w:val="-5"/>
        </w:rPr>
        <w:t> </w:t>
      </w:r>
      <w:r>
        <w:rPr/>
        <w:t>(2016).</w:t>
      </w:r>
      <w:r>
        <w:rPr>
          <w:spacing w:val="-7"/>
        </w:rPr>
        <w:t> </w:t>
      </w:r>
      <w:r>
        <w:rPr/>
        <w:t>The</w:t>
      </w:r>
      <w:r>
        <w:rPr>
          <w:spacing w:val="-8"/>
        </w:rPr>
        <w:t> </w:t>
      </w:r>
      <w:r>
        <w:rPr/>
        <w:t>I</w:t>
      </w:r>
      <w:r>
        <w:rPr>
          <w:spacing w:val="-5"/>
        </w:rPr>
        <w:t> </w:t>
      </w:r>
      <w:r>
        <w:rPr/>
        <w:t>theory</w:t>
      </w:r>
      <w:r>
        <w:rPr>
          <w:spacing w:val="-11"/>
        </w:rPr>
        <w:t> </w:t>
      </w:r>
      <w:r>
        <w:rPr/>
        <w:t>of</w:t>
      </w:r>
      <w:r>
        <w:rPr>
          <w:spacing w:val="-6"/>
        </w:rPr>
        <w:t> </w:t>
      </w:r>
      <w:r>
        <w:rPr/>
        <w:t>money.</w:t>
      </w:r>
      <w:r>
        <w:rPr>
          <w:spacing w:val="-6"/>
        </w:rPr>
        <w:t> </w:t>
      </w:r>
      <w:r>
        <w:rPr/>
        <w:t>NBER</w:t>
      </w:r>
      <w:r>
        <w:rPr>
          <w:spacing w:val="-6"/>
        </w:rPr>
        <w:t> </w:t>
      </w:r>
      <w:r>
        <w:rPr>
          <w:spacing w:val="-2"/>
        </w:rPr>
        <w:t>Working</w:t>
      </w:r>
    </w:p>
    <w:p>
      <w:pPr>
        <w:pStyle w:val="BodyText"/>
        <w:spacing w:after="0" w:line="275" w:lineRule="exact"/>
        <w:jc w:val="both"/>
        <w:sectPr>
          <w:pgSz w:w="11900" w:h="16820"/>
          <w:pgMar w:header="714" w:footer="0" w:top="1340" w:bottom="280" w:left="1700" w:right="1417"/>
        </w:sectPr>
      </w:pPr>
    </w:p>
    <w:p>
      <w:pPr>
        <w:pStyle w:val="BodyText"/>
        <w:spacing w:before="79"/>
        <w:jc w:val="both"/>
      </w:pPr>
      <w:r>
        <w:rPr/>
        <w:t>Paper</w:t>
      </w:r>
      <w:r>
        <w:rPr>
          <w:spacing w:val="-7"/>
        </w:rPr>
        <w:t> </w:t>
      </w:r>
      <w:r>
        <w:rPr/>
        <w:t>No.</w:t>
      </w:r>
      <w:r>
        <w:rPr>
          <w:spacing w:val="-6"/>
        </w:rPr>
        <w:t> </w:t>
      </w:r>
      <w:r>
        <w:rPr>
          <w:spacing w:val="-2"/>
        </w:rPr>
        <w:t>22533.</w:t>
      </w:r>
    </w:p>
    <w:p>
      <w:pPr>
        <w:pStyle w:val="BodyText"/>
        <w:spacing w:before="2"/>
        <w:ind w:left="0"/>
      </w:pPr>
    </w:p>
    <w:p>
      <w:pPr>
        <w:pStyle w:val="BodyText"/>
        <w:spacing w:line="480" w:lineRule="auto"/>
        <w:ind w:right="320"/>
        <w:jc w:val="both"/>
      </w:pPr>
      <w:r>
        <w:rPr/>
        <w:t>Carapella, F., Chang, J.-W., Infante, S., Leistra, M., Lubis, A., &amp; Vardoulakis, A. P. (2024). Financial stability implications of CBDC. Finance and Economics Discussion Series 2024-021, Board of Governors of the Federal Reserve System, Washington,</w:t>
      </w:r>
      <w:r>
        <w:rPr>
          <w:spacing w:val="40"/>
        </w:rPr>
        <w:t> </w:t>
      </w:r>
      <w:r>
        <w:rPr>
          <w:spacing w:val="-4"/>
        </w:rPr>
        <w:t>DC.</w:t>
      </w:r>
    </w:p>
    <w:p>
      <w:pPr>
        <w:pStyle w:val="BodyText"/>
        <w:spacing w:line="480" w:lineRule="auto"/>
        <w:ind w:right="381"/>
        <w:jc w:val="both"/>
      </w:pPr>
      <w:r>
        <w:rPr/>
        <w:t>Cookson,</w:t>
      </w:r>
      <w:r>
        <w:rPr>
          <w:spacing w:val="-1"/>
        </w:rPr>
        <w:t> </w:t>
      </w:r>
      <w:r>
        <w:rPr/>
        <w:t>J.</w:t>
      </w:r>
      <w:r>
        <w:rPr>
          <w:spacing w:val="-1"/>
        </w:rPr>
        <w:t> </w:t>
      </w:r>
      <w:r>
        <w:rPr/>
        <w:t>A., Fox, C.,</w:t>
      </w:r>
      <w:r>
        <w:rPr>
          <w:spacing w:val="-1"/>
        </w:rPr>
        <w:t> </w:t>
      </w:r>
      <w:r>
        <w:rPr/>
        <w:t>Gil-Bazo, J.,</w:t>
      </w:r>
      <w:r>
        <w:rPr>
          <w:spacing w:val="-1"/>
        </w:rPr>
        <w:t> </w:t>
      </w:r>
      <w:r>
        <w:rPr/>
        <w:t>Imbet, J.</w:t>
      </w:r>
      <w:r>
        <w:rPr>
          <w:spacing w:val="-1"/>
        </w:rPr>
        <w:t> </w:t>
      </w:r>
      <w:r>
        <w:rPr/>
        <w:t>F.,</w:t>
      </w:r>
      <w:r>
        <w:rPr>
          <w:spacing w:val="-1"/>
        </w:rPr>
        <w:t> </w:t>
      </w:r>
      <w:r>
        <w:rPr/>
        <w:t>&amp; Schiller, C.</w:t>
      </w:r>
      <w:r>
        <w:rPr>
          <w:spacing w:val="-1"/>
        </w:rPr>
        <w:t> </w:t>
      </w:r>
      <w:r>
        <w:rPr/>
        <w:t>(2023). Social media as a bank run catalyst. SSRN Working Paper No. 4422754.</w:t>
      </w:r>
    </w:p>
    <w:p>
      <w:pPr>
        <w:pStyle w:val="BodyText"/>
        <w:spacing w:line="480" w:lineRule="auto"/>
        <w:ind w:right="320"/>
        <w:jc w:val="both"/>
      </w:pPr>
      <w:r>
        <w:rPr/>
        <w:t>DeLong, E. R., DeLong, D. M., &amp; Clarke-Pearson, D. L. (1988). Comparing the areas under two or more correlated receiver operating characteristic curves. Biometrics, 44(3), 837–845.</w:t>
      </w:r>
    </w:p>
    <w:p>
      <w:pPr>
        <w:pStyle w:val="BodyText"/>
        <w:spacing w:line="480" w:lineRule="auto"/>
        <w:ind w:right="320"/>
        <w:jc w:val="both"/>
      </w:pPr>
      <w:r>
        <w:rPr/>
        <w:t>Diamond, D. W., &amp; Dybvig, P. H. (1983). Bank runs, deposit insurance, and liquidity. Journal of Political Economy, 91(3), 401–419.</w:t>
      </w:r>
    </w:p>
    <w:p>
      <w:pPr>
        <w:pStyle w:val="BodyText"/>
        <w:spacing w:line="480" w:lineRule="auto"/>
        <w:ind w:right="380"/>
        <w:jc w:val="both"/>
      </w:pPr>
      <w:r>
        <w:rPr/>
        <w:t>Diks, C., &amp; Vrugt, J. A. (2010). Comparison of point forecast accuracy of model averaging methods in hydrologic applications." Stochastic Environmental Research and Risk Assessment, 24, 809–820.</w:t>
      </w:r>
    </w:p>
    <w:p>
      <w:pPr>
        <w:pStyle w:val="BodyText"/>
        <w:spacing w:line="480" w:lineRule="auto"/>
        <w:ind w:right="316"/>
        <w:jc w:val="both"/>
      </w:pPr>
      <w:r>
        <w:rPr/>
        <w:t>European Central Bank. (2023). Progress on the investigation phase of a digital euro: Second report. ECB, Frankfurt.</w:t>
      </w:r>
    </w:p>
    <w:p>
      <w:pPr>
        <w:pStyle w:val="BodyText"/>
        <w:spacing w:line="480" w:lineRule="auto"/>
        <w:ind w:right="382"/>
        <w:jc w:val="both"/>
      </w:pPr>
      <w:r>
        <w:rPr/>
        <w:t>Federal Deposit Insurance Corporation. (1998). Managing the Crisis: The FDIC and RTC Experience, 1980–1994, Volume One: History. FDIC, Washington, DC.</w:t>
      </w:r>
    </w:p>
    <w:p>
      <w:pPr>
        <w:pStyle w:val="BodyText"/>
        <w:spacing w:line="480" w:lineRule="auto"/>
        <w:ind w:right="379"/>
        <w:jc w:val="both"/>
      </w:pPr>
      <w:r>
        <w:rPr/>
        <w:t>Federal Reserve Board. (2023). 2022 Federal Reserve Payments Study. Board of Governors of the Federal Reserve System, Washington, DC.</w:t>
      </w:r>
    </w:p>
    <w:p>
      <w:pPr>
        <w:pStyle w:val="BodyText"/>
        <w:spacing w:line="480" w:lineRule="auto"/>
        <w:ind w:right="320"/>
        <w:jc w:val="both"/>
      </w:pPr>
      <w:r>
        <w:rPr/>
        <w:t>Fernández-Villaverde, J., Sanches, D., Schilling, L., &amp; Uhlig, H. (2021). Central bank digital</w:t>
      </w:r>
      <w:r>
        <w:rPr>
          <w:spacing w:val="40"/>
        </w:rPr>
        <w:t> </w:t>
      </w:r>
      <w:r>
        <w:rPr/>
        <w:t>currency:</w:t>
      </w:r>
      <w:r>
        <w:rPr>
          <w:spacing w:val="40"/>
        </w:rPr>
        <w:t> </w:t>
      </w:r>
      <w:r>
        <w:rPr/>
        <w:t>Central</w:t>
      </w:r>
      <w:r>
        <w:rPr>
          <w:spacing w:val="40"/>
        </w:rPr>
        <w:t> </w:t>
      </w:r>
      <w:r>
        <w:rPr/>
        <w:t>banking</w:t>
      </w:r>
      <w:r>
        <w:rPr>
          <w:spacing w:val="40"/>
        </w:rPr>
        <w:t> </w:t>
      </w:r>
      <w:r>
        <w:rPr/>
        <w:t>for</w:t>
      </w:r>
      <w:r>
        <w:rPr>
          <w:spacing w:val="40"/>
        </w:rPr>
        <w:t> </w:t>
      </w:r>
      <w:r>
        <w:rPr/>
        <w:t>all?</w:t>
      </w:r>
      <w:r>
        <w:rPr>
          <w:spacing w:val="40"/>
        </w:rPr>
        <w:t> </w:t>
      </w:r>
      <w:r>
        <w:rPr/>
        <w:t>Review</w:t>
      </w:r>
      <w:r>
        <w:rPr>
          <w:spacing w:val="40"/>
        </w:rPr>
        <w:t> </w:t>
      </w:r>
      <w:r>
        <w:rPr/>
        <w:t>of</w:t>
      </w:r>
      <w:r>
        <w:rPr>
          <w:spacing w:val="40"/>
        </w:rPr>
        <w:t> </w:t>
      </w:r>
      <w:r>
        <w:rPr/>
        <w:t>Economic</w:t>
      </w:r>
      <w:r>
        <w:rPr>
          <w:spacing w:val="40"/>
        </w:rPr>
        <w:t> </w:t>
      </w:r>
      <w:r>
        <w:rPr/>
        <w:t>Dynamics,</w:t>
      </w:r>
      <w:r>
        <w:rPr>
          <w:spacing w:val="40"/>
        </w:rPr>
        <w:t> </w:t>
      </w:r>
      <w:r>
        <w:rPr/>
        <w:t>41,</w:t>
      </w:r>
      <w:r>
        <w:rPr>
          <w:spacing w:val="40"/>
        </w:rPr>
        <w:t> </w:t>
      </w:r>
      <w:r>
        <w:rPr>
          <w:spacing w:val="-2"/>
        </w:rPr>
        <w:t>225–242.</w:t>
      </w:r>
    </w:p>
    <w:p>
      <w:pPr>
        <w:pStyle w:val="BodyText"/>
        <w:spacing w:line="274" w:lineRule="exact"/>
        <w:jc w:val="both"/>
      </w:pPr>
      <w:r>
        <w:rPr/>
        <w:t>Gelman,</w:t>
      </w:r>
      <w:r>
        <w:rPr>
          <w:spacing w:val="70"/>
        </w:rPr>
        <w:t> </w:t>
      </w:r>
      <w:r>
        <w:rPr/>
        <w:t>A.,</w:t>
      </w:r>
      <w:r>
        <w:rPr>
          <w:spacing w:val="71"/>
        </w:rPr>
        <w:t> </w:t>
      </w:r>
      <w:r>
        <w:rPr/>
        <w:t>&amp;</w:t>
      </w:r>
      <w:r>
        <w:rPr>
          <w:spacing w:val="69"/>
        </w:rPr>
        <w:t> </w:t>
      </w:r>
      <w:r>
        <w:rPr/>
        <w:t>Rubin,</w:t>
      </w:r>
      <w:r>
        <w:rPr>
          <w:spacing w:val="69"/>
        </w:rPr>
        <w:t> </w:t>
      </w:r>
      <w:r>
        <w:rPr/>
        <w:t>D.</w:t>
      </w:r>
      <w:r>
        <w:rPr>
          <w:spacing w:val="68"/>
        </w:rPr>
        <w:t> </w:t>
      </w:r>
      <w:r>
        <w:rPr/>
        <w:t>B.</w:t>
      </w:r>
      <w:r>
        <w:rPr>
          <w:spacing w:val="71"/>
        </w:rPr>
        <w:t> </w:t>
      </w:r>
      <w:r>
        <w:rPr/>
        <w:t>(1992).</w:t>
      </w:r>
      <w:r>
        <w:rPr>
          <w:spacing w:val="68"/>
        </w:rPr>
        <w:t> </w:t>
      </w:r>
      <w:r>
        <w:rPr/>
        <w:t>Inference</w:t>
      </w:r>
      <w:r>
        <w:rPr>
          <w:spacing w:val="72"/>
        </w:rPr>
        <w:t> </w:t>
      </w:r>
      <w:r>
        <w:rPr/>
        <w:t>from</w:t>
      </w:r>
      <w:r>
        <w:rPr>
          <w:spacing w:val="71"/>
        </w:rPr>
        <w:t> </w:t>
      </w:r>
      <w:r>
        <w:rPr/>
        <w:t>iterative</w:t>
      </w:r>
      <w:r>
        <w:rPr>
          <w:spacing w:val="68"/>
        </w:rPr>
        <w:t> </w:t>
      </w:r>
      <w:r>
        <w:rPr/>
        <w:t>simulation</w:t>
      </w:r>
      <w:r>
        <w:rPr>
          <w:spacing w:val="68"/>
        </w:rPr>
        <w:t> </w:t>
      </w:r>
      <w:r>
        <w:rPr>
          <w:spacing w:val="-2"/>
        </w:rPr>
        <w:t>using</w:t>
      </w:r>
    </w:p>
    <w:p>
      <w:pPr>
        <w:pStyle w:val="BodyText"/>
        <w:spacing w:after="0" w:line="274" w:lineRule="exact"/>
        <w:jc w:val="both"/>
        <w:sectPr>
          <w:pgSz w:w="11900" w:h="16820"/>
          <w:pgMar w:header="714" w:footer="0" w:top="1340" w:bottom="280" w:left="1700" w:right="1417"/>
        </w:sectPr>
      </w:pPr>
    </w:p>
    <w:p>
      <w:pPr>
        <w:pStyle w:val="BodyText"/>
        <w:spacing w:before="79"/>
        <w:jc w:val="both"/>
      </w:pPr>
      <w:r>
        <w:rPr/>
        <w:t>multiple</w:t>
      </w:r>
      <w:r>
        <w:rPr>
          <w:spacing w:val="-14"/>
        </w:rPr>
        <w:t> </w:t>
      </w:r>
      <w:r>
        <w:rPr/>
        <w:t>sequences.</w:t>
      </w:r>
      <w:r>
        <w:rPr>
          <w:spacing w:val="-12"/>
        </w:rPr>
        <w:t> </w:t>
      </w:r>
      <w:r>
        <w:rPr/>
        <w:t>Statistical</w:t>
      </w:r>
      <w:r>
        <w:rPr>
          <w:spacing w:val="-13"/>
        </w:rPr>
        <w:t> </w:t>
      </w:r>
      <w:r>
        <w:rPr/>
        <w:t>Science,</w:t>
      </w:r>
      <w:r>
        <w:rPr>
          <w:spacing w:val="-14"/>
        </w:rPr>
        <w:t> </w:t>
      </w:r>
      <w:r>
        <w:rPr/>
        <w:t>7(4),</w:t>
      </w:r>
      <w:r>
        <w:rPr>
          <w:spacing w:val="-14"/>
        </w:rPr>
        <w:t> </w:t>
      </w:r>
      <w:r>
        <w:rPr/>
        <w:t>457–</w:t>
      </w:r>
      <w:r>
        <w:rPr>
          <w:spacing w:val="-4"/>
        </w:rPr>
        <w:t>472.</w:t>
      </w:r>
    </w:p>
    <w:p>
      <w:pPr>
        <w:pStyle w:val="BodyText"/>
        <w:spacing w:before="2"/>
        <w:ind w:left="0"/>
      </w:pPr>
    </w:p>
    <w:p>
      <w:pPr>
        <w:pStyle w:val="BodyText"/>
        <w:spacing w:line="480" w:lineRule="auto"/>
        <w:ind w:right="381"/>
        <w:jc w:val="both"/>
      </w:pPr>
      <w:r>
        <w:rPr/>
        <w:t>Goldstein, I., &amp; Pauzner, A. (2005). Demand-deposit contracts and the probability of bank runs. The Journal of Finance, 60(3), 1293–1327.</w:t>
      </w:r>
    </w:p>
    <w:p>
      <w:pPr>
        <w:pStyle w:val="BodyText"/>
        <w:spacing w:line="480" w:lineRule="auto"/>
        <w:ind w:right="381"/>
        <w:jc w:val="both"/>
      </w:pPr>
      <w:r>
        <w:rPr/>
        <w:t>Gorton, G., &amp;</w:t>
      </w:r>
      <w:r>
        <w:rPr>
          <w:spacing w:val="-1"/>
        </w:rPr>
        <w:t> </w:t>
      </w:r>
      <w:r>
        <w:rPr/>
        <w:t>Metrick,</w:t>
      </w:r>
      <w:r>
        <w:rPr>
          <w:spacing w:val="-1"/>
        </w:rPr>
        <w:t> </w:t>
      </w:r>
      <w:r>
        <w:rPr/>
        <w:t>A.</w:t>
      </w:r>
      <w:r>
        <w:rPr>
          <w:spacing w:val="-1"/>
        </w:rPr>
        <w:t> </w:t>
      </w:r>
      <w:r>
        <w:rPr/>
        <w:t>(2012).</w:t>
      </w:r>
      <w:r>
        <w:rPr>
          <w:spacing w:val="-1"/>
        </w:rPr>
        <w:t> </w:t>
      </w:r>
      <w:r>
        <w:rPr/>
        <w:t>Securitized</w:t>
      </w:r>
      <w:r>
        <w:rPr>
          <w:spacing w:val="-1"/>
        </w:rPr>
        <w:t> </w:t>
      </w:r>
      <w:r>
        <w:rPr/>
        <w:t>banking</w:t>
      </w:r>
      <w:r>
        <w:rPr>
          <w:spacing w:val="-1"/>
        </w:rPr>
        <w:t> </w:t>
      </w:r>
      <w:r>
        <w:rPr/>
        <w:t>and</w:t>
      </w:r>
      <w:r>
        <w:rPr>
          <w:spacing w:val="-1"/>
        </w:rPr>
        <w:t> </w:t>
      </w:r>
      <w:r>
        <w:rPr/>
        <w:t>the run</w:t>
      </w:r>
      <w:r>
        <w:rPr>
          <w:spacing w:val="-1"/>
        </w:rPr>
        <w:t> </w:t>
      </w:r>
      <w:r>
        <w:rPr/>
        <w:t>on repo. Journal of Financial Economics, 104(3), 425–451.</w:t>
      </w:r>
    </w:p>
    <w:p>
      <w:pPr>
        <w:pStyle w:val="BodyText"/>
        <w:spacing w:line="480" w:lineRule="auto"/>
        <w:ind w:right="381"/>
        <w:jc w:val="both"/>
      </w:pPr>
      <w:r>
        <w:rPr/>
        <w:t>Hanley, J. A., &amp; McNeil, B. J. (1982). The meaning and use of the area under a receiver operating characteristic (ROC) curve. Radiology, 143(1), 29–36.</w:t>
      </w:r>
    </w:p>
    <w:p>
      <w:pPr>
        <w:pStyle w:val="BodyText"/>
        <w:spacing w:line="480" w:lineRule="auto"/>
        <w:ind w:right="320"/>
        <w:jc w:val="both"/>
      </w:pPr>
      <w:r>
        <w:rPr/>
        <w:t>Heitmann, D., Koch, J.-A., Islam, M. S., &amp; Eva, S. A. (2025). The impact of central bank digital currencies on the financial stability of banks: Dynamic panel estimation. Finance Research Letters, 84, Article 107791.</w:t>
      </w:r>
    </w:p>
    <w:p>
      <w:pPr>
        <w:pStyle w:val="BodyText"/>
        <w:spacing w:line="480" w:lineRule="auto"/>
        <w:ind w:right="382"/>
        <w:jc w:val="both"/>
      </w:pPr>
      <w:r>
        <w:rPr/>
        <w:t>Keister, T., &amp; Monnet, C. (2022). Central bank digital currency: Stability and information. Journal of Economic Dynamics and Control, 142, Article 104501.</w:t>
      </w:r>
    </w:p>
    <w:p>
      <w:pPr>
        <w:pStyle w:val="BodyText"/>
        <w:spacing w:line="482" w:lineRule="auto"/>
        <w:ind w:right="276"/>
        <w:jc w:val="both"/>
      </w:pPr>
      <w:r>
        <w:rPr/>
        <w:t>Keister, T., &amp; Sanches, D. (2023). Should central banks issue digital currency?</w:t>
      </w:r>
      <w:r>
        <w:rPr>
          <w:spacing w:val="80"/>
        </w:rPr>
        <w:t> </w:t>
      </w:r>
      <w:r>
        <w:rPr/>
        <w:t>Review of Economic Studies, 90(1), 404–431.</w:t>
      </w:r>
    </w:p>
    <w:p>
      <w:pPr>
        <w:pStyle w:val="BodyText"/>
        <w:spacing w:line="480" w:lineRule="auto"/>
        <w:ind w:right="382"/>
        <w:jc w:val="both"/>
      </w:pPr>
      <w:r>
        <w:rPr/>
        <w:t>Kumhof, M., &amp; Noone, C. (2021). Central bank digital currencies</w:t>
      </w:r>
      <w:r>
        <w:rPr>
          <w:spacing w:val="40"/>
        </w:rPr>
        <w:t> </w:t>
      </w:r>
      <w:r>
        <w:rPr/>
        <w:t>—</w:t>
      </w:r>
      <w:r>
        <w:rPr>
          <w:spacing w:val="40"/>
        </w:rPr>
        <w:t> </w:t>
      </w:r>
      <w:r>
        <w:rPr/>
        <w:t>design principles for financial stability. Economic Analysis and Policy, 71(C), 553–572.</w:t>
      </w:r>
    </w:p>
    <w:p>
      <w:pPr>
        <w:pStyle w:val="BodyText"/>
        <w:spacing w:line="480" w:lineRule="auto"/>
        <w:ind w:right="380"/>
        <w:jc w:val="both"/>
      </w:pPr>
      <w:r>
        <w:rPr/>
        <w:t>Luu, H.</w:t>
      </w:r>
      <w:r>
        <w:rPr>
          <w:spacing w:val="-1"/>
        </w:rPr>
        <w:t> </w:t>
      </w:r>
      <w:r>
        <w:rPr/>
        <w:t>N.,</w:t>
      </w:r>
      <w:r>
        <w:rPr>
          <w:spacing w:val="-1"/>
        </w:rPr>
        <w:t> </w:t>
      </w:r>
      <w:r>
        <w:rPr/>
        <w:t>Nguyen,</w:t>
      </w:r>
      <w:r>
        <w:rPr>
          <w:spacing w:val="-1"/>
        </w:rPr>
        <w:t> </w:t>
      </w:r>
      <w:r>
        <w:rPr/>
        <w:t>C.</w:t>
      </w:r>
      <w:r>
        <w:rPr>
          <w:spacing w:val="-1"/>
        </w:rPr>
        <w:t> </w:t>
      </w:r>
      <w:r>
        <w:rPr/>
        <w:t>P.,</w:t>
      </w:r>
      <w:r>
        <w:rPr>
          <w:spacing w:val="-1"/>
        </w:rPr>
        <w:t> </w:t>
      </w:r>
      <w:r>
        <w:rPr/>
        <w:t>&amp;</w:t>
      </w:r>
      <w:r>
        <w:rPr>
          <w:spacing w:val="-3"/>
        </w:rPr>
        <w:t> </w:t>
      </w:r>
      <w:r>
        <w:rPr/>
        <w:t>Nasir,</w:t>
      </w:r>
      <w:r>
        <w:rPr>
          <w:spacing w:val="-1"/>
        </w:rPr>
        <w:t> </w:t>
      </w:r>
      <w:r>
        <w:rPr/>
        <w:t>M.</w:t>
      </w:r>
      <w:r>
        <w:rPr>
          <w:spacing w:val="-1"/>
        </w:rPr>
        <w:t> </w:t>
      </w:r>
      <w:r>
        <w:rPr/>
        <w:t>A.</w:t>
      </w:r>
      <w:r>
        <w:rPr>
          <w:spacing w:val="-1"/>
        </w:rPr>
        <w:t> </w:t>
      </w:r>
      <w:r>
        <w:rPr/>
        <w:t>(2023).</w:t>
      </w:r>
      <w:r>
        <w:rPr>
          <w:spacing w:val="-1"/>
        </w:rPr>
        <w:t> </w:t>
      </w:r>
      <w:r>
        <w:rPr/>
        <w:t>Implications of</w:t>
      </w:r>
      <w:r>
        <w:rPr>
          <w:spacing w:val="-2"/>
        </w:rPr>
        <w:t> </w:t>
      </w:r>
      <w:r>
        <w:rPr/>
        <w:t>central bank</w:t>
      </w:r>
      <w:r>
        <w:rPr>
          <w:spacing w:val="-1"/>
        </w:rPr>
        <w:t> </w:t>
      </w:r>
      <w:r>
        <w:rPr/>
        <w:t>digital currency for financial stability: Evidence from the global banking sector. Journal of International Financial Markets, Institutions and Money, 89(C).</w:t>
      </w:r>
    </w:p>
    <w:p>
      <w:pPr>
        <w:pStyle w:val="BodyText"/>
        <w:spacing w:line="480" w:lineRule="auto"/>
        <w:ind w:right="382"/>
        <w:jc w:val="both"/>
      </w:pPr>
      <w:r>
        <w:rPr/>
        <w:t>Meller, B., &amp; Soons, O. (2023). Know your (holding) limits: CBDC, financial</w:t>
      </w:r>
      <w:r>
        <w:rPr>
          <w:spacing w:val="40"/>
        </w:rPr>
        <w:t> </w:t>
      </w:r>
      <w:r>
        <w:rPr/>
        <w:t>stability and central bank reliance. ECB Occasional Paper Series No. 326, European Central Bank, Frankfurt.</w:t>
      </w:r>
    </w:p>
    <w:p>
      <w:pPr>
        <w:pStyle w:val="BodyText"/>
        <w:spacing w:line="480" w:lineRule="auto"/>
        <w:ind w:right="377"/>
        <w:jc w:val="both"/>
      </w:pPr>
      <w:r>
        <w:rPr/>
        <w:t>Saltelli, A. (2002). Making best use of model evaluations to compute sensitivity indices. Computer Physics Communications, 145(2), 280–297.</w:t>
      </w:r>
    </w:p>
    <w:p>
      <w:pPr>
        <w:pStyle w:val="BodyText"/>
        <w:spacing w:line="275" w:lineRule="exact"/>
        <w:jc w:val="both"/>
      </w:pPr>
      <w:r>
        <w:rPr/>
        <w:t>Schilling,</w:t>
      </w:r>
      <w:r>
        <w:rPr>
          <w:spacing w:val="52"/>
        </w:rPr>
        <w:t> </w:t>
      </w:r>
      <w:r>
        <w:rPr/>
        <w:t>L.,</w:t>
      </w:r>
      <w:r>
        <w:rPr>
          <w:spacing w:val="57"/>
        </w:rPr>
        <w:t> </w:t>
      </w:r>
      <w:r>
        <w:rPr/>
        <w:t>Fernández-Villaverde,</w:t>
      </w:r>
      <w:r>
        <w:rPr>
          <w:spacing w:val="55"/>
        </w:rPr>
        <w:t> </w:t>
      </w:r>
      <w:r>
        <w:rPr/>
        <w:t>J.,</w:t>
      </w:r>
      <w:r>
        <w:rPr>
          <w:spacing w:val="53"/>
        </w:rPr>
        <w:t> </w:t>
      </w:r>
      <w:r>
        <w:rPr/>
        <w:t>&amp;</w:t>
      </w:r>
      <w:r>
        <w:rPr>
          <w:spacing w:val="55"/>
        </w:rPr>
        <w:t> </w:t>
      </w:r>
      <w:r>
        <w:rPr/>
        <w:t>Uhlig,</w:t>
      </w:r>
      <w:r>
        <w:rPr>
          <w:spacing w:val="54"/>
        </w:rPr>
        <w:t> </w:t>
      </w:r>
      <w:r>
        <w:rPr/>
        <w:t>H.</w:t>
      </w:r>
      <w:r>
        <w:rPr>
          <w:spacing w:val="54"/>
        </w:rPr>
        <w:t> </w:t>
      </w:r>
      <w:r>
        <w:rPr/>
        <w:t>(2024).</w:t>
      </w:r>
      <w:r>
        <w:rPr>
          <w:spacing w:val="54"/>
        </w:rPr>
        <w:t> </w:t>
      </w:r>
      <w:r>
        <w:rPr/>
        <w:t>Central</w:t>
      </w:r>
      <w:r>
        <w:rPr>
          <w:spacing w:val="56"/>
        </w:rPr>
        <w:t> </w:t>
      </w:r>
      <w:r>
        <w:rPr/>
        <w:t>bank</w:t>
      </w:r>
      <w:r>
        <w:rPr>
          <w:spacing w:val="54"/>
        </w:rPr>
        <w:t> </w:t>
      </w:r>
      <w:r>
        <w:rPr>
          <w:spacing w:val="-2"/>
        </w:rPr>
        <w:t>digital</w:t>
      </w:r>
    </w:p>
    <w:p>
      <w:pPr>
        <w:pStyle w:val="BodyText"/>
        <w:spacing w:after="0" w:line="275" w:lineRule="exact"/>
        <w:jc w:val="both"/>
        <w:sectPr>
          <w:pgSz w:w="11900" w:h="16820"/>
          <w:pgMar w:header="714" w:footer="0" w:top="1340" w:bottom="280" w:left="1700" w:right="1417"/>
        </w:sectPr>
      </w:pPr>
    </w:p>
    <w:p>
      <w:pPr>
        <w:pStyle w:val="BodyText"/>
        <w:spacing w:line="482" w:lineRule="auto" w:before="79"/>
      </w:pPr>
      <w:r>
        <w:rPr/>
        <w:t>currency:</w:t>
      </w:r>
      <w:r>
        <w:rPr>
          <w:spacing w:val="40"/>
        </w:rPr>
        <w:t> </w:t>
      </w:r>
      <w:r>
        <w:rPr/>
        <w:t>When</w:t>
      </w:r>
      <w:r>
        <w:rPr>
          <w:spacing w:val="40"/>
        </w:rPr>
        <w:t> </w:t>
      </w:r>
      <w:r>
        <w:rPr/>
        <w:t>price</w:t>
      </w:r>
      <w:r>
        <w:rPr>
          <w:spacing w:val="40"/>
        </w:rPr>
        <w:t> </w:t>
      </w:r>
      <w:r>
        <w:rPr/>
        <w:t>and</w:t>
      </w:r>
      <w:r>
        <w:rPr>
          <w:spacing w:val="40"/>
        </w:rPr>
        <w:t> </w:t>
      </w:r>
      <w:r>
        <w:rPr/>
        <w:t>bank</w:t>
      </w:r>
      <w:r>
        <w:rPr>
          <w:spacing w:val="40"/>
        </w:rPr>
        <w:t> </w:t>
      </w:r>
      <w:r>
        <w:rPr/>
        <w:t>stability</w:t>
      </w:r>
      <w:r>
        <w:rPr>
          <w:spacing w:val="40"/>
        </w:rPr>
        <w:t> </w:t>
      </w:r>
      <w:r>
        <w:rPr/>
        <w:t>collide.</w:t>
      </w:r>
      <w:r>
        <w:rPr>
          <w:spacing w:val="40"/>
        </w:rPr>
        <w:t> </w:t>
      </w:r>
      <w:r>
        <w:rPr/>
        <w:t>Journal</w:t>
      </w:r>
      <w:r>
        <w:rPr>
          <w:spacing w:val="40"/>
        </w:rPr>
        <w:t> </w:t>
      </w:r>
      <w:r>
        <w:rPr/>
        <w:t>of</w:t>
      </w:r>
      <w:r>
        <w:rPr>
          <w:spacing w:val="40"/>
        </w:rPr>
        <w:t> </w:t>
      </w:r>
      <w:r>
        <w:rPr/>
        <w:t>Monetary</w:t>
      </w:r>
      <w:r>
        <w:rPr>
          <w:spacing w:val="40"/>
        </w:rPr>
        <w:t> </w:t>
      </w:r>
      <w:r>
        <w:rPr/>
        <w:t>Economics, </w:t>
      </w:r>
      <w:r>
        <w:rPr>
          <w:spacing w:val="-2"/>
        </w:rPr>
        <w:t>145(C).</w:t>
      </w:r>
    </w:p>
    <w:p>
      <w:pPr>
        <w:pStyle w:val="BodyText"/>
        <w:spacing w:line="480" w:lineRule="auto"/>
      </w:pPr>
      <w:r>
        <w:rPr/>
        <w:t>Sveriges</w:t>
      </w:r>
      <w:r>
        <w:rPr>
          <w:spacing w:val="40"/>
        </w:rPr>
        <w:t> </w:t>
      </w:r>
      <w:r>
        <w:rPr/>
        <w:t>Riksbank.</w:t>
      </w:r>
      <w:r>
        <w:rPr>
          <w:spacing w:val="40"/>
        </w:rPr>
        <w:t> </w:t>
      </w:r>
      <w:r>
        <w:rPr/>
        <w:t>(2023).</w:t>
      </w:r>
      <w:r>
        <w:rPr>
          <w:spacing w:val="40"/>
        </w:rPr>
        <w:t> </w:t>
      </w:r>
      <w:r>
        <w:rPr/>
        <w:t>E-krona</w:t>
      </w:r>
      <w:r>
        <w:rPr>
          <w:spacing w:val="40"/>
        </w:rPr>
        <w:t> </w:t>
      </w:r>
      <w:r>
        <w:rPr/>
        <w:t>pilot</w:t>
      </w:r>
      <w:r>
        <w:rPr>
          <w:spacing w:val="80"/>
        </w:rPr>
        <w:t> </w:t>
      </w:r>
      <w:r>
        <w:rPr/>
        <w:t>—</w:t>
      </w:r>
      <w:r>
        <w:rPr>
          <w:spacing w:val="80"/>
        </w:rPr>
        <w:t> </w:t>
      </w:r>
      <w:r>
        <w:rPr/>
        <w:t>Phase</w:t>
      </w:r>
      <w:r>
        <w:rPr>
          <w:spacing w:val="40"/>
        </w:rPr>
        <w:t> </w:t>
      </w:r>
      <w:r>
        <w:rPr/>
        <w:t>3</w:t>
      </w:r>
      <w:r>
        <w:rPr>
          <w:spacing w:val="40"/>
        </w:rPr>
        <w:t> </w:t>
      </w:r>
      <w:r>
        <w:rPr/>
        <w:t>report.</w:t>
      </w:r>
      <w:r>
        <w:rPr>
          <w:spacing w:val="40"/>
        </w:rPr>
        <w:t> </w:t>
      </w:r>
      <w:r>
        <w:rPr/>
        <w:t>Sveriges</w:t>
      </w:r>
      <w:r>
        <w:rPr>
          <w:spacing w:val="40"/>
        </w:rPr>
        <w:t> </w:t>
      </w:r>
      <w:r>
        <w:rPr/>
        <w:t>Riksbank, </w:t>
      </w:r>
      <w:r>
        <w:rPr>
          <w:spacing w:val="-2"/>
        </w:rPr>
        <w:t>Stockholm.</w:t>
      </w:r>
    </w:p>
    <w:p>
      <w:pPr>
        <w:pStyle w:val="BodyText"/>
        <w:spacing w:line="480" w:lineRule="auto"/>
      </w:pPr>
      <w:r>
        <w:rPr/>
        <w:t>Vollmar,</w:t>
      </w:r>
      <w:r>
        <w:rPr>
          <w:spacing w:val="40"/>
        </w:rPr>
        <w:t> </w:t>
      </w:r>
      <w:r>
        <w:rPr/>
        <w:t>S.,</w:t>
      </w:r>
      <w:r>
        <w:rPr>
          <w:spacing w:val="40"/>
        </w:rPr>
        <w:t> </w:t>
      </w:r>
      <w:r>
        <w:rPr/>
        <w:t>&amp;</w:t>
      </w:r>
      <w:r>
        <w:rPr>
          <w:spacing w:val="40"/>
        </w:rPr>
        <w:t> </w:t>
      </w:r>
      <w:r>
        <w:rPr/>
        <w:t>Wening,</w:t>
      </w:r>
      <w:r>
        <w:rPr>
          <w:spacing w:val="40"/>
        </w:rPr>
        <w:t> </w:t>
      </w:r>
      <w:r>
        <w:rPr/>
        <w:t>F.</w:t>
      </w:r>
      <w:r>
        <w:rPr>
          <w:spacing w:val="40"/>
        </w:rPr>
        <w:t> </w:t>
      </w:r>
      <w:r>
        <w:rPr/>
        <w:t>(2024).</w:t>
      </w:r>
      <w:r>
        <w:rPr>
          <w:spacing w:val="40"/>
        </w:rPr>
        <w:t> </w:t>
      </w:r>
      <w:r>
        <w:rPr/>
        <w:t>The</w:t>
      </w:r>
      <w:r>
        <w:rPr>
          <w:spacing w:val="40"/>
        </w:rPr>
        <w:t> </w:t>
      </w:r>
      <w:r>
        <w:rPr/>
        <w:t>impact</w:t>
      </w:r>
      <w:r>
        <w:rPr>
          <w:spacing w:val="40"/>
        </w:rPr>
        <w:t> </w:t>
      </w:r>
      <w:r>
        <w:rPr/>
        <w:t>of</w:t>
      </w:r>
      <w:r>
        <w:rPr>
          <w:spacing w:val="40"/>
        </w:rPr>
        <w:t> </w:t>
      </w:r>
      <w:r>
        <w:rPr/>
        <w:t>CBDC</w:t>
      </w:r>
      <w:r>
        <w:rPr>
          <w:spacing w:val="40"/>
        </w:rPr>
        <w:t> </w:t>
      </w:r>
      <w:r>
        <w:rPr/>
        <w:t>on</w:t>
      </w:r>
      <w:r>
        <w:rPr>
          <w:spacing w:val="40"/>
        </w:rPr>
        <w:t> </w:t>
      </w:r>
      <w:r>
        <w:rPr/>
        <w:t>a</w:t>
      </w:r>
      <w:r>
        <w:rPr>
          <w:spacing w:val="40"/>
        </w:rPr>
        <w:t> </w:t>
      </w:r>
      <w:r>
        <w:rPr/>
        <w:t>deposit-dependent banking system. Journal of Financial Stability, 73(C).</w:t>
      </w:r>
    </w:p>
    <w:p>
      <w:pPr>
        <w:pStyle w:val="BodyText"/>
        <w:spacing w:before="77"/>
        <w:ind w:left="0"/>
      </w:pPr>
    </w:p>
    <w:p>
      <w:pPr>
        <w:pStyle w:val="Heading1"/>
        <w:ind w:left="99"/>
      </w:pPr>
      <w:r>
        <w:rPr/>
        <w:t>Appendix</w:t>
      </w:r>
      <w:r>
        <w:rPr>
          <w:spacing w:val="-10"/>
        </w:rPr>
        <w:t> </w:t>
      </w:r>
      <w:r>
        <w:rPr/>
        <w:t>A.</w:t>
      </w:r>
      <w:r>
        <w:rPr>
          <w:spacing w:val="-10"/>
        </w:rPr>
        <w:t> </w:t>
      </w:r>
      <w:r>
        <w:rPr>
          <w:spacing w:val="-2"/>
        </w:rPr>
        <w:t>Replication</w:t>
      </w:r>
    </w:p>
    <w:p>
      <w:pPr>
        <w:pStyle w:val="BodyText"/>
        <w:spacing w:before="120"/>
        <w:ind w:left="0"/>
        <w:rPr>
          <w:b/>
        </w:rPr>
      </w:pPr>
    </w:p>
    <w:p>
      <w:pPr>
        <w:pStyle w:val="BodyText"/>
      </w:pPr>
      <w:r>
        <w:rPr/>
        <w:t>Code:</w:t>
      </w:r>
      <w:r>
        <w:rPr>
          <w:spacing w:val="13"/>
        </w:rPr>
        <w:t> </w:t>
      </w:r>
      <w:hyperlink r:id="rId15">
        <w:r>
          <w:rPr/>
          <w:t>https://kcbdc.github.io/</w:t>
        </w:r>
      </w:hyperlink>
      <w:r>
        <w:rPr>
          <w:spacing w:val="14"/>
        </w:rPr>
        <w:t> </w:t>
      </w:r>
      <w:r>
        <w:rPr/>
        <w:t>and</w:t>
      </w:r>
      <w:r>
        <w:rPr>
          <w:spacing w:val="14"/>
        </w:rPr>
        <w:t> </w:t>
      </w:r>
      <w:hyperlink r:id="rId16">
        <w:r>
          <w:rPr/>
          <w:t>https://cbdc-13m.pages.dev/.</w:t>
        </w:r>
      </w:hyperlink>
      <w:r>
        <w:rPr>
          <w:spacing w:val="16"/>
        </w:rPr>
        <w:t> </w:t>
      </w:r>
      <w:r>
        <w:rPr/>
        <w:t>python</w:t>
      </w:r>
      <w:r>
        <w:rPr>
          <w:spacing w:val="14"/>
        </w:rPr>
        <w:t> </w:t>
      </w:r>
      <w:r>
        <w:rPr>
          <w:spacing w:val="-2"/>
        </w:rPr>
        <w:t>reproduce.py</w:t>
      </w:r>
    </w:p>
    <w:p>
      <w:pPr>
        <w:pStyle w:val="BodyText"/>
        <w:spacing w:line="480" w:lineRule="auto" w:before="275"/>
        <w:ind w:right="377"/>
      </w:pPr>
      <w:r>
        <w:rPr/>
        <w:t>--verify confirms 2/2 headline fingerprints (design comparison, solvency replication)</w:t>
      </w:r>
      <w:r>
        <w:rPr>
          <w:spacing w:val="40"/>
        </w:rPr>
        <w:t> </w:t>
      </w:r>
      <w:r>
        <w:rPr/>
        <w:t>in approximately 14 seconds; the leave-one-out fingerprint requires the separate --loo flag and several minutes to compute.</w:t>
      </w:r>
    </w:p>
    <w:p>
      <w:pPr>
        <w:pStyle w:val="BodyText"/>
        <w:spacing w:before="82"/>
        <w:ind w:left="0"/>
      </w:pPr>
    </w:p>
    <w:p>
      <w:pPr>
        <w:pStyle w:val="Heading1"/>
        <w:ind w:left="99"/>
      </w:pPr>
      <w:r>
        <w:rPr>
          <w:spacing w:val="-2"/>
        </w:rPr>
        <w:t>Online</w:t>
      </w:r>
      <w:r>
        <w:rPr>
          <w:spacing w:val="3"/>
        </w:rPr>
        <w:t> </w:t>
      </w:r>
      <w:r>
        <w:rPr>
          <w:spacing w:val="-2"/>
        </w:rPr>
        <w:t>Supplementary</w:t>
      </w:r>
      <w:r>
        <w:rPr>
          <w:spacing w:val="1"/>
        </w:rPr>
        <w:t> </w:t>
      </w:r>
      <w:r>
        <w:rPr>
          <w:spacing w:val="-2"/>
        </w:rPr>
        <w:t>Appendices</w:t>
      </w:r>
      <w:r>
        <w:rPr>
          <w:spacing w:val="4"/>
        </w:rPr>
        <w:t> </w:t>
      </w:r>
      <w:r>
        <w:rPr>
          <w:spacing w:val="-2"/>
        </w:rPr>
        <w:t>(B–</w:t>
      </w:r>
      <w:r>
        <w:rPr>
          <w:spacing w:val="-5"/>
        </w:rPr>
        <w:t>G)</w:t>
      </w:r>
    </w:p>
    <w:p>
      <w:pPr>
        <w:pStyle w:val="BodyText"/>
        <w:spacing w:before="119"/>
        <w:ind w:left="0"/>
        <w:rPr>
          <w:b/>
        </w:rPr>
      </w:pPr>
    </w:p>
    <w:p>
      <w:pPr>
        <w:pStyle w:val="BodyText"/>
        <w:spacing w:line="480" w:lineRule="auto"/>
        <w:ind w:right="316"/>
        <w:jc w:val="both"/>
      </w:pPr>
      <w:r>
        <w:rPr/>
        <w:t>Appendices B through G (SVB-equivalent sanity check and fingerprinting; MCMC diagnostics</w:t>
      </w:r>
      <w:r>
        <w:rPr>
          <w:spacing w:val="-3"/>
        </w:rPr>
        <w:t> </w:t>
      </w:r>
      <w:r>
        <w:rPr/>
        <w:t>and</w:t>
      </w:r>
      <w:r>
        <w:rPr>
          <w:spacing w:val="-1"/>
        </w:rPr>
        <w:t> </w:t>
      </w:r>
      <w:r>
        <w:rPr/>
        <w:t>two-regime</w:t>
      </w:r>
      <w:r>
        <w:rPr>
          <w:spacing w:val="-4"/>
        </w:rPr>
        <w:t> </w:t>
      </w:r>
      <w:r>
        <w:rPr/>
        <w:t>robustness</w:t>
      </w:r>
      <w:r>
        <w:rPr>
          <w:spacing w:val="-3"/>
        </w:rPr>
        <w:t> </w:t>
      </w:r>
      <w:r>
        <w:rPr/>
        <w:t>detail;</w:t>
      </w:r>
      <w:r>
        <w:rPr>
          <w:spacing w:val="-2"/>
        </w:rPr>
        <w:t> </w:t>
      </w:r>
      <w:r>
        <w:rPr/>
        <w:t>the</w:t>
      </w:r>
      <w:r>
        <w:rPr>
          <w:spacing w:val="-4"/>
        </w:rPr>
        <w:t> </w:t>
      </w:r>
      <w:r>
        <w:rPr/>
        <w:t>full</w:t>
      </w:r>
      <w:r>
        <w:rPr>
          <w:spacing w:val="-2"/>
        </w:rPr>
        <w:t> </w:t>
      </w:r>
      <w:r>
        <w:rPr/>
        <w:t>estimated-episode</w:t>
      </w:r>
      <w:r>
        <w:rPr>
          <w:spacing w:val="-3"/>
        </w:rPr>
        <w:t> </w:t>
      </w:r>
      <w:r>
        <w:rPr/>
        <w:t>variable</w:t>
      </w:r>
      <w:r>
        <w:rPr>
          <w:spacing w:val="-4"/>
        </w:rPr>
        <w:t> </w:t>
      </w:r>
      <w:r>
        <w:rPr/>
        <w:t>table; measurement-error sensitivity analysis; the verified-vs-estimated coefficient comparison; and the higher-N replication and package-reconciliation audit) are provided in the Online Supplementary Appendices accompanying this submission, together with the full reproducibility package (Appendix A). They are referenced throughout</w:t>
      </w:r>
      <w:r>
        <w:rPr>
          <w:spacing w:val="40"/>
        </w:rPr>
        <w:t> </w:t>
      </w:r>
      <w:r>
        <w:rPr/>
        <w:t>the</w:t>
      </w:r>
      <w:r>
        <w:rPr>
          <w:spacing w:val="40"/>
        </w:rPr>
        <w:t> </w:t>
      </w:r>
      <w:r>
        <w:rPr/>
        <w:t>main</w:t>
      </w:r>
      <w:r>
        <w:rPr>
          <w:spacing w:val="40"/>
        </w:rPr>
        <w:t> </w:t>
      </w:r>
      <w:r>
        <w:rPr/>
        <w:t>text</w:t>
      </w:r>
      <w:r>
        <w:rPr>
          <w:spacing w:val="40"/>
        </w:rPr>
        <w:t> </w:t>
      </w:r>
      <w:r>
        <w:rPr/>
        <w:t>by</w:t>
      </w:r>
      <w:r>
        <w:rPr>
          <w:spacing w:val="40"/>
        </w:rPr>
        <w:t> </w:t>
      </w:r>
      <w:r>
        <w:rPr/>
        <w:t>section</w:t>
      </w:r>
      <w:r>
        <w:rPr>
          <w:spacing w:val="40"/>
        </w:rPr>
        <w:t> </w:t>
      </w:r>
      <w:r>
        <w:rPr/>
        <w:t>number</w:t>
      </w:r>
      <w:r>
        <w:rPr>
          <w:spacing w:val="40"/>
        </w:rPr>
        <w:t> </w:t>
      </w:r>
      <w:r>
        <w:rPr/>
        <w:t>(e.g.,</w:t>
      </w:r>
      <w:r>
        <w:rPr>
          <w:spacing w:val="40"/>
        </w:rPr>
        <w:t> </w:t>
      </w:r>
      <w:r>
        <w:rPr/>
        <w:t>§E.1,</w:t>
      </w:r>
      <w:r>
        <w:rPr>
          <w:spacing w:val="40"/>
        </w:rPr>
        <w:t> </w:t>
      </w:r>
      <w:r>
        <w:rPr/>
        <w:t>§G.2)</w:t>
      </w:r>
      <w:r>
        <w:rPr>
          <w:spacing w:val="40"/>
        </w:rPr>
        <w:t> </w:t>
      </w:r>
      <w:r>
        <w:rPr/>
        <w:t>and</w:t>
      </w:r>
      <w:r>
        <w:rPr>
          <w:spacing w:val="40"/>
        </w:rPr>
        <w:t> </w:t>
      </w:r>
      <w:r>
        <w:rPr/>
        <w:t>are</w:t>
      </w:r>
      <w:r>
        <w:rPr>
          <w:spacing w:val="40"/>
        </w:rPr>
        <w:t> </w:t>
      </w:r>
      <w:r>
        <w:rPr/>
        <w:t>not reproduced here in the interest of concision; every claim in the main text that depends on this material is stated with its supporting figure and specification in place, so the online appendices are needed for independent verification and deeper technical review but not for following the paper’s argument.</w:t>
      </w:r>
    </w:p>
    <w:sectPr>
      <w:pgSz w:w="11900" w:h="16820"/>
      <w:pgMar w:header="714" w:footer="0" w:top="1340" w:bottom="28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 w:name="Lucida Sans Unicode">
    <w:altName w:val="Lucida Sans Unicode"/>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55104">
              <wp:simplePos x="0" y="0"/>
              <wp:positionH relativeFrom="page">
                <wp:posOffset>3880534</wp:posOffset>
              </wp:positionH>
              <wp:positionV relativeFrom="page">
                <wp:posOffset>441209</wp:posOffset>
              </wp:positionV>
              <wp:extent cx="254635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6350" cy="152400"/>
                      </a:xfrm>
                      <a:prstGeom prst="rect">
                        <a:avLst/>
                      </a:prstGeom>
                    </wps:spPr>
                    <wps:txbx>
                      <w:txbxContent>
                        <w:p>
                          <w:pPr>
                            <w:spacing w:before="12"/>
                            <w:ind w:left="20" w:right="0" w:firstLine="0"/>
                            <w:jc w:val="left"/>
                            <w:rPr>
                              <w:sz w:val="18"/>
                            </w:rPr>
                          </w:pPr>
                          <w:r>
                            <w:rPr>
                              <w:sz w:val="18"/>
                            </w:rPr>
                            <w:t>CBDC</w:t>
                          </w:r>
                          <w:r>
                            <w:rPr>
                              <w:spacing w:val="-5"/>
                              <w:sz w:val="18"/>
                            </w:rPr>
                            <w:t> </w:t>
                          </w:r>
                          <w:r>
                            <w:rPr>
                              <w:sz w:val="18"/>
                            </w:rPr>
                            <w:t>AS</w:t>
                          </w:r>
                          <w:r>
                            <w:rPr>
                              <w:spacing w:val="-3"/>
                              <w:sz w:val="18"/>
                            </w:rPr>
                            <w:t> </w:t>
                          </w:r>
                          <w:r>
                            <w:rPr>
                              <w:sz w:val="18"/>
                            </w:rPr>
                            <w:t>A</w:t>
                          </w:r>
                          <w:r>
                            <w:rPr>
                              <w:spacing w:val="-6"/>
                              <w:sz w:val="18"/>
                            </w:rPr>
                            <w:t> </w:t>
                          </w:r>
                          <w:r>
                            <w:rPr>
                              <w:sz w:val="18"/>
                            </w:rPr>
                            <w:t>MACROPRUDENTIAL</w:t>
                          </w:r>
                          <w:r>
                            <w:rPr>
                              <w:spacing w:val="-6"/>
                              <w:sz w:val="18"/>
                            </w:rPr>
                            <w:t> </w:t>
                          </w:r>
                          <w:r>
                            <w:rPr>
                              <w:spacing w:val="-2"/>
                              <w:sz w:val="18"/>
                            </w:rPr>
                            <w:t>INSTRUMENT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553864pt;margin-top:34.740921pt;width:200.5pt;height:12pt;mso-position-horizontal-relative:page;mso-position-vertical-relative:page;z-index:-17061376" type="#_x0000_t202" id="docshape1" filled="false" stroked="false">
              <v:textbox inset="0,0,0,0">
                <w:txbxContent>
                  <w:p>
                    <w:pPr>
                      <w:spacing w:before="12"/>
                      <w:ind w:left="20" w:right="0" w:firstLine="0"/>
                      <w:jc w:val="left"/>
                      <w:rPr>
                        <w:sz w:val="18"/>
                      </w:rPr>
                    </w:pPr>
                    <w:r>
                      <w:rPr>
                        <w:sz w:val="18"/>
                      </w:rPr>
                      <w:t>CBDC</w:t>
                    </w:r>
                    <w:r>
                      <w:rPr>
                        <w:spacing w:val="-5"/>
                        <w:sz w:val="18"/>
                      </w:rPr>
                      <w:t> </w:t>
                    </w:r>
                    <w:r>
                      <w:rPr>
                        <w:sz w:val="18"/>
                      </w:rPr>
                      <w:t>AS</w:t>
                    </w:r>
                    <w:r>
                      <w:rPr>
                        <w:spacing w:val="-3"/>
                        <w:sz w:val="18"/>
                      </w:rPr>
                      <w:t> </w:t>
                    </w:r>
                    <w:r>
                      <w:rPr>
                        <w:sz w:val="18"/>
                      </w:rPr>
                      <w:t>A</w:t>
                    </w:r>
                    <w:r>
                      <w:rPr>
                        <w:spacing w:val="-6"/>
                        <w:sz w:val="18"/>
                      </w:rPr>
                      <w:t> </w:t>
                    </w:r>
                    <w:r>
                      <w:rPr>
                        <w:sz w:val="18"/>
                      </w:rPr>
                      <w:t>MACROPRUDENTIAL</w:t>
                    </w:r>
                    <w:r>
                      <w:rPr>
                        <w:spacing w:val="-6"/>
                        <w:sz w:val="18"/>
                      </w:rPr>
                      <w:t> </w:t>
                    </w:r>
                    <w:r>
                      <w:rPr>
                        <w:spacing w:val="-2"/>
                        <w:sz w:val="18"/>
                      </w:rPr>
                      <w:t>INSTRUMENT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Roman"/>
      <w:lvlText w:val="(%1)"/>
      <w:lvlJc w:val="left"/>
      <w:pPr>
        <w:ind w:left="99" w:hanging="394"/>
        <w:jc w:val="left"/>
      </w:pPr>
      <w:rPr>
        <w:rFonts w:hint="default" w:ascii="Times New Roman" w:hAnsi="Times New Roman" w:eastAsia="Times New Roman" w:cs="Times New Roman"/>
        <w:b/>
        <w:bCs/>
        <w:i w:val="0"/>
        <w:iCs w:val="0"/>
        <w:spacing w:val="-1"/>
        <w:w w:val="99"/>
        <w:sz w:val="24"/>
        <w:szCs w:val="24"/>
        <w:lang w:val="en-US" w:eastAsia="en-US" w:bidi="ar-SA"/>
      </w:rPr>
    </w:lvl>
    <w:lvl w:ilvl="1">
      <w:start w:val="0"/>
      <w:numFmt w:val="bullet"/>
      <w:lvlText w:val="•"/>
      <w:lvlJc w:val="left"/>
      <w:pPr>
        <w:ind w:left="968" w:hanging="394"/>
      </w:pPr>
      <w:rPr>
        <w:rFonts w:hint="default"/>
        <w:lang w:val="en-US" w:eastAsia="en-US" w:bidi="ar-SA"/>
      </w:rPr>
    </w:lvl>
    <w:lvl w:ilvl="2">
      <w:start w:val="0"/>
      <w:numFmt w:val="bullet"/>
      <w:lvlText w:val="•"/>
      <w:lvlJc w:val="left"/>
      <w:pPr>
        <w:ind w:left="1836" w:hanging="394"/>
      </w:pPr>
      <w:rPr>
        <w:rFonts w:hint="default"/>
        <w:lang w:val="en-US" w:eastAsia="en-US" w:bidi="ar-SA"/>
      </w:rPr>
    </w:lvl>
    <w:lvl w:ilvl="3">
      <w:start w:val="0"/>
      <w:numFmt w:val="bullet"/>
      <w:lvlText w:val="•"/>
      <w:lvlJc w:val="left"/>
      <w:pPr>
        <w:ind w:left="2704" w:hanging="394"/>
      </w:pPr>
      <w:rPr>
        <w:rFonts w:hint="default"/>
        <w:lang w:val="en-US" w:eastAsia="en-US" w:bidi="ar-SA"/>
      </w:rPr>
    </w:lvl>
    <w:lvl w:ilvl="4">
      <w:start w:val="0"/>
      <w:numFmt w:val="bullet"/>
      <w:lvlText w:val="•"/>
      <w:lvlJc w:val="left"/>
      <w:pPr>
        <w:ind w:left="3573" w:hanging="394"/>
      </w:pPr>
      <w:rPr>
        <w:rFonts w:hint="default"/>
        <w:lang w:val="en-US" w:eastAsia="en-US" w:bidi="ar-SA"/>
      </w:rPr>
    </w:lvl>
    <w:lvl w:ilvl="5">
      <w:start w:val="0"/>
      <w:numFmt w:val="bullet"/>
      <w:lvlText w:val="•"/>
      <w:lvlJc w:val="left"/>
      <w:pPr>
        <w:ind w:left="4441" w:hanging="394"/>
      </w:pPr>
      <w:rPr>
        <w:rFonts w:hint="default"/>
        <w:lang w:val="en-US" w:eastAsia="en-US" w:bidi="ar-SA"/>
      </w:rPr>
    </w:lvl>
    <w:lvl w:ilvl="6">
      <w:start w:val="0"/>
      <w:numFmt w:val="bullet"/>
      <w:lvlText w:val="•"/>
      <w:lvlJc w:val="left"/>
      <w:pPr>
        <w:ind w:left="5309" w:hanging="394"/>
      </w:pPr>
      <w:rPr>
        <w:rFonts w:hint="default"/>
        <w:lang w:val="en-US" w:eastAsia="en-US" w:bidi="ar-SA"/>
      </w:rPr>
    </w:lvl>
    <w:lvl w:ilvl="7">
      <w:start w:val="0"/>
      <w:numFmt w:val="bullet"/>
      <w:lvlText w:val="•"/>
      <w:lvlJc w:val="left"/>
      <w:pPr>
        <w:ind w:left="6178" w:hanging="394"/>
      </w:pPr>
      <w:rPr>
        <w:rFonts w:hint="default"/>
        <w:lang w:val="en-US" w:eastAsia="en-US" w:bidi="ar-SA"/>
      </w:rPr>
    </w:lvl>
    <w:lvl w:ilvl="8">
      <w:start w:val="0"/>
      <w:numFmt w:val="bullet"/>
      <w:lvlText w:val="•"/>
      <w:lvlJc w:val="left"/>
      <w:pPr>
        <w:ind w:left="7046" w:hanging="394"/>
      </w:pPr>
      <w:rPr>
        <w:rFonts w:hint="default"/>
        <w:lang w:val="en-US" w:eastAsia="en-US" w:bidi="ar-SA"/>
      </w:rPr>
    </w:lvl>
  </w:abstractNum>
  <w:abstractNum w:abstractNumId="1">
    <w:multiLevelType w:val="hybridMultilevel"/>
    <w:lvl w:ilvl="0">
      <w:start w:val="1"/>
      <w:numFmt w:val="lowerRoman"/>
      <w:lvlText w:val="(%1)"/>
      <w:lvlJc w:val="left"/>
      <w:pPr>
        <w:ind w:left="99" w:hanging="317"/>
        <w:jc w:val="left"/>
      </w:pPr>
      <w:rPr>
        <w:rFonts w:hint="default" w:ascii="Times New Roman" w:hAnsi="Times New Roman" w:eastAsia="Times New Roman" w:cs="Times New Roman"/>
        <w:b/>
        <w:bCs/>
        <w:i w:val="0"/>
        <w:iCs w:val="0"/>
        <w:spacing w:val="-1"/>
        <w:w w:val="99"/>
        <w:sz w:val="24"/>
        <w:szCs w:val="24"/>
        <w:lang w:val="en-US" w:eastAsia="en-US" w:bidi="ar-SA"/>
      </w:rPr>
    </w:lvl>
    <w:lvl w:ilvl="1">
      <w:start w:val="0"/>
      <w:numFmt w:val="bullet"/>
      <w:lvlText w:val="•"/>
      <w:lvlJc w:val="left"/>
      <w:pPr>
        <w:ind w:left="968" w:hanging="317"/>
      </w:pPr>
      <w:rPr>
        <w:rFonts w:hint="default"/>
        <w:lang w:val="en-US" w:eastAsia="en-US" w:bidi="ar-SA"/>
      </w:rPr>
    </w:lvl>
    <w:lvl w:ilvl="2">
      <w:start w:val="0"/>
      <w:numFmt w:val="bullet"/>
      <w:lvlText w:val="•"/>
      <w:lvlJc w:val="left"/>
      <w:pPr>
        <w:ind w:left="1836" w:hanging="317"/>
      </w:pPr>
      <w:rPr>
        <w:rFonts w:hint="default"/>
        <w:lang w:val="en-US" w:eastAsia="en-US" w:bidi="ar-SA"/>
      </w:rPr>
    </w:lvl>
    <w:lvl w:ilvl="3">
      <w:start w:val="0"/>
      <w:numFmt w:val="bullet"/>
      <w:lvlText w:val="•"/>
      <w:lvlJc w:val="left"/>
      <w:pPr>
        <w:ind w:left="2704" w:hanging="317"/>
      </w:pPr>
      <w:rPr>
        <w:rFonts w:hint="default"/>
        <w:lang w:val="en-US" w:eastAsia="en-US" w:bidi="ar-SA"/>
      </w:rPr>
    </w:lvl>
    <w:lvl w:ilvl="4">
      <w:start w:val="0"/>
      <w:numFmt w:val="bullet"/>
      <w:lvlText w:val="•"/>
      <w:lvlJc w:val="left"/>
      <w:pPr>
        <w:ind w:left="3573" w:hanging="317"/>
      </w:pPr>
      <w:rPr>
        <w:rFonts w:hint="default"/>
        <w:lang w:val="en-US" w:eastAsia="en-US" w:bidi="ar-SA"/>
      </w:rPr>
    </w:lvl>
    <w:lvl w:ilvl="5">
      <w:start w:val="0"/>
      <w:numFmt w:val="bullet"/>
      <w:lvlText w:val="•"/>
      <w:lvlJc w:val="left"/>
      <w:pPr>
        <w:ind w:left="4441" w:hanging="317"/>
      </w:pPr>
      <w:rPr>
        <w:rFonts w:hint="default"/>
        <w:lang w:val="en-US" w:eastAsia="en-US" w:bidi="ar-SA"/>
      </w:rPr>
    </w:lvl>
    <w:lvl w:ilvl="6">
      <w:start w:val="0"/>
      <w:numFmt w:val="bullet"/>
      <w:lvlText w:val="•"/>
      <w:lvlJc w:val="left"/>
      <w:pPr>
        <w:ind w:left="5309" w:hanging="317"/>
      </w:pPr>
      <w:rPr>
        <w:rFonts w:hint="default"/>
        <w:lang w:val="en-US" w:eastAsia="en-US" w:bidi="ar-SA"/>
      </w:rPr>
    </w:lvl>
    <w:lvl w:ilvl="7">
      <w:start w:val="0"/>
      <w:numFmt w:val="bullet"/>
      <w:lvlText w:val="•"/>
      <w:lvlJc w:val="left"/>
      <w:pPr>
        <w:ind w:left="6178" w:hanging="317"/>
      </w:pPr>
      <w:rPr>
        <w:rFonts w:hint="default"/>
        <w:lang w:val="en-US" w:eastAsia="en-US" w:bidi="ar-SA"/>
      </w:rPr>
    </w:lvl>
    <w:lvl w:ilvl="8">
      <w:start w:val="0"/>
      <w:numFmt w:val="bullet"/>
      <w:lvlText w:val="•"/>
      <w:lvlJc w:val="left"/>
      <w:pPr>
        <w:ind w:left="7046" w:hanging="317"/>
      </w:pPr>
      <w:rPr>
        <w:rFonts w:hint="default"/>
        <w:lang w:val="en-US" w:eastAsia="en-US" w:bidi="ar-SA"/>
      </w:rPr>
    </w:lvl>
  </w:abstractNum>
  <w:abstractNum w:abstractNumId="0">
    <w:multiLevelType w:val="hybridMultilevel"/>
    <w:lvl w:ilvl="0">
      <w:start w:val="1"/>
      <w:numFmt w:val="decimal"/>
      <w:lvlText w:val="%1."/>
      <w:lvlJc w:val="left"/>
      <w:pPr>
        <w:ind w:left="338" w:hanging="24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458" w:hanging="360"/>
        <w:jc w:val="left"/>
      </w:pPr>
      <w:rPr>
        <w:rFonts w:hint="default" w:ascii="Times New Roman" w:hAnsi="Times New Roman" w:eastAsia="Times New Roman" w:cs="Times New Roman"/>
        <w:b/>
        <w:bCs/>
        <w:i/>
        <w:iCs/>
        <w:spacing w:val="0"/>
        <w:w w:val="99"/>
        <w:sz w:val="24"/>
        <w:szCs w:val="24"/>
        <w:lang w:val="en-US" w:eastAsia="en-US" w:bidi="ar-SA"/>
      </w:rPr>
    </w:lvl>
    <w:lvl w:ilvl="2">
      <w:start w:val="0"/>
      <w:numFmt w:val="bullet"/>
      <w:lvlText w:val="•"/>
      <w:lvlJc w:val="left"/>
      <w:pPr>
        <w:ind w:left="1384" w:hanging="360"/>
      </w:pPr>
      <w:rPr>
        <w:rFonts w:hint="default"/>
        <w:lang w:val="en-US" w:eastAsia="en-US" w:bidi="ar-SA"/>
      </w:rPr>
    </w:lvl>
    <w:lvl w:ilvl="3">
      <w:start w:val="0"/>
      <w:numFmt w:val="bullet"/>
      <w:lvlText w:val="•"/>
      <w:lvlJc w:val="left"/>
      <w:pPr>
        <w:ind w:left="2309"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4159" w:hanging="360"/>
      </w:pPr>
      <w:rPr>
        <w:rFonts w:hint="default"/>
        <w:lang w:val="en-US" w:eastAsia="en-US" w:bidi="ar-SA"/>
      </w:rPr>
    </w:lvl>
    <w:lvl w:ilvl="6">
      <w:start w:val="0"/>
      <w:numFmt w:val="bullet"/>
      <w:lvlText w:val="•"/>
      <w:lvlJc w:val="left"/>
      <w:pPr>
        <w:ind w:left="5083" w:hanging="360"/>
      </w:pPr>
      <w:rPr>
        <w:rFonts w:hint="default"/>
        <w:lang w:val="en-US" w:eastAsia="en-US" w:bidi="ar-SA"/>
      </w:rPr>
    </w:lvl>
    <w:lvl w:ilvl="7">
      <w:start w:val="0"/>
      <w:numFmt w:val="bullet"/>
      <w:lvlText w:val="•"/>
      <w:lvlJc w:val="left"/>
      <w:pPr>
        <w:ind w:left="6008" w:hanging="360"/>
      </w:pPr>
      <w:rPr>
        <w:rFonts w:hint="default"/>
        <w:lang w:val="en-US" w:eastAsia="en-US" w:bidi="ar-SA"/>
      </w:rPr>
    </w:lvl>
    <w:lvl w:ilvl="8">
      <w:start w:val="0"/>
      <w:numFmt w:val="bullet"/>
      <w:lvlText w:val="•"/>
      <w:lvlJc w:val="left"/>
      <w:pPr>
        <w:ind w:left="693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3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57" w:hanging="358"/>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154" w:right="437" w:firstLine="2"/>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457" w:hanging="3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cross@komsco.com"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www.bis.org/bcbs/publ/d582.htm" TargetMode="External"/><Relationship Id="rId14" Type="http://schemas.openxmlformats.org/officeDocument/2006/relationships/hyperlink" Target="https://www.bis.org/cbdc/" TargetMode="External"/><Relationship Id="rId15" Type="http://schemas.openxmlformats.org/officeDocument/2006/relationships/hyperlink" Target="https://kcbdc.github.io/" TargetMode="External"/><Relationship Id="rId16" Type="http://schemas.openxmlformats.org/officeDocument/2006/relationships/hyperlink" Target="https://cbdc-13m.pages.dev/"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2026-09-27T15:30:49Z</dcterms:created>
  <dcterms:modified xsi:type="dcterms:W3CDTF">2026-09-27T15:30:49Z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2026-08-28T00:00:00Z</vt:filetime>
  </property>
  <property fmtid="{D5CDD505-2E9C-101B-9397-08002B2CF9AE}" pid="3" name="Creator">
    <vt:lpwstr>Hancom PDF 1.3.0.509</vt:lpwstr>
  </property>
  <property fmtid="{D5CDD505-2E9C-101B-9397-08002B2CF9AE}" pid="4" name="LastSaved">
    <vt:filetime>2026-09-27T00:00:00Z</vt:filetime>
  </property>
  <property fmtid="{D5CDD505-2E9C-101B-9397-08002B2CF9AE}" pid="5" name="PDFVersion">
    <vt:lpwstr>1.4</vt:lpwstr>
  </property>
  <property fmtid="{D5CDD505-2E9C-101B-9397-08002B2CF9AE}" pid="6" name="Producer">
    <vt:lpwstr>Hancom PDF 1.3.0.509</vt:lpwstr>
  </property>
</Properties>
</file>