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F786E2" w14:textId="77777777" w:rsidR="00370EB9" w:rsidRDefault="00000000">
      <w:pPr>
        <w:spacing w:after="40" w:line="360" w:lineRule="auto"/>
      </w:pPr>
      <w:proofErr w:type="spellStart"/>
      <w:r>
        <w:rPr>
          <w:rFonts w:eastAsia="Times New Roman"/>
          <w:sz w:val="22"/>
          <w:szCs w:val="22"/>
        </w:rPr>
        <w:t>Chanhyuk</w:t>
      </w:r>
      <w:proofErr w:type="spellEnd"/>
      <w:r>
        <w:rPr>
          <w:rFonts w:eastAsia="Times New Roman"/>
          <w:sz w:val="22"/>
          <w:szCs w:val="22"/>
        </w:rPr>
        <w:t xml:space="preserve"> Park</w:t>
      </w:r>
    </w:p>
    <w:p w14:paraId="00FE5682" w14:textId="77777777" w:rsidR="00370EB9" w:rsidRDefault="00000000">
      <w:pPr>
        <w:spacing w:after="40" w:line="360" w:lineRule="auto"/>
      </w:pPr>
      <w:r>
        <w:rPr>
          <w:rFonts w:eastAsia="Times New Roman"/>
          <w:sz w:val="22"/>
          <w:szCs w:val="22"/>
        </w:rPr>
        <w:t>Management Support Division</w:t>
      </w:r>
    </w:p>
    <w:p w14:paraId="38497ADD" w14:textId="77777777" w:rsidR="00370EB9" w:rsidRDefault="00000000">
      <w:pPr>
        <w:spacing w:after="40" w:line="360" w:lineRule="auto"/>
      </w:pPr>
      <w:r>
        <w:rPr>
          <w:rFonts w:eastAsia="Times New Roman"/>
          <w:sz w:val="22"/>
          <w:szCs w:val="22"/>
        </w:rPr>
        <w:t>Korea Minting, Security Printing &amp; ID Card Operating Corporation (KOMSCO)</w:t>
      </w:r>
    </w:p>
    <w:p w14:paraId="75FB4E9E" w14:textId="77777777" w:rsidR="00370EB9" w:rsidRDefault="00000000">
      <w:pPr>
        <w:spacing w:after="40" w:line="360" w:lineRule="auto"/>
      </w:pPr>
      <w:r>
        <w:rPr>
          <w:rFonts w:eastAsia="Times New Roman"/>
          <w:sz w:val="22"/>
          <w:szCs w:val="22"/>
        </w:rPr>
        <w:t xml:space="preserve">80-67, </w:t>
      </w:r>
      <w:proofErr w:type="spellStart"/>
      <w:r>
        <w:rPr>
          <w:rFonts w:eastAsia="Times New Roman"/>
          <w:sz w:val="22"/>
          <w:szCs w:val="22"/>
        </w:rPr>
        <w:t>Gwahak-ro</w:t>
      </w:r>
      <w:proofErr w:type="spellEnd"/>
      <w:r>
        <w:rPr>
          <w:rFonts w:eastAsia="Times New Roman"/>
          <w:sz w:val="22"/>
          <w:szCs w:val="22"/>
        </w:rPr>
        <w:t xml:space="preserve">, </w:t>
      </w:r>
      <w:proofErr w:type="spellStart"/>
      <w:r>
        <w:rPr>
          <w:rFonts w:eastAsia="Times New Roman"/>
          <w:sz w:val="22"/>
          <w:szCs w:val="22"/>
        </w:rPr>
        <w:t>Yuseong-gu</w:t>
      </w:r>
      <w:proofErr w:type="spellEnd"/>
      <w:r>
        <w:rPr>
          <w:rFonts w:eastAsia="Times New Roman"/>
          <w:sz w:val="22"/>
          <w:szCs w:val="22"/>
        </w:rPr>
        <w:t>, Daejeon, 34132, Republic of Korea</w:t>
      </w:r>
    </w:p>
    <w:p w14:paraId="45040300" w14:textId="77777777" w:rsidR="00370EB9" w:rsidRDefault="00000000">
      <w:pPr>
        <w:spacing w:after="400" w:line="360" w:lineRule="auto"/>
      </w:pPr>
      <w:r>
        <w:rPr>
          <w:rFonts w:eastAsia="Times New Roman"/>
          <w:sz w:val="22"/>
          <w:szCs w:val="22"/>
        </w:rPr>
        <w:t>Email: cross@komsco.com</w:t>
      </w:r>
    </w:p>
    <w:p w14:paraId="45F3FDBA" w14:textId="77777777" w:rsidR="00370EB9" w:rsidRDefault="00000000">
      <w:pPr>
        <w:spacing w:after="300" w:line="360" w:lineRule="auto"/>
      </w:pPr>
      <w:r>
        <w:rPr>
          <w:rFonts w:eastAsia="Times New Roman"/>
          <w:sz w:val="22"/>
          <w:szCs w:val="22"/>
        </w:rPr>
        <w:t>Dear Professor Hasan,</w:t>
      </w:r>
    </w:p>
    <w:p w14:paraId="3C59A389" w14:textId="77777777" w:rsidR="00370EB9" w:rsidRDefault="00000000">
      <w:pPr>
        <w:spacing w:after="300" w:line="360" w:lineRule="auto"/>
      </w:pPr>
      <w:r>
        <w:rPr>
          <w:rFonts w:eastAsia="Times New Roman"/>
          <w:sz w:val="22"/>
          <w:szCs w:val="22"/>
        </w:rPr>
        <w:t>We are pleased to resubmit our manuscript, now titled “Central Bank Digital Currency as a Macroprudential Instrument: Systemic Risk Design Trade-offs and Historical Evidence,” for consideration at the Journal of Financial Stability. This is a substantially revised version of manuscript JFS-D-26-01480, which you returned without formal review.</w:t>
      </w:r>
    </w:p>
    <w:p w14:paraId="55E385E0" w14:textId="77777777" w:rsidR="00370EB9" w:rsidRDefault="00000000">
      <w:pPr>
        <w:spacing w:after="300" w:line="360" w:lineRule="auto"/>
      </w:pPr>
      <w:r>
        <w:rPr>
          <w:rFonts w:eastAsia="Times New Roman"/>
          <w:sz w:val="22"/>
          <w:szCs w:val="22"/>
        </w:rPr>
        <w:t>More than one hundred central banks are now actively piloting or evaluating retail CBDCs, yet the empirical literature comparing how different design choices perform under real, historically observed banking stress remains thin. This paper addresses that gap directly: we calibrate a complex-systems simulation to a panel of historical banking-crisis episodes and show that a single, identifiable channel — the interaction between banking-system concentration and crisis severity — determines how badly retail CBDCs amplify deposit flight, and that a dynamic, tiered holding-cap design dominates the alternatives across every robustness check we ran. We believe this is precisely the kind of historically grounded, policy-relevant systemic-risk analysis the Journal of Financial Stability exists to publish.</w:t>
      </w:r>
    </w:p>
    <w:p w14:paraId="1493CAAE" w14:textId="77777777" w:rsidR="00370EB9" w:rsidRDefault="00000000">
      <w:pPr>
        <w:spacing w:after="300" w:line="360" w:lineRule="auto"/>
      </w:pPr>
      <w:r>
        <w:rPr>
          <w:rFonts w:eastAsia="Times New Roman"/>
          <w:sz w:val="22"/>
          <w:szCs w:val="22"/>
        </w:rPr>
        <w:t xml:space="preserve">We used the opportunity of this resubmission to strengthen the paper on two fronts, not merely to relabel it. First, we reframed the manuscript so that its central claim — CBDC design as a macroprudential policy instrument — leads the paper, with the historical calibration and simulation presented explicitly as the evidentiary basis for that claim rather than as the paper's primary subject. Second, and more substantively, we expanded the underlying evidence base itself: two additional primary-source-verified episodes (Bank of New England, 1991; Countrywide Financial, 2007), identified during our own verification process but not included in the version you saw, have now been fully integrated into the panel (n=79→81, verified episodes 13→15). The headline result strengthens under this expansion (θ₂=0.2466, p=0.0003), and the verified-only subsample — previously too small to speak to independently — now confirms the same channel under one of two pre-specified regressor sets (p=0.0325), a specification-sensitivity we report and discuss directly rather than obscure. We have since gone further, running a random-effects estimator that pools the verified and reconstructed strata (θ₂=0.3734) and a widened ±40% robustness envelope on the </w:t>
      </w:r>
      <w:r>
        <w:rPr>
          <w:rFonts w:eastAsia="Times New Roman"/>
          <w:sz w:val="22"/>
          <w:szCs w:val="22"/>
        </w:rPr>
        <w:lastRenderedPageBreak/>
        <w:t>simulation's design ranking, both of which are reported with the same transparency.</w:t>
      </w:r>
    </w:p>
    <w:p w14:paraId="04D322B2" w14:textId="77777777" w:rsidR="00370EB9" w:rsidRDefault="00000000">
      <w:pPr>
        <w:spacing w:after="300" w:line="360" w:lineRule="auto"/>
      </w:pPr>
      <w:r>
        <w:rPr>
          <w:rFonts w:eastAsia="Times New Roman"/>
          <w:sz w:val="22"/>
          <w:szCs w:val="22"/>
        </w:rPr>
        <w:t>We have also been correspondingly direct about what the evidence cannot yet establish. Roughly four-fifths of the panel is reconstructed from secondary sources rather than primary regulatory filings, and we report exactly why that gap cannot be closed through further data collection alone: an explicit power calculation shows that independent confirmation from verified data alone would require on the order of 2,650 verified episodes — far beyond any historical crisis database that exists. Rather than treat this as a weakness to minimize, we treat it as a boundary condition to state precisely, alongside five independent robustness checks that all confirm the same directional result. We think this transparency, backed by a complete and independently executable reproducibility package, is itself part of what makes the paper suitable for a journal with the Journal of Financial Stability's standards.</w:t>
      </w:r>
    </w:p>
    <w:p w14:paraId="32E6C3F5" w14:textId="77777777" w:rsidR="00370EB9" w:rsidRDefault="00000000">
      <w:pPr>
        <w:spacing w:after="300" w:line="360" w:lineRule="auto"/>
      </w:pPr>
      <w:r>
        <w:rPr>
          <w:rFonts w:eastAsia="Times New Roman"/>
          <w:sz w:val="22"/>
          <w:szCs w:val="22"/>
        </w:rPr>
        <w:t>We recognize that reframing and strengthening the evidence base may not resolve whatever specific concern prompted the original decision, and we would welcome any further guidance on that point. But we are confident the paper now makes a sharper, better-evidenced case for its central claim than the version you saw, and we hope you will find it merits a full review.</w:t>
      </w:r>
    </w:p>
    <w:p w14:paraId="59F857CF" w14:textId="77777777" w:rsidR="00370EB9" w:rsidRDefault="00000000">
      <w:pPr>
        <w:spacing w:after="300" w:line="360" w:lineRule="auto"/>
      </w:pPr>
      <w:r>
        <w:rPr>
          <w:rFonts w:eastAsia="Times New Roman"/>
          <w:sz w:val="22"/>
          <w:szCs w:val="22"/>
        </w:rPr>
        <w:t>A complete, executable reproducibility package (the full n=81 historical crisis-episode panel, simulation engine, and calibration code) accompanies this manuscript and independently reproduces every headline figure reported in the paper. This manuscript is not under consideration elsewhere, and we have no conflicts of interest to declare.</w:t>
      </w:r>
    </w:p>
    <w:p w14:paraId="274D76D1" w14:textId="77777777" w:rsidR="00370EB9" w:rsidRDefault="00000000">
      <w:pPr>
        <w:spacing w:after="400" w:line="360" w:lineRule="auto"/>
      </w:pPr>
      <w:r>
        <w:rPr>
          <w:rFonts w:eastAsia="Times New Roman"/>
          <w:sz w:val="22"/>
          <w:szCs w:val="22"/>
        </w:rPr>
        <w:t>Thank you for your consideration. We look forward to your response and are happy to provide any further information the editorial process requires.</w:t>
      </w:r>
    </w:p>
    <w:p w14:paraId="61D408DD" w14:textId="77777777" w:rsidR="00370EB9" w:rsidRDefault="00000000">
      <w:pPr>
        <w:spacing w:after="300" w:line="360" w:lineRule="auto"/>
      </w:pPr>
      <w:r>
        <w:rPr>
          <w:rFonts w:eastAsia="Times New Roman"/>
          <w:sz w:val="22"/>
          <w:szCs w:val="22"/>
        </w:rPr>
        <w:t>Sincerely,</w:t>
      </w:r>
    </w:p>
    <w:p w14:paraId="1E64F76E" w14:textId="77777777" w:rsidR="00370EB9" w:rsidRDefault="00000000">
      <w:pPr>
        <w:spacing w:after="40" w:line="360" w:lineRule="auto"/>
      </w:pPr>
      <w:proofErr w:type="spellStart"/>
      <w:r>
        <w:rPr>
          <w:rFonts w:eastAsia="Times New Roman"/>
          <w:sz w:val="22"/>
          <w:szCs w:val="22"/>
        </w:rPr>
        <w:t>Chanhyuk</w:t>
      </w:r>
      <w:proofErr w:type="spellEnd"/>
      <w:r>
        <w:rPr>
          <w:rFonts w:eastAsia="Times New Roman"/>
          <w:sz w:val="22"/>
          <w:szCs w:val="22"/>
        </w:rPr>
        <w:t xml:space="preserve"> Park (Corresponding Author)</w:t>
      </w:r>
    </w:p>
    <w:p w14:paraId="65462C35" w14:textId="77777777" w:rsidR="0053721B" w:rsidRPr="0053721B" w:rsidRDefault="0053721B" w:rsidP="0053721B">
      <w:pPr>
        <w:spacing w:after="40" w:line="360" w:lineRule="auto"/>
        <w:rPr>
          <w:rFonts w:eastAsia="Times New Roman"/>
          <w:sz w:val="22"/>
          <w:szCs w:val="22"/>
        </w:rPr>
      </w:pPr>
      <w:proofErr w:type="spellStart"/>
      <w:r w:rsidRPr="0053721B">
        <w:rPr>
          <w:rFonts w:eastAsia="Times New Roman" w:hint="eastAsia"/>
          <w:sz w:val="22"/>
          <w:szCs w:val="22"/>
        </w:rPr>
        <w:t>Sangyoon</w:t>
      </w:r>
      <w:proofErr w:type="spellEnd"/>
      <w:r w:rsidRPr="0053721B">
        <w:rPr>
          <w:rFonts w:eastAsia="Times New Roman" w:hint="eastAsia"/>
          <w:sz w:val="22"/>
          <w:szCs w:val="22"/>
        </w:rPr>
        <w:t xml:space="preserve"> Yi</w:t>
      </w:r>
    </w:p>
    <w:p w14:paraId="2274F514" w14:textId="6B9F9C90" w:rsidR="00370EB9" w:rsidRDefault="00370EB9" w:rsidP="0053721B">
      <w:pPr>
        <w:spacing w:after="40" w:line="360" w:lineRule="auto"/>
      </w:pPr>
    </w:p>
    <w:sectPr w:rsidR="00370EB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4327FB"/>
    <w:multiLevelType w:val="hybridMultilevel"/>
    <w:tmpl w:val="079EB1D8"/>
    <w:lvl w:ilvl="0" w:tplc="5FFEEB12">
      <w:start w:val="1"/>
      <w:numFmt w:val="bullet"/>
      <w:lvlText w:val="●"/>
      <w:lvlJc w:val="left"/>
      <w:pPr>
        <w:ind w:left="720" w:hanging="360"/>
      </w:pPr>
    </w:lvl>
    <w:lvl w:ilvl="1" w:tplc="A1ACBC4E">
      <w:start w:val="1"/>
      <w:numFmt w:val="bullet"/>
      <w:lvlText w:val="○"/>
      <w:lvlJc w:val="left"/>
      <w:pPr>
        <w:ind w:left="1440" w:hanging="360"/>
      </w:pPr>
    </w:lvl>
    <w:lvl w:ilvl="2" w:tplc="74FC733E">
      <w:start w:val="1"/>
      <w:numFmt w:val="bullet"/>
      <w:lvlText w:val="■"/>
      <w:lvlJc w:val="left"/>
      <w:pPr>
        <w:ind w:left="2160" w:hanging="360"/>
      </w:pPr>
    </w:lvl>
    <w:lvl w:ilvl="3" w:tplc="AA24B4C8">
      <w:start w:val="1"/>
      <w:numFmt w:val="bullet"/>
      <w:lvlText w:val="●"/>
      <w:lvlJc w:val="left"/>
      <w:pPr>
        <w:ind w:left="2880" w:hanging="360"/>
      </w:pPr>
    </w:lvl>
    <w:lvl w:ilvl="4" w:tplc="F00EECC6">
      <w:start w:val="1"/>
      <w:numFmt w:val="bullet"/>
      <w:lvlText w:val="○"/>
      <w:lvlJc w:val="left"/>
      <w:pPr>
        <w:ind w:left="3600" w:hanging="360"/>
      </w:pPr>
    </w:lvl>
    <w:lvl w:ilvl="5" w:tplc="0C3CD0EE">
      <w:start w:val="1"/>
      <w:numFmt w:val="bullet"/>
      <w:lvlText w:val="■"/>
      <w:lvlJc w:val="left"/>
      <w:pPr>
        <w:ind w:left="4320" w:hanging="360"/>
      </w:pPr>
    </w:lvl>
    <w:lvl w:ilvl="6" w:tplc="BE10E998">
      <w:start w:val="1"/>
      <w:numFmt w:val="bullet"/>
      <w:lvlText w:val="●"/>
      <w:lvlJc w:val="left"/>
      <w:pPr>
        <w:ind w:left="5040" w:hanging="360"/>
      </w:pPr>
    </w:lvl>
    <w:lvl w:ilvl="7" w:tplc="EF2AE45C">
      <w:start w:val="1"/>
      <w:numFmt w:val="bullet"/>
      <w:lvlText w:val="●"/>
      <w:lvlJc w:val="left"/>
      <w:pPr>
        <w:ind w:left="5760" w:hanging="360"/>
      </w:pPr>
    </w:lvl>
    <w:lvl w:ilvl="8" w:tplc="289C50E6">
      <w:start w:val="1"/>
      <w:numFmt w:val="bullet"/>
      <w:lvlText w:val="●"/>
      <w:lvlJc w:val="left"/>
      <w:pPr>
        <w:ind w:left="6480" w:hanging="360"/>
      </w:pPr>
    </w:lvl>
  </w:abstractNum>
  <w:num w:numId="1" w16cid:durableId="20213454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0EB9"/>
    <w:rsid w:val="00370EB9"/>
    <w:rsid w:val="0053721B"/>
    <w:rsid w:val="00FB6AE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1CCA8"/>
  <w15:docId w15:val="{C45586E8-A040-4D3F-96F1-C99A16BFA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8372773">
      <w:bodyDiv w:val="1"/>
      <w:marLeft w:val="0"/>
      <w:marRight w:val="0"/>
      <w:marTop w:val="0"/>
      <w:marBottom w:val="0"/>
      <w:divBdr>
        <w:top w:val="none" w:sz="0" w:space="0" w:color="auto"/>
        <w:left w:val="none" w:sz="0" w:space="0" w:color="auto"/>
        <w:bottom w:val="none" w:sz="0" w:space="0" w:color="auto"/>
        <w:right w:val="none" w:sz="0" w:space="0" w:color="auto"/>
      </w:divBdr>
    </w:div>
    <w:div w:id="21378743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677</Words>
  <Characters>3860</Characters>
  <Application>Microsoft Office Word</Application>
  <DocSecurity>0</DocSecurity>
  <Lines>32</Lines>
  <Paragraphs>9</Paragraphs>
  <ScaleCrop>false</ScaleCrop>
  <Company/>
  <LinksUpToDate>false</LinksUpToDate>
  <CharactersWithSpaces>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2026-07-21T07:29:00Z</dcterms:created>
  <dcterms:modified xsi:type="dcterms:W3CDTF">2026-10-01T10:43:00Z</dcterms:modified>
</cp:coreProperties>
</file>