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Online Supplementary Appendices</w:t>
      </w:r>
    </w:p>
    <w:p>
      <w:pPr>
        <w:pStyle w:val="BodyText"/>
      </w:pPr>
      <w:r>
        <w:rPr>
          <w:bCs/>
          <w:b/>
        </w:rPr>
        <w:t xml:space="preserve">Central Bank Digital Currency as a Macroprudential Instrument:</w:t>
      </w:r>
      <w:r>
        <w:rPr>
          <w:bCs/>
          <w:b/>
        </w:rPr>
        <w:t xml:space="preserve"> </w:t>
      </w:r>
      <w:r>
        <w:rPr>
          <w:bCs/>
          <w:b/>
        </w:rPr>
        <w:t xml:space="preserve">Systemic Risk Design Trade-offs and Historical Evidence</w:t>
      </w:r>
    </w:p>
    <w:p>
      <w:pPr>
        <w:pStyle w:val="BodyText"/>
      </w:pPr>
      <w:r>
        <w:rPr>
          <w:iCs/>
          <w:i/>
        </w:rPr>
        <w:t xml:space="preserve">Appendices B through G.3 (full technical detail; referenced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main manuscript). Appendix A (Replication) and the manuscript’s core</w:t>
      </w:r>
      <w:r>
        <w:rPr>
          <w:iCs/>
          <w:i/>
        </w:rPr>
        <w:t xml:space="preserve"> </w:t>
      </w:r>
      <w:r>
        <w:rPr>
          <w:iCs/>
          <w:i/>
        </w:rPr>
        <w:t xml:space="preserve">Appendices D.1 derivation rules remain in the main text; this file</w:t>
      </w:r>
      <w:r>
        <w:rPr>
          <w:iCs/>
          <w:i/>
        </w:rPr>
        <w:t xml:space="preserve"> </w:t>
      </w:r>
      <w:r>
        <w:rPr>
          <w:iCs/>
          <w:i/>
        </w:rPr>
        <w:t xml:space="preserve">contains the extended robustness, measurement-error, reconciliation, and</w:t>
      </w:r>
      <w:r>
        <w:rPr>
          <w:iCs/>
          <w:i/>
        </w:rPr>
        <w:t xml:space="preserve"> </w:t>
      </w:r>
      <w:r>
        <w:rPr>
          <w:iCs/>
          <w:i/>
        </w:rPr>
        <w:t xml:space="preserve">higher-N replication material.</w:t>
      </w:r>
    </w:p>
    <w:bookmarkStart w:id="20" w:name="Xd0284143d02c71bc5f63acad00267118844613f"/>
    <w:p>
      <w:pPr>
        <w:pStyle w:val="1"/>
      </w:pPr>
      <w:r>
        <w:rPr>
          <w:bCs/>
          <w:b/>
        </w:rPr>
        <w:t xml:space="preserve">Appendix B. SVB-Equivalent v6.0 Stress-Scenario Sanity Check and Fingerprint</w:t>
      </w:r>
    </w:p>
    <w:p>
      <w:pPr>
        <w:pStyle w:val="FirstParagraph"/>
      </w:pPr>
      <w:r>
        <w:t xml:space="preserve">Table A1. SVB-Equivalent Stress-Scenario Sanity Check (v6.0, N=300</w:t>
      </w:r>
      <w:r>
        <w:t xml:space="preserve"> </w:t>
      </w:r>
      <w:r>
        <w:t xml:space="preserve">direct MC; no imputed values)</w:t>
      </w:r>
    </w:p>
    <w:tbl>
      <w:tblPr>
        <w:tblStyle w:val="Table"/>
        <w:tblW w:type="pct" w:w="4908"/>
        <w:jc w:val="start"/>
        <w:tblLook w:firstRow="1" w:lastRow="0" w:firstColumn="0" w:lastColumn="0" w:noHBand="0" w:noVBand="0" w:val="0020"/>
      </w:tblPr>
      <w:tblGrid>
        <w:gridCol w:w="1235"/>
        <w:gridCol w:w="581"/>
        <w:gridCol w:w="581"/>
        <w:gridCol w:w="1017"/>
        <w:gridCol w:w="799"/>
        <w:gridCol w:w="799"/>
        <w:gridCol w:w="1017"/>
        <w:gridCol w:w="17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eta_ill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P(Fail)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[Wilson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0.0400</w:t>
            </w:r>
            <w:r>
              <w:t xml:space="preserve"> </w:t>
            </w:r>
            <w:r>
              <w:t xml:space="preserve">[0.0230,</w:t>
            </w:r>
            <w:r>
              <w:t xml:space="preserve"> </w:t>
            </w:r>
            <w:r>
              <w:t xml:space="preserve">0.0686]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no-CBDC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SVB-equivalent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0.0467</w:t>
            </w:r>
            <w:r>
              <w:t xml:space="preserve"> </w:t>
            </w:r>
            <w:r>
              <w:t xml:space="preserve">[0.0280,</w:t>
            </w:r>
            <w:r>
              <w:t xml:space="preserve"> </w:t>
            </w:r>
            <w:r>
              <w:t xml:space="preserve">0.0768]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no-LOLR</w:t>
            </w:r>
            <w:r>
              <w:t xml:space="preserve"> </w:t>
            </w:r>
            <w:r>
              <w:t xml:space="preserve">stress-scenario sanity</w:t>
            </w:r>
            <w:r>
              <w:t xml:space="preserve"> </w:t>
            </w:r>
            <w:r>
              <w:t xml:space="preserve">check; seed-0 FP</w:t>
            </w:r>
            <w:r>
              <w:t xml:space="preserve"> </w:t>
            </w:r>
            <w:r>
              <w:t xml:space="preserve">3107467911527f7d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 +</w:t>
            </w:r>
            <w:r>
              <w:t xml:space="preserve"> </w:t>
            </w:r>
            <w:r>
              <w:t xml:space="preserve">Unconstrained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0.5005</w:t>
            </w:r>
            <w:r>
              <w:t xml:space="preserve"> </w:t>
            </w:r>
            <w:r>
              <w:t xml:space="preserve">[0.4443,</w:t>
            </w:r>
            <w:r>
              <w:t xml:space="preserve"> </w:t>
            </w:r>
            <w:r>
              <w:t xml:space="preserve">0.5567]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CBDC/no-LOLR stress</w:t>
            </w:r>
            <w:r>
              <w:t xml:space="preserve"> </w:t>
            </w:r>
            <w:r>
              <w:t xml:space="preserve">counterfactual</w:t>
            </w:r>
          </w:p>
        </w:tc>
      </w:tr>
    </w:tbl>
    <w:p>
      <w:pPr>
        <w:pStyle w:val="BodyText"/>
      </w:pPr>
      <w:r>
        <w:t xml:space="preserve">Notes: Appendix B is a stress-scenario sanity check, not a standalone</w:t>
      </w:r>
      <w:r>
        <w:t xml:space="preserve"> </w:t>
      </w:r>
      <w:r>
        <w:t xml:space="preserve">model-performance test. It reports only v6.0 results generated from the</w:t>
      </w:r>
      <w:r>
        <w:t xml:space="preserve"> </w:t>
      </w:r>
      <w:r>
        <w:t xml:space="preserve">uploaded platform package. The SVB-equivalent row is a no-CBDC/no-LOLR</w:t>
      </w:r>
      <w:r>
        <w:t xml:space="preserve"> </w:t>
      </w:r>
      <w:r>
        <w:t xml:space="preserve">high-concentration stress scenario and is not the same scenario as the</w:t>
      </w:r>
      <w:r>
        <w:t xml:space="preserve"> </w:t>
      </w:r>
      <w:r>
        <w:t xml:space="preserve">Table 4 Korea no-CBDC+LOLR baseline. The N=1000 replication in Appendix</w:t>
      </w:r>
      <w:r>
        <w:t xml:space="preserve"> </w:t>
      </w:r>
      <w:r>
        <w:t xml:space="preserve">G yields P(Fail)=0.0467 [0.0353, 0.0616] (Wilson 95% CI), consistent</w:t>
      </w:r>
      <w:r>
        <w:t xml:space="preserve"> </w:t>
      </w:r>
      <w:r>
        <w:t xml:space="preserve">with the N=300 estimate.</w:t>
      </w:r>
    </w:p>
    <w:bookmarkEnd w:id="20"/>
    <w:bookmarkStart w:id="23" w:name="Xe4f538485050945cb43eb8baca1dc63c92d13d1"/>
    <w:p>
      <w:pPr>
        <w:pStyle w:val="1"/>
      </w:pPr>
      <w:r>
        <w:rPr>
          <w:bCs/>
          <w:b/>
        </w:rPr>
        <w:t xml:space="preserve">Appendix C. MCMC Non-Convergence and Two-Regime Robustness</w:t>
      </w:r>
    </w:p>
    <w:p>
      <w:pPr>
        <w:pStyle w:val="FirstParagraph"/>
      </w:pPr>
      <w:r>
        <w:t xml:space="preserve">MCMC non-convergence (R̂&gt;1.05) is attributed to two distinct crisis</w:t>
      </w:r>
      <w:r>
        <w:t xml:space="preserve"> </w:t>
      </w:r>
      <w:r>
        <w:t xml:space="preserve">regimes. Regime 1 (digital bank-run, n=7) has θ₂=0.6783 (p=0.106; CI</w:t>
      </w:r>
      <w:r>
        <w:t xml:space="preserve"> </w:t>
      </w:r>
      <w:r>
        <w:t xml:space="preserve">includes zero, unaffected by any §7.3 correction to date since none of</w:t>
      </w:r>
      <w:r>
        <w:t xml:space="preserve"> </w:t>
      </w:r>
      <w:r>
        <w:t xml:space="preserve">the five affected episodes — indymac, wachovia, guaranty_bank,</w:t>
      </w:r>
      <w:r>
        <w:t xml:space="preserve"> </w:t>
      </w:r>
      <w:r>
        <w:t xml:space="preserve">corus_bank, landsbanki — has S&gt;0.70 and D&gt;0.70), while Regime 2</w:t>
      </w:r>
      <w:r>
        <w:t xml:space="preserve"> </w:t>
      </w:r>
      <w:r>
        <w:t xml:space="preserve">(traditional crisis, n=74) has θ₂=0.0597 (p=0.361; CI includes zero) —</w:t>
      </w:r>
      <w:r>
        <w:t xml:space="preserve"> </w:t>
      </w:r>
      <w:r>
        <w:t xml:space="preserve">remaining not significant at conventional levels, and now further from</w:t>
      </w:r>
      <w:r>
        <w:t xml:space="preserve"> </w:t>
      </w:r>
      <w:r>
        <w:t xml:space="preserve">significance than at any prior stage in this paper’s revision history,</w:t>
      </w:r>
      <w:r>
        <w:t xml:space="preserve"> </w:t>
      </w:r>
      <w:r>
        <w:t xml:space="preserve">following the indymac, wachovia, and landsbanki re-verifications and the</w:t>
      </w:r>
      <w:r>
        <w:t xml:space="preserve"> </w:t>
      </w:r>
      <w:r>
        <w:t xml:space="preserve">guaranty_bank/corus_bank mechanism corrections (§7.3, items 4, 6–12),</w:t>
      </w:r>
      <w:r>
        <w:t xml:space="preserve"> </w:t>
      </w:r>
      <w:r>
        <w:t xml:space="preserve">all five of which lie in this regime and each of which is a</w:t>
      </w:r>
      <w:r>
        <w:t xml:space="preserve"> </w:t>
      </w:r>
      <w:r>
        <w:t xml:space="preserve">downward-or-neutral correction from the prior heuristic values. As with</w:t>
      </w:r>
      <w:r>
        <w:t xml:space="preserve"> </w:t>
      </w:r>
      <w:r>
        <w:t xml:space="preserve">the verified-only stratum (Appendix F), this is a precision problem, not</w:t>
      </w:r>
      <w:r>
        <w:t xml:space="preserve"> </w:t>
      </w:r>
      <w:r>
        <w:t xml:space="preserve">evidence of a different regime-specific slope: the formal heterogeneity</w:t>
      </w:r>
      <w:r>
        <w:t xml:space="preserve"> </w:t>
      </w:r>
      <w:r>
        <w:t xml:space="preserve">test in Appendix E.7 finds no significant slope difference by</w:t>
      </w:r>
      <w:r>
        <w:t xml:space="preserve"> </w:t>
      </w:r>
      <w:r>
        <w:t xml:space="preserve">reliability tier, and a parallel test would be needed to establish a</w:t>
      </w:r>
      <w:r>
        <w:t xml:space="preserve"> </w:t>
      </w:r>
      <w:r>
        <w:t xml:space="preserve">genuine regime-specific difference here, which this paper does not</w:t>
      </w:r>
      <w:r>
        <w:t xml:space="preserve"> </w:t>
      </w:r>
      <w:r>
        <w:t xml:space="preserve">claim. The pooled estimate θ₂=0.2466 is not a simple</w:t>
      </w:r>
      <w:r>
        <w:t xml:space="preserve"> </w:t>
      </w:r>
      <w:r>
        <w:t xml:space="preserve">sample-size-weighted average of the two subgroup slopes. A simplified</w:t>
      </w:r>
      <w:r>
        <w:t xml:space="preserve"> </w:t>
      </w:r>
      <w:r>
        <w:t xml:space="preserve">bivariate decomposition on x=C×S (using a single-regressor model for</w:t>
      </w:r>
      <w:r>
        <w:t xml:space="preserve"> </w:t>
      </w:r>
      <w:r>
        <w:t xml:space="preserve">illustrative purposes) shows that the digital regime has both higher</w:t>
      </w:r>
      <w:r>
        <w:t xml:space="preserve"> </w:t>
      </w:r>
      <w:r>
        <w:t xml:space="preserve">mean x and higher mean outflow; this between-regime contrast pushes the</w:t>
      </w:r>
      <w:r>
        <w:t xml:space="preserve"> </w:t>
      </w:r>
      <w:r>
        <w:t xml:space="preserve">pooled single-regressor slope above either subgroup slope. This</w:t>
      </w:r>
      <w:r>
        <w:t xml:space="preserve"> </w:t>
      </w:r>
      <w:r>
        <w:t xml:space="preserve">illustrative value differs from the headline θ₂=0.2466 in Table 2</w:t>
      </w:r>
      <w:r>
        <w:t xml:space="preserve"> </w:t>
      </w:r>
      <w:r>
        <w:t xml:space="preserve">because Table 2 uses a three-parameter specification that also includes</w:t>
      </w:r>
      <w:r>
        <w:t xml:space="preserve"> </w:t>
      </w:r>
      <w:r>
        <w:t xml:space="preserve">θ₁·S; the bivariate decomposition is therefore illustrative of the</w:t>
      </w:r>
      <w:r>
        <w:t xml:space="preserve"> </w:t>
      </w:r>
      <w:r>
        <w:t xml:space="preserve">direction of the Simpson-type aggregation effect, not a computation of</w:t>
      </w:r>
      <w:r>
        <w:t xml:space="preserve"> </w:t>
      </w:r>
      <w:r>
        <w:t xml:space="preserve">the headline estimate. The pooled OLS result in Table 2 should be read</w:t>
      </w:r>
      <w:r>
        <w:t xml:space="preserve"> </w:t>
      </w:r>
      <w:r>
        <w:t xml:space="preserve">as the average reduced-form association in the full panel under the</w:t>
      </w:r>
      <w:r>
        <w:t xml:space="preserve"> </w:t>
      </w:r>
      <w:r>
        <w:t xml:space="preserve">correct three-parameter specification, while regime-specific estimates</w:t>
      </w:r>
      <w:r>
        <w:t xml:space="preserve"> </w:t>
      </w:r>
      <w:r>
        <w:t xml:space="preserve">are reported as heterogeneity diagnostics. These Regime 1/2 estimates</w:t>
      </w:r>
      <w:r>
        <w:t xml:space="preserve"> </w:t>
      </w:r>
      <w:r>
        <w:t xml:space="preserve">were recomputed after the §G.2 panel reconciliation; the MCMC</w:t>
      </w:r>
      <w:r>
        <w:t xml:space="preserve"> </w:t>
      </w:r>
      <w:r>
        <w:t xml:space="preserve">non-convergence diagnostic reported in Table C1 below predates the</w:t>
      </w:r>
      <w:r>
        <w:t xml:space="preserve"> </w:t>
      </w:r>
      <w:r>
        <w:t xml:space="preserve">reconciliation and is retained only to illustrate the</w:t>
      </w:r>
      <w:r>
        <w:t xml:space="preserve"> </w:t>
      </w:r>
      <w:r>
        <w:t xml:space="preserve">convergence-failure mechanism, not as a headline estimate (§7.2, L1).</w:t>
      </w:r>
    </w:p>
    <w:bookmarkStart w:id="21" w:name="X1a5e0da03ff22a4d1d9a338577015fc26eeb4c9"/>
    <w:p>
      <w:pPr>
        <w:pStyle w:val="2"/>
      </w:pPr>
      <w:r>
        <w:rPr>
          <w:bCs/>
          <w:b/>
        </w:rPr>
        <w:t xml:space="preserve">C.2 Frequentist Gaussian Mixture Diagnostic (MCMC Alternative)</w:t>
      </w:r>
    </w:p>
    <w:p>
      <w:pPr>
        <w:pStyle w:val="FirstParagraph"/>
      </w:pPr>
      <w:r>
        <w:t xml:space="preserve">As a supplementary robustness check (not a replacement for the primary</w:t>
      </w:r>
      <w:r>
        <w:t xml:space="preserve"> </w:t>
      </w:r>
      <w:r>
        <w:t xml:space="preserve">OLS/MLE inference in Table 2), a frequentist two-component Gaussian</w:t>
      </w:r>
      <w:r>
        <w:t xml:space="preserve"> </w:t>
      </w:r>
      <w:r>
        <w:t xml:space="preserve">mixture was fitted by EM (single-covariate reduced form peak_outflow ~</w:t>
      </w:r>
      <w:r>
        <w:t xml:space="preserve"> </w:t>
      </w:r>
      <w:r>
        <w:t xml:space="preserve">const + C×S, for numerical stability; results are therefore not</w:t>
      </w:r>
      <w:r>
        <w:t xml:space="preserve"> </w:t>
      </w:r>
      <w:r>
        <w:t xml:space="preserve">comparable in magnitude to Table 2/2a and are informative only for sign</w:t>
      </w:r>
      <w:r>
        <w:t xml:space="preserve"> </w:t>
      </w:r>
      <w:r>
        <w:t xml:space="preserve">and direction of the regime split). Both mixture components yield</w:t>
      </w:r>
      <w:r>
        <w:t xml:space="preserve"> </w:t>
      </w:r>
      <w:r>
        <w:t xml:space="preserve">positive θ₂ (traditional-weighted component 0.449; digital-weighted</w:t>
      </w:r>
      <w:r>
        <w:t xml:space="preserve"> </w:t>
      </w:r>
      <w:r>
        <w:t xml:space="preserve">component 0.567), reinforcing the two-regime OLS sign result. This</w:t>
      </w:r>
      <w:r>
        <w:t xml:space="preserve"> </w:t>
      </w:r>
      <w:r>
        <w:t xml:space="preserve">diagnostic predates the §G.2 panel reconciliation; full component-level</w:t>
      </w:r>
      <w:r>
        <w:t xml:space="preserve"> </w:t>
      </w:r>
      <w:r>
        <w:t xml:space="preserve">detail is in Online Supplementary Appendix H.</w:t>
      </w:r>
    </w:p>
    <w:bookmarkEnd w:id="21"/>
    <w:bookmarkStart w:id="22" w:name="X38c872628416ef9aed21e12cff1109059040924"/>
    <w:p>
      <w:pPr>
        <w:pStyle w:val="2"/>
      </w:pPr>
      <w:r>
        <w:rPr>
          <w:bCs/>
          <w:b/>
        </w:rPr>
        <w:t xml:space="preserve">C.3 Direct MCMC Attempt and Convergence Diagnosis</w:t>
      </w:r>
    </w:p>
    <w:p>
      <w:pPr>
        <w:pStyle w:val="FirstParagraph"/>
      </w:pPr>
      <w:r>
        <w:t xml:space="preserve">To avoid asserting non-convergence without evidence, a genuine</w:t>
      </w:r>
      <w:r>
        <w:t xml:space="preserve"> </w:t>
      </w:r>
      <w:r>
        <w:t xml:space="preserve">two-component Gibbs sampler was implemented and run directly</w:t>
      </w:r>
      <w:r>
        <w:t xml:space="preserve"> </w:t>
      </w:r>
      <w:r>
        <w:t xml:space="preserve">(Metropolis-within-Gibbs, weak priors, n_iter=3,000, burn-in=1,000,</w:t>
      </w:r>
      <w:r>
        <w:t xml:space="preserve"> </w:t>
      </w:r>
      <w:r>
        <w:t xml:space="preserve">split-chain R̂; full sampler specification in Online Supplementary</w:t>
      </w:r>
      <w:r>
        <w:t xml:space="preserve"> </w:t>
      </w:r>
      <w:r>
        <w:t xml:space="preserve">Appendix H).</w:t>
      </w:r>
    </w:p>
    <w:p>
      <w:pPr>
        <w:pStyle w:val="BodyText"/>
      </w:pPr>
      <w:r>
        <w:rPr>
          <w:iCs/>
          <w:i/>
          <w:bCs/>
          <w:b/>
        </w:rPr>
        <w:t xml:space="preserve">Status: Table C1 is retained for methodological transparency only and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is superseded. It was generated before the §G.2 panel reconciliation, so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its n=12/n=67 regime sizes and θ₂ estimates do not match the reconciled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panel (n=7/n=74; Table 2a). Because the free-mixture component collapses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regardless of the exact regime sizes (Notes below), re-running the Gibbs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sampler on the reconciled panel would not change the substantive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conclusion — non-convergence of the free mixture — and has therefore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not been done. The authoritative regime-specific estimates are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reconciled two-regime OLS results in Table 2a (n=7 digital, n=74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traditional); Table 2a, not Table C1, should be cited for any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regime-specific θ₂ value.</w:t>
      </w:r>
    </w:p>
    <w:p>
      <w:pPr>
        <w:pStyle w:val="BodyText"/>
      </w:pPr>
      <w:r>
        <w:rPr>
          <w:bCs/>
          <w:b/>
        </w:rPr>
        <w:t xml:space="preserve">Table C1 (superseded; pre-reconciliation). Gibbs Sampler Convergence</w:t>
      </w:r>
      <w:r>
        <w:rPr>
          <w:bCs/>
          <w:b/>
        </w:rPr>
        <w:t xml:space="preserve"> </w:t>
      </w:r>
      <w:r>
        <w:rPr>
          <w:bCs/>
          <w:b/>
        </w:rPr>
        <w:t xml:space="preserve">— Free vs. Fixed Component Assignment</w:t>
      </w:r>
    </w:p>
    <w:tbl>
      <w:tblPr>
        <w:tblStyle w:val="Table"/>
        <w:tblW w:type="pct" w:w="4880"/>
        <w:jc w:val="start"/>
        <w:tblLook w:firstRow="1" w:lastRow="0" w:firstColumn="0" w:lastColumn="0" w:noHBand="0" w:noVBand="0" w:val="0020"/>
      </w:tblPr>
      <w:tblGrid>
        <w:gridCol w:w="1813"/>
        <w:gridCol w:w="1622"/>
        <w:gridCol w:w="1335"/>
        <w:gridCol w:w="858"/>
        <w:gridCol w:w="1335"/>
        <w:gridCol w:w="7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(avg.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assigned)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θ₂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mixture (z</w:t>
            </w:r>
            <w:r>
              <w:t xml:space="preserve"> </w:t>
            </w:r>
            <w:r>
              <w:t xml:space="preserve">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</w:t>
            </w:r>
            <w:r>
              <w:t xml:space="preserve"> </w:t>
            </w:r>
            <w:r>
              <w:t xml:space="preserve">(≈traditional)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[−0.403,</w:t>
            </w:r>
            <w:r>
              <w:t xml:space="preserve"> </w:t>
            </w:r>
            <w:r>
              <w:t xml:space="preserve">0.881]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mixture (z</w:t>
            </w:r>
            <w:r>
              <w:t xml:space="preserve"> </w:t>
            </w:r>
            <w:r>
              <w:t xml:space="preserve">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Minority</w:t>
            </w:r>
            <w:r>
              <w:t xml:space="preserve"> </w:t>
            </w:r>
            <w:r>
              <w:t xml:space="preserve">(≈digital)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[−2.116,</w:t>
            </w:r>
            <w:r>
              <w:t xml:space="preserve"> </w:t>
            </w:r>
            <w:r>
              <w:t xml:space="preserve">2.964]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assignment</w:t>
            </w:r>
            <w:r>
              <w:t xml:space="preserve"> </w:t>
            </w:r>
            <w:r>
              <w:t xml:space="preserve">(z=observed</w:t>
            </w:r>
            <w:r>
              <w:t xml:space="preserve"> </w:t>
            </w:r>
            <w: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</w:t>
            </w:r>
            <w:r>
              <w:t xml:space="preserve"> </w:t>
            </w:r>
            <w:r>
              <w:t xml:space="preserve">(n=67,</w:t>
            </w:r>
            <w:r>
              <w:t xml:space="preserve"> </w:t>
            </w:r>
            <w:r>
              <w:t xml:space="preserve">pre-recon.)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[−0.693,</w:t>
            </w:r>
            <w:r>
              <w:t xml:space="preserve"> </w:t>
            </w:r>
            <w:r>
              <w:t xml:space="preserve">0.929]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assignment</w:t>
            </w:r>
            <w:r>
              <w:t xml:space="preserve"> </w:t>
            </w:r>
            <w:r>
              <w:t xml:space="preserve">(z=observed</w:t>
            </w:r>
            <w:r>
              <w:t xml:space="preserve"> </w:t>
            </w:r>
            <w: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(n=12,</w:t>
            </w:r>
            <w:r>
              <w:t xml:space="preserve"> </w:t>
            </w:r>
            <w:r>
              <w:t xml:space="preserve">pre-recon.)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[−2.653,</w:t>
            </w:r>
            <w:r>
              <w:t xml:space="preserve"> </w:t>
            </w:r>
            <w:r>
              <w:t xml:space="preserve">2.850]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Notes: the free mixture’s minority digital component collapses (R̂</w:t>
      </w:r>
      <w:r>
        <w:t xml:space="preserve"> </w:t>
      </w:r>
      <w:r>
        <w:t xml:space="preserve">1.58–1.72), so it does not deliver usable Bayesian credible intervals;</w:t>
      </w:r>
      <w:r>
        <w:t xml:space="preserve"> </w:t>
      </w:r>
      <w:r>
        <w:t xml:space="preserve">the fixed-assignment model conditions on the pre-specified split used in</w:t>
      </w:r>
      <w:r>
        <w:t xml:space="preserve"> </w:t>
      </w:r>
      <w:r>
        <w:t xml:space="preserve">Table 2a and converges cleanly, but is a conditional regression, not a</w:t>
      </w:r>
      <w:r>
        <w:t xml:space="preserve"> </w:t>
      </w:r>
      <w:r>
        <w:t xml:space="preserve">converged free mixture. Full notes in Online Supplementary Appendix H.</w:t>
      </w:r>
    </w:p>
    <w:p>
      <w:pPr>
        <w:pStyle w:val="BodyText"/>
      </w:pPr>
      <w:r>
        <w:t xml:space="preserve">Interpretation: the failure is localised to latent component assignment</w:t>
      </w:r>
      <w:r>
        <w:t xml:space="preserve"> </w:t>
      </w:r>
      <w:r>
        <w:t xml:space="preserve">under a small minority class (digital regime n=7 under the reconciled</w:t>
      </w:r>
      <w:r>
        <w:t xml:space="preserve"> </w:t>
      </w:r>
      <w:r>
        <w:t xml:space="preserve">panel). The fixed-assignment diagnostic confirms sign consistency</w:t>
      </w:r>
      <w:r>
        <w:t xml:space="preserve"> </w:t>
      </w:r>
      <w:r>
        <w:t xml:space="preserve">conditional on the observable split, but it does not propagate</w:t>
      </w:r>
      <w:r>
        <w:t xml:space="preserve"> </w:t>
      </w:r>
      <w:r>
        <w:t xml:space="preserve">uncertainty about regime membership. Therefore no headline claim relies</w:t>
      </w:r>
      <w:r>
        <w:t xml:space="preserve"> </w:t>
      </w:r>
      <w:r>
        <w:t xml:space="preserve">on Bayesian credible intervals; the primary uncertainty statement</w:t>
      </w:r>
      <w:r>
        <w:t xml:space="preserve"> </w:t>
      </w:r>
      <w:r>
        <w:t xml:space="preserve">remains the frequentist OLS/MLE interval.</w:t>
      </w:r>
    </w:p>
    <w:p>
      <w:pPr>
        <w:pStyle w:val="BodyText"/>
      </w:pPr>
      <w:r>
        <w:t xml:space="preserve">Summary: two-regime OLS (hard split), EM mixture (soft frequentist</w:t>
      </w:r>
      <w:r>
        <w:t xml:space="preserve"> </w:t>
      </w:r>
      <w:r>
        <w:t xml:space="preserve">check), and the Gibbs sampler (free mixture collapsed; fixed-assignment</w:t>
      </w:r>
      <w:r>
        <w:t xml:space="preserve"> </w:t>
      </w:r>
      <w:r>
        <w:t xml:space="preserve">converges) are mutually supportive on the sign of θ₂, but only the</w:t>
      </w:r>
      <w:r>
        <w:t xml:space="preserve"> </w:t>
      </w:r>
      <w:r>
        <w:t xml:space="preserve">frequentist OLS/MLE interval (Table 2) is used for headline inference.</w:t>
      </w:r>
    </w:p>
    <w:bookmarkEnd w:id="22"/>
    <w:bookmarkEnd w:id="23"/>
    <w:bookmarkStart w:id="30" w:name="Xa35d5657be713709699299d74891b0b81fa2701"/>
    <w:p>
      <w:pPr>
        <w:pStyle w:val="1"/>
      </w:pPr>
      <w:r>
        <w:rPr>
          <w:bCs/>
          <w:b/>
        </w:rPr>
        <w:t xml:space="preserve">Appendix D. Variable Derivation Rules and Full Episode Variable Table</w:t>
      </w:r>
    </w:p>
    <w:bookmarkStart w:id="28" w:name="d.1-derivation-rules"/>
    <w:p>
      <w:pPr>
        <w:pStyle w:val="2"/>
      </w:pPr>
      <w:r>
        <w:rPr>
          <w:bCs/>
          <w:b/>
        </w:rPr>
        <w:t xml:space="preserve">D.1 Derivation Rules</w:t>
      </w:r>
    </w:p>
    <w:bookmarkStart w:id="24" w:name="d.1.1-peak_outflow"/>
    <w:p>
      <w:pPr>
        <w:pStyle w:val="3"/>
      </w:pPr>
      <w:r>
        <w:rPr>
          <w:iCs/>
          <w:i/>
        </w:rPr>
        <w:t xml:space="preserve">D.1.1 peak_outflow</w:t>
      </w:r>
    </w:p>
    <w:p>
      <w:pPr>
        <w:pStyle w:val="FirstParagraph"/>
      </w:pPr>
      <w:r>
        <w:t xml:space="preserve">Definition: peak deposit outflow / total deposits at crisis onset.</w:t>
      </w:r>
      <w:r>
        <w:t xml:space="preserve"> </w:t>
      </w:r>
      <w:r>
        <w:t xml:space="preserve">Verified (n=15): FDIC BankFind quarterly deposit change (exact) for 10</w:t>
      </w:r>
      <w:r>
        <w:t xml:space="preserve"> </w:t>
      </w:r>
      <w:r>
        <w:t xml:space="preserve">episodes, plus five episodes (indymac, wachovia, landsbanki,</w:t>
      </w:r>
      <w:r>
        <w:t xml:space="preserve"> </w:t>
      </w:r>
      <w:r>
        <w:t xml:space="preserve">bank_of_new_england, countrywide_financial) verified via a regulator</w:t>
      </w:r>
      <w:r>
        <w:t xml:space="preserve"> </w:t>
      </w:r>
      <w:r>
        <w:t xml:space="preserve">press release, SEC EDGAR filing, national-investigation-commission</w:t>
      </w:r>
      <w:r>
        <w:t xml:space="preserve"> </w:t>
      </w:r>
      <w:r>
        <w:t xml:space="preserve">report, or congressional hearing record rather than a Call Report (§7.3,</w:t>
      </w:r>
      <w:r>
        <w:t xml:space="preserve"> </w:t>
      </w:r>
      <w:r>
        <w:t xml:space="preserve">items 4, 6, 12; §7.4) — a different but equally primary-source route,</w:t>
      </w:r>
      <w:r>
        <w:t xml:space="preserve"> </w:t>
      </w:r>
      <w:r>
        <w:t xml:space="preserve">used because Call-Report quarterly granularity does not resolve these</w:t>
      </w:r>
      <w:r>
        <w:t xml:space="preserve"> </w:t>
      </w:r>
      <w:r>
        <w:t xml:space="preserve">episodes’ acute runs (see §7.2, L2). Estimated (n=66): FDIC Press</w:t>
      </w:r>
      <w:r>
        <w:t xml:space="preserve"> </w:t>
      </w:r>
      <w:r>
        <w:t xml:space="preserve">Release peak decline / total assets × 0.65 (FDIC industry average),</w:t>
      </w:r>
      <w:r>
        <w:t xml:space="preserve"> </w:t>
      </w:r>
      <w:r>
        <w:t xml:space="preserve">except guaranty_bank and corus_bank, which use directly measured SEC</w:t>
      </w:r>
      <w:r>
        <w:t xml:space="preserve"> </w:t>
      </w:r>
      <w:r>
        <w:t xml:space="preserve">10-Q figures (§7.3, items 7-8). Precision: ±5pp. Cross-check: BIS</w:t>
      </w:r>
      <w:r>
        <w:t xml:space="preserve"> </w:t>
      </w:r>
      <w:r>
        <w:t xml:space="preserve">banking statistics.</w:t>
      </w:r>
    </w:p>
    <w:bookmarkEnd w:id="24"/>
    <w:bookmarkStart w:id="25" w:name="d.1.2-concentration"/>
    <w:p>
      <w:pPr>
        <w:pStyle w:val="3"/>
      </w:pPr>
      <w:r>
        <w:rPr>
          <w:iCs/>
          <w:i/>
        </w:rPr>
        <w:t xml:space="preserve">D.1.2 concentration</w:t>
      </w:r>
    </w:p>
    <w:p>
      <w:pPr>
        <w:pStyle w:val="FirstParagraph"/>
      </w:pPr>
      <w:r>
        <w:t xml:space="preserve">Definition: HHI of deposit market shares at crisis onset. Estimated:</w:t>
      </w:r>
      <w:r>
        <w:t xml:space="preserve"> </w:t>
      </w:r>
      <w:r>
        <w:t xml:space="preserve">central bank annual report top-3 share → HHI = Σ(share_i²). Precision:</w:t>
      </w:r>
      <w:r>
        <w:t xml:space="preserve"> </w:t>
      </w:r>
      <w:r>
        <w:t xml:space="preserve">±0.05.</w:t>
      </w:r>
    </w:p>
    <w:bookmarkEnd w:id="25"/>
    <w:bookmarkStart w:id="26" w:name="d.1.3-severity"/>
    <w:p>
      <w:pPr>
        <w:pStyle w:val="3"/>
      </w:pPr>
      <w:r>
        <w:rPr>
          <w:iCs/>
          <w:i/>
        </w:rPr>
        <w:t xml:space="preserve">D.1.3 severity</w:t>
      </w:r>
    </w:p>
    <w:p>
      <w:pPr>
        <w:pStyle w:val="FirstParagraph"/>
      </w:pPr>
      <w:r>
        <w:t xml:space="preserve">Definition: analyst-assigned severity index ∈ [0,1]. Rule:</w:t>
      </w:r>
      <w:r>
        <w:t xml:space="preserve"> </w:t>
      </w:r>
      <w:r>
        <w:t xml:space="preserve">0.7×normalised_loss_rate + 0.3×LOLR_intensity, scaled to [0,1] within</w:t>
      </w:r>
      <w:r>
        <w:t xml:space="preserve"> </w:t>
      </w:r>
      <w:r>
        <w:t xml:space="preserve">each era. Two-reviewer agreement: 92.3% (57/62 estimated). Severity is</w:t>
      </w:r>
      <w:r>
        <w:t xml:space="preserve"> </w:t>
      </w:r>
      <w:r>
        <w:t xml:space="preserve">assigned prospectively using ex-ante observable information (loss rate</w:t>
      </w:r>
      <w:r>
        <w:t xml:space="preserve"> </w:t>
      </w:r>
      <w:r>
        <w:t xml:space="preserve">trajectory, central bank communications) to avoid look-ahead bias from</w:t>
      </w:r>
      <w:r>
        <w:t xml:space="preserve"> </w:t>
      </w:r>
      <w:r>
        <w:t xml:space="preserve">failure outcomes.</w:t>
      </w:r>
    </w:p>
    <w:bookmarkEnd w:id="26"/>
    <w:bookmarkStart w:id="27" w:name="d.1.4-failed-d.1.5-digital"/>
    <w:p>
      <w:pPr>
        <w:pStyle w:val="3"/>
      </w:pPr>
      <w:r>
        <w:rPr>
          <w:iCs/>
          <w:i/>
        </w:rPr>
        <w:t xml:space="preserve">D.1.4 failed / D.1.5 digital</w:t>
      </w:r>
    </w:p>
    <w:p>
      <w:pPr>
        <w:pStyle w:val="FirstParagraph"/>
      </w:pPr>
      <w:r>
        <w:t xml:space="preserve">failed: binary; 1 if FDIC-assisted resolution within 12 months (exact).</w:t>
      </w:r>
      <w:r>
        <w:t xml:space="preserve"> </w:t>
      </w:r>
      <w:r>
        <w:t xml:space="preserve">digital: BIS CPMI payment statistics share, linearly interpolated</w:t>
      </w:r>
      <w:r>
        <w:t xml:space="preserve"> </w:t>
      </w:r>
      <w:r>
        <w:t xml:space="preserve">(±0.05).</w:t>
      </w:r>
    </w:p>
    <w:bookmarkEnd w:id="27"/>
    <w:bookmarkEnd w:id="28"/>
    <w:bookmarkStart w:id="29" w:name="X2a59dd2a7346ed739afc3993198177a8e1c82c7"/>
    <w:p>
      <w:pPr>
        <w:pStyle w:val="2"/>
      </w:pPr>
      <w:r>
        <w:rPr>
          <w:bCs/>
          <w:b/>
        </w:rPr>
        <w:t xml:space="preserve">D.2 Full Estimated Episode Variable Table (62 rows printed; 59 of 66 currently-estimated episodes plus three annotated exceptions,</w:t>
      </w:r>
      <w:r>
        <w:t xml:space="preserve"> </w:t>
      </w:r>
      <w:r>
        <w:t xml:space="preserve">indymac/wachovia/landsbanki — see notes)</w:t>
      </w:r>
    </w:p>
    <w:p>
      <w:pPr>
        <w:pStyle w:val="FirstParagraph"/>
      </w:pPr>
      <w:r>
        <w:rPr>
          <w:iCs/>
          <w:i/>
        </w:rPr>
        <w:t xml:space="preserve">The table below prints 62 rows, unchanged in count since the §G.2</w:t>
      </w:r>
      <w:r>
        <w:rPr>
          <w:iCs/>
          <w:i/>
        </w:rPr>
        <w:t xml:space="preserve"> </w:t>
      </w:r>
      <w:r>
        <w:rPr>
          <w:iCs/>
          <w:i/>
        </w:rPr>
        <w:t xml:space="preserve">reconciliation. Of these, 59 correspond to the 66 currently-estimated</w:t>
      </w:r>
      <w:r>
        <w:rPr>
          <w:iCs/>
          <w:i/>
        </w:rPr>
        <w:t xml:space="preserve"> </w:t>
      </w:r>
      <w:r>
        <w:rPr>
          <w:iCs/>
          <w:i/>
        </w:rPr>
        <w:t xml:space="preserve">episodes (seven estimated episodes are not separately tabulated — see</w:t>
      </w:r>
      <w:r>
        <w:rPr>
          <w:iCs/>
          <w:i/>
        </w:rPr>
        <w:t xml:space="preserve"> </w:t>
      </w:r>
      <w:r>
        <w:rPr>
          <w:iCs/>
          <w:i/>
        </w:rPr>
        <w:t xml:space="preserve">below); three rows — indymac, wachovia, and landsbanki — are</w:t>
      </w:r>
      <w:r>
        <w:rPr>
          <w:iCs/>
          <w:i/>
        </w:rPr>
        <w:t xml:space="preserve"> </w:t>
      </w:r>
      <w:r>
        <w:rPr>
          <w:iCs/>
          <w:i/>
        </w:rPr>
        <w:t xml:space="preserve">retained exceptions: three of the seven episodes reclassified from</w:t>
      </w:r>
      <w:r>
        <w:rPr>
          <w:iCs/>
          <w:i/>
        </w:rPr>
        <w:t xml:space="preserve"> </w:t>
      </w:r>
      <w:r>
        <w:rPr>
          <w:iCs/>
          <w:i/>
        </w:rPr>
        <w:t xml:space="preserve">verified to estimated by §G.2, each has since been re-verified from a</w:t>
      </w:r>
      <w:r>
        <w:rPr>
          <w:iCs/>
          <w:i/>
        </w:rPr>
        <w:t xml:space="preserve"> </w:t>
      </w:r>
      <w:r>
        <w:rPr>
          <w:iCs/>
          <w:i/>
        </w:rPr>
        <w:t xml:space="preserve">new primary source (§7.3, items 4, 6, and 12 respectively) and moved</w:t>
      </w:r>
      <w:r>
        <w:rPr>
          <w:iCs/>
          <w:i/>
        </w:rPr>
        <w:t xml:space="preserve"> </w:t>
      </w:r>
      <w:r>
        <w:rPr>
          <w:iCs/>
          <w:i/>
        </w:rPr>
        <w:t xml:space="preserve">into the verified panel, so none of the three counts among the 66</w:t>
      </w:r>
      <w:r>
        <w:rPr>
          <w:iCs/>
          <w:i/>
        </w:rPr>
        <w:t xml:space="preserve"> </w:t>
      </w:r>
      <w:r>
        <w:rPr>
          <w:iCs/>
          <w:i/>
        </w:rPr>
        <w:t xml:space="preserve">estimated episodes any longer, but all three rows are kept here with</w:t>
      </w:r>
      <w:r>
        <w:rPr>
          <w:iCs/>
          <w:i/>
        </w:rPr>
        <w:t xml:space="preserve"> </w:t>
      </w:r>
      <w:r>
        <w:rPr>
          <w:iCs/>
          <w:i/>
        </w:rPr>
        <w:t xml:space="preserve">updated values and bracketed reference-note markers ([1], [3], [7]</w:t>
      </w:r>
      <w:r>
        <w:rPr>
          <w:iCs/>
          <w:i/>
        </w:rPr>
        <w:t xml:space="preserve"> </w:t>
      </w:r>
      <w:r>
        <w:rPr>
          <w:iCs/>
          <w:i/>
        </w:rPr>
        <w:t xml:space="preserve">— see table notes) for audit continuity. The remaining four</w:t>
      </w:r>
      <w:r>
        <w:rPr>
          <w:iCs/>
          <w:i/>
        </w:rPr>
        <w:t xml:space="preserve"> </w:t>
      </w:r>
      <w:r>
        <w:rPr>
          <w:iCs/>
          <w:i/>
        </w:rPr>
        <w:t xml:space="preserve">§G.2-reclassified episodes (Glitnir, Guaranty Bank, Silicon Valley Bank</w:t>
      </w:r>
      <w:r>
        <w:rPr>
          <w:iCs/>
          <w:i/>
        </w:rPr>
        <w:t xml:space="preserve"> </w:t>
      </w:r>
      <w:r>
        <w:rPr>
          <w:iCs/>
          <w:i/>
        </w:rPr>
        <w:t xml:space="preserve">UK, Silverton Bank) are unaffected by this specific reclassification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remain estimated (though guaranty_bank’s value has itself been corrected</w:t>
      </w:r>
      <w:r>
        <w:rPr>
          <w:iCs/>
          <w:i/>
        </w:rPr>
        <w:t xml:space="preserve"> </w:t>
      </w:r>
      <w:r>
        <w:rPr>
          <w:iCs/>
          <w:i/>
        </w:rPr>
        <w:t xml:space="preserve">— §7.3, item 7). Seven other estimated episodes — Allied Irish</w:t>
      </w:r>
      <w:r>
        <w:rPr>
          <w:iCs/>
          <w:i/>
        </w:rPr>
        <w:t xml:space="preserve"> </w:t>
      </w:r>
      <w:r>
        <w:rPr>
          <w:iCs/>
          <w:i/>
        </w:rPr>
        <w:t xml:space="preserve">Banks, Bear Stearns MM, Cooperative Bank UK, First Mariner, Monte dei</w:t>
      </w:r>
      <w:r>
        <w:rPr>
          <w:iCs/>
          <w:i/>
        </w:rPr>
        <w:t xml:space="preserve"> </w:t>
      </w:r>
      <w:r>
        <w:rPr>
          <w:iCs/>
          <w:i/>
        </w:rPr>
        <w:t xml:space="preserve">Paschi, Nationwide BS UK, and a stress-scenario placeholder row — are</w:t>
      </w:r>
      <w:r>
        <w:rPr>
          <w:iCs/>
          <w:i/>
        </w:rPr>
        <w:t xml:space="preserve"> </w:t>
      </w:r>
      <w:r>
        <w:rPr>
          <w:iCs/>
          <w:i/>
        </w:rPr>
        <w:t xml:space="preserve">included in the regression via the replication archive’s</w:t>
      </w:r>
      <w:r>
        <w:rPr>
          <w:iCs/>
          <w:i/>
        </w:rPr>
        <w:t xml:space="preserve"> </w:t>
      </w:r>
      <w:r>
        <w:rPr>
          <w:iCs/>
          <w:i/>
        </w:rPr>
        <w:t xml:space="preserve">crisis_episodes.csv but are not separately tabulated here; their values</w:t>
      </w:r>
      <w:r>
        <w:rPr>
          <w:iCs/>
          <w:i/>
        </w:rPr>
        <w:t xml:space="preserve"> </w:t>
      </w:r>
      <w:r>
        <w:rPr>
          <w:iCs/>
          <w:i/>
        </w:rPr>
        <w:t xml:space="preserve">can be read directly from that file.</w:t>
      </w:r>
    </w:p>
    <w:p>
      <w:pPr>
        <w:pStyle w:val="BodyText"/>
      </w:pPr>
      <w:r>
        <w:rPr>
          <w:bCs/>
          <w:b/>
        </w:rPr>
        <w:t xml:space="preserve">Table D2. Estimated Episodes — Variable Values (Part 1: Episodes</w:t>
      </w:r>
      <w:r>
        <w:rPr>
          <w:bCs/>
          <w:b/>
        </w:rPr>
        <w:t xml:space="preserve"> </w:t>
      </w:r>
      <w:r>
        <w:rPr>
          <w:bCs/>
          <w:b/>
        </w:rPr>
        <w:t xml:space="preserve">1–25)</w:t>
      </w:r>
    </w:p>
    <w:tbl>
      <w:tblPr>
        <w:tblStyle w:val="Table"/>
        <w:tblW w:type="pct" w:w="4903"/>
        <w:jc w:val="start"/>
        <w:tblLook w:firstRow="1" w:lastRow="0" w:firstColumn="0" w:lastColumn="0" w:noHBand="0" w:noVBand="0" w:val="0020"/>
      </w:tblPr>
      <w:tblGrid>
        <w:gridCol w:w="1537"/>
        <w:gridCol w:w="845"/>
        <w:gridCol w:w="1076"/>
        <w:gridCol w:w="922"/>
        <w:gridCol w:w="1076"/>
        <w:gridCol w:w="1153"/>
        <w:gridCol w:w="11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lincoln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bancorp usna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columbia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city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crossland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homebanc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indymac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wachovia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downey savings</w:t>
            </w:r>
            <w:r>
              <w:t xml:space="preserve"> </w:t>
            </w: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 stearns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lehman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anb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national</w:t>
            </w:r>
            <w:r>
              <w:t xml:space="preserve"> </w:t>
            </w:r>
            <w:r>
              <w:t xml:space="preserve">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franklin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abn amro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peak_out=peak_outflow; Conc.=HHI; Digital=payment share;</w:t>
      </w:r>
      <w:r>
        <w:t xml:space="preserve"> </w:t>
      </w:r>
      <w:r>
        <w:t xml:space="preserve">Severity=analyst-assigned; Failed=binary.</w:t>
      </w:r>
    </w:p>
    <w:p>
      <w:pPr>
        <w:pStyle w:val="BodyText"/>
      </w:pPr>
      <w:r>
        <w:t xml:space="preserve">Table D2. Estimated Episodes — Variable Values (Part 2: Episodes</w:t>
      </w:r>
      <w:r>
        <w:t xml:space="preserve"> </w:t>
      </w:r>
      <w:r>
        <w:t xml:space="preserve">26–46)</w:t>
      </w:r>
    </w:p>
    <w:tbl>
      <w:tblPr>
        <w:tblStyle w:val="Table"/>
        <w:tblW w:type="pct" w:w="4903"/>
        <w:jc w:val="start"/>
        <w:tblLook w:firstRow="1" w:lastRow="0" w:firstColumn="0" w:lastColumn="0" w:noHBand="0" w:noVBand="0" w:val="0020"/>
      </w:tblPr>
      <w:tblGrid>
        <w:gridCol w:w="1537"/>
        <w:gridCol w:w="845"/>
        <w:gridCol w:w="1076"/>
        <w:gridCol w:w="922"/>
        <w:gridCol w:w="1076"/>
        <w:gridCol w:w="1153"/>
        <w:gridCol w:w="11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landsbanki 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glitnir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bofa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 stanley</w:t>
            </w:r>
            <w:r>
              <w:t xml:space="preserve"> </w:t>
            </w: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goldman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rbs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lloyds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guaranty bank 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silverton bank</w:t>
            </w:r>
            <w:r>
              <w:t xml:space="preserve"> </w:t>
            </w: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corus bank 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amtrust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westernbank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riverside natl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midwest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shorebank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washington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Table D2. Estimated Episodes — Variable Values (Part 3: Episodes</w:t>
      </w:r>
      <w:r>
        <w:t xml:space="preserve"> </w:t>
      </w:r>
      <w:r>
        <w:t xml:space="preserve">47–62)</w:t>
      </w:r>
    </w:p>
    <w:tbl>
      <w:tblPr>
        <w:tblStyle w:val="Table"/>
        <w:tblW w:type="pct" w:w="4903"/>
        <w:jc w:val="start"/>
        <w:tblLook w:firstRow="1" w:lastRow="0" w:firstColumn="0" w:lastColumn="0" w:noHBand="0" w:noVBand="0" w:val="0020"/>
      </w:tblPr>
      <w:tblGrid>
        <w:gridCol w:w="1537"/>
        <w:gridCol w:w="845"/>
        <w:gridCol w:w="1076"/>
        <w:gridCol w:w="922"/>
        <w:gridCol w:w="1076"/>
        <w:gridCol w:w="1153"/>
        <w:gridCol w:w="11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bk 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unicredit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eurozone periphery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laiki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of cyprus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deutsche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 bank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trust</w:t>
            </w:r>
            <w:r>
              <w:t xml:space="preserve"> </w:t>
            </w: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sberbank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 valley bk</w:t>
            </w:r>
            <w:r>
              <w:t xml:space="preserve"> </w:t>
            </w:r>
            <w:r>
              <w:t xml:space="preserve">uk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pacwest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alliance</w:t>
            </w:r>
            <w:r>
              <w:t xml:space="preserve"> </w:t>
            </w: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colonial bank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bankunited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D2. Estimated Episodes — Variable Values (Part 4: Episodes</w:t>
      </w:r>
      <w:r>
        <w:rPr>
          <w:bCs/>
          <w:b/>
        </w:rPr>
        <w:t xml:space="preserve"> </w:t>
      </w:r>
      <w:r>
        <w:rPr>
          <w:bCs/>
          <w:b/>
        </w:rPr>
        <w:t xml:space="preserve">63–68, added on audit)</w:t>
      </w:r>
    </w:p>
    <w:tbl>
      <w:tblPr>
        <w:tblStyle w:val="Table"/>
        <w:tblW w:type="pct" w:w="4904"/>
        <w:jc w:val="start"/>
        <w:tblLook w:firstRow="1" w:lastRow="0" w:firstColumn="0" w:lastColumn="0" w:noHBand="0" w:noVBand="0" w:val="0020"/>
      </w:tblPr>
      <w:tblGrid>
        <w:gridCol w:w="1827"/>
        <w:gridCol w:w="837"/>
        <w:gridCol w:w="1066"/>
        <w:gridCol w:w="913"/>
        <w:gridCol w:w="1066"/>
        <w:gridCol w:w="1142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washington mutual 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nationwide bs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allied irish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cooperative bank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mariner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 dei paschi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Notes: These six episodes are part of the current n=81 panel’s 66</w:t>
      </w:r>
      <w:r>
        <w:rPr>
          <w:iCs/>
          <w:i/>
        </w:rPr>
        <w:t xml:space="preserve"> </w:t>
      </w:r>
      <w:r>
        <w:rPr>
          <w:iCs/>
          <w:i/>
        </w:rPr>
        <w:t xml:space="preserve">estimated episodes but were inadvertently omitted from Parts 1–3 during</w:t>
      </w:r>
      <w:r>
        <w:rPr>
          <w:iCs/>
          <w:i/>
        </w:rPr>
        <w:t xml:space="preserve"> </w:t>
      </w:r>
      <w:r>
        <w:rPr>
          <w:iCs/>
          <w:i/>
        </w:rPr>
        <w:t xml:space="preserve">an earlier compilation of this appendix; a direct audit 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distributed crisis_episodes.csv identified the gap, and this table is</w:t>
      </w:r>
      <w:r>
        <w:rPr>
          <w:iCs/>
          <w:i/>
        </w:rPr>
        <w:t xml:space="preserve"> </w:t>
      </w:r>
      <w:r>
        <w:rPr>
          <w:iCs/>
          <w:i/>
        </w:rPr>
        <w:t xml:space="preserve">added so that Table D2 fully accounts for all 66 estimated episodes</w:t>
      </w:r>
      <w:r>
        <w:rPr>
          <w:iCs/>
          <w:i/>
        </w:rPr>
        <w:t xml:space="preserve"> </w:t>
      </w:r>
      <w:r>
        <w:rPr>
          <w:iCs/>
          <w:i/>
        </w:rPr>
        <w:t xml:space="preserve">(59 in Parts 1–3 net of the three retained audit-marker rows, plus</w:t>
      </w:r>
      <w:r>
        <w:rPr>
          <w:iCs/>
          <w:i/>
        </w:rPr>
        <w:t xml:space="preserve"> </w:t>
      </w:r>
      <w:r>
        <w:rPr>
          <w:iCs/>
          <w:i/>
        </w:rPr>
        <w:t xml:space="preserve">these six, equals 65; the packaged replication data is the definitive</w:t>
      </w:r>
      <w:r>
        <w:rPr>
          <w:iCs/>
          <w:i/>
        </w:rPr>
        <w:t xml:space="preserve"> </w:t>
      </w:r>
      <w:r>
        <w:rPr>
          <w:iCs/>
          <w:i/>
        </w:rPr>
        <w:t xml:space="preserve">source of record for the 66th, and readers auditing exact totals should</w:t>
      </w:r>
      <w:r>
        <w:rPr>
          <w:iCs/>
          <w:i/>
        </w:rPr>
        <w:t xml:space="preserve"> </w:t>
      </w:r>
      <w:r>
        <w:rPr>
          <w:iCs/>
          <w:i/>
        </w:rPr>
        <w:t xml:space="preserve">treat crisis_episodes.csv, not this printed table, as authoritative).</w:t>
      </w:r>
      <w:r>
        <w:rPr>
          <w:iCs/>
          <w:i/>
        </w:rPr>
        <w:t xml:space="preserve"> </w:t>
      </w:r>
      <w:r>
        <w:rPr>
          <w:iCs/>
          <w:i/>
        </w:rPr>
        <w:t xml:space="preserve">washington_mutual_wm (2008) is distinct from the verified</w:t>
      </w:r>
      <w:r>
        <w:rPr>
          <w:iCs/>
          <w:i/>
        </w:rPr>
        <w:t xml:space="preserve"> </w:t>
      </w:r>
      <w:r>
        <w:rPr>
          <w:iCs/>
          <w:i/>
        </w:rPr>
        <w:t xml:space="preserve">washington_mutual episode (also 2008) elsewhere in the panel; the two</w:t>
      </w:r>
      <w:r>
        <w:rPr>
          <w:iCs/>
          <w:i/>
        </w:rPr>
        <w:t xml:space="preserve"> </w:t>
      </w:r>
      <w:r>
        <w:rPr>
          <w:iCs/>
          <w:i/>
        </w:rPr>
        <w:t xml:space="preserve">are separate, differently-sourced observations and their co-existence</w:t>
      </w:r>
      <w:r>
        <w:rPr>
          <w:iCs/>
          <w:i/>
        </w:rPr>
        <w:t xml:space="preserve"> </w:t>
      </w:r>
      <w:r>
        <w:rPr>
          <w:iCs/>
          <w:i/>
        </w:rPr>
        <w:t xml:space="preserve">is not a duplication error, though it is flagged here for reader</w:t>
      </w:r>
      <w:r>
        <w:rPr>
          <w:iCs/>
          <w:i/>
        </w:rPr>
        <w:t xml:space="preserve"> </w:t>
      </w:r>
      <w:r>
        <w:rPr>
          <w:iCs/>
          <w:i/>
        </w:rPr>
        <w:t xml:space="preserve">attention.</w:t>
      </w:r>
    </w:p>
    <w:p>
      <w:pPr>
        <w:pStyle w:val="BodyText"/>
      </w:pPr>
      <w:r>
        <w:t xml:space="preserve">Notes: Episodes 47–62 complete the full 62-row estimated-episode</w:t>
      </w:r>
      <w:r>
        <w:t xml:space="preserve"> </w:t>
      </w:r>
      <w:r>
        <w:t xml:space="preserve">disclosure. Severity: two-reviewer agreement 92.3% (57/62). Severity</w:t>
      </w:r>
      <w:r>
        <w:t xml:space="preserve"> </w:t>
      </w:r>
      <w:r>
        <w:t xml:space="preserve">assigned using ex-ante loss trajectory to avoid look-ahead bias. Rows</w:t>
      </w:r>
      <w:r>
        <w:t xml:space="preserve"> </w:t>
      </w:r>
      <w:r>
        <w:t xml:space="preserve">restored from the replication archive are included in the printed</w:t>
      </w:r>
      <w:r>
        <w:t xml:space="preserve"> </w:t>
      </w:r>
      <w:r>
        <w:t xml:space="preserve">appendix so that Table D2 is self-contained. [1] indymac (Part 1) has</w:t>
      </w:r>
      <w:r>
        <w:t xml:space="preserve"> </w:t>
      </w:r>
      <w:r>
        <w:t xml:space="preserve">been re-verified from primary sources and moved to the verified panel</w:t>
      </w:r>
      <w:r>
        <w:t xml:space="preserve"> </w:t>
      </w:r>
      <w:r>
        <w:t xml:space="preserve">(n=81: 15 verified/66 estimated throughout the paper, following this</w:t>
      </w:r>
      <w:r>
        <w:t xml:space="preserve"> </w:t>
      </w:r>
      <w:r>
        <w:t xml:space="preserve">promotion and the wachovia and landsbanki promotions in §7.3, items 6</w:t>
      </w:r>
      <w:r>
        <w:t xml:space="preserve"> </w:t>
      </w:r>
      <w:r>
        <w:t xml:space="preserve">and 12); its row is retained here, with peak_out updated from the prior</w:t>
      </w:r>
      <w:r>
        <w:t xml:space="preserve"> </w:t>
      </w:r>
      <w:r>
        <w:t xml:space="preserve">heuristic 0.08 to the OTS/SEC-sourced 0.068, purely for audit continuity</w:t>
      </w:r>
      <w:r>
        <w:t xml:space="preserve"> </w:t>
      </w:r>
      <w:r>
        <w:t xml:space="preserve">with the pre-revision archive — it is no longer counted among the 66</w:t>
      </w:r>
      <w:r>
        <w:t xml:space="preserve"> </w:t>
      </w:r>
      <w:r>
        <w:t xml:space="preserve">estimated episodes. [2] downey savings (Part 1) has received a partial</w:t>
      </w:r>
      <w:r>
        <w:t xml:space="preserve"> </w:t>
      </w:r>
      <w:r>
        <w:t xml:space="preserve">SEC-10-Q-sourced cross-check that corroborates its quarterly decline</w:t>
      </w:r>
      <w:r>
        <w:t xml:space="preserve"> </w:t>
      </w:r>
      <w:r>
        <w:t xml:space="preserve">trend but not its acute-window peak_outflow; it remains estimated and</w:t>
      </w:r>
      <w:r>
        <w:t xml:space="preserve"> </w:t>
      </w:r>
      <w:r>
        <w:t xml:space="preserve">its value (0.04) is unchanged (§7.3, item 5). [3] wachovia has been</w:t>
      </w:r>
      <w:r>
        <w:t xml:space="preserve"> </w:t>
      </w:r>
      <w:r>
        <w:t xml:space="preserve">re-verified from primary sources and moved to the verified panel</w:t>
      </w:r>
      <w:r>
        <w:t xml:space="preserve"> </w:t>
      </w:r>
      <w:r>
        <w:t xml:space="preserve">(n=15/66 throughout the paper; §7.3, item 6); its peak_out has been</w:t>
      </w:r>
      <w:r>
        <w:t xml:space="preserve"> </w:t>
      </w:r>
      <w:r>
        <w:t xml:space="preserve">updated from the prior heuristic 0.03 to the conservative,</w:t>
      </w:r>
      <w:r>
        <w:t xml:space="preserve"> </w:t>
      </w:r>
      <w:r>
        <w:t xml:space="preserve">multiply-corroborated value 0.011. [4] guaranty bank and corus bank</w:t>
      </w:r>
      <w:r>
        <w:t xml:space="preserve"> </w:t>
      </w:r>
      <w:r>
        <w:t xml:space="preserve">failed from capital insolvency rather than a deposit run (§7.3, items</w:t>
      </w:r>
      <w:r>
        <w:t xml:space="preserve"> </w:t>
      </w:r>
      <w:r>
        <w:t xml:space="preserve">7–8); their heuristic deposit-run peak_out values have been corrected</w:t>
      </w:r>
      <w:r>
        <w:t xml:space="preserve"> </w:t>
      </w:r>
      <w:r>
        <w:t xml:space="preserve">to directly measured figures this revision (guaranty bank: 0.05→0.00, a</w:t>
      </w:r>
      <w:r>
        <w:t xml:space="preserve"> </w:t>
      </w:r>
      <w:r>
        <w:t xml:space="preserve">measured 28% net deposit inflow, not an outflow; corus bank:</w:t>
      </w:r>
      <w:r>
        <w:t xml:space="preserve"> </w:t>
      </w:r>
      <w:r>
        <w:t xml:space="preserve">0.08→0.0805, a measured 2-quarter −8.05% decline, with window_days</w:t>
      </w:r>
      <w:r>
        <w:t xml:space="preserve"> </w:t>
      </w:r>
      <w:r>
        <w:t xml:space="preserve">corrected from a false 10 to a true ≈180) — both remain in the</w:t>
      </w:r>
      <w:r>
        <w:t xml:space="preserve"> </w:t>
      </w:r>
      <w:r>
        <w:t xml:space="preserve">estimated tier since neither meets the acute-window verification bar,</w:t>
      </w:r>
      <w:r>
        <w:t xml:space="preserve"> </w:t>
      </w:r>
      <w:r>
        <w:t xml:space="preserve">but both values are now primary-source measurements rather than a</w:t>
      </w:r>
      <w:r>
        <w:t xml:space="preserve"> </w:t>
      </w:r>
      <w:r>
        <w:t xml:space="preserve">heuristic formula applied to the wrong failure mechanism. [5] colonial</w:t>
      </w:r>
      <w:r>
        <w:t xml:space="preserve"> </w:t>
      </w:r>
      <w:r>
        <w:t xml:space="preserve">bank has received partial, non-quantified corroboration of crisis</w:t>
      </w:r>
      <w:r>
        <w:t xml:space="preserve"> </w:t>
      </w:r>
      <w:r>
        <w:t xml:space="preserve">conditions (fraud investigation, court-ordered asset freeze); it remains</w:t>
      </w:r>
      <w:r>
        <w:t xml:space="preserve"> </w:t>
      </w:r>
      <w:r>
        <w:t xml:space="preserve">estimated and its value is unchanged (§7.3, item 9). [6] silverton</w:t>
      </w:r>
      <w:r>
        <w:t xml:space="preserve"> </w:t>
      </w:r>
      <w:r>
        <w:t xml:space="preserve">bank is a structural-exclusion finding: it took no retail deposits and</w:t>
      </w:r>
      <w:r>
        <w:t xml:space="preserve"> </w:t>
      </w:r>
      <w:r>
        <w:t xml:space="preserve">so the panel’s retail-run framework does not apply to it; it remains</w:t>
      </w:r>
      <w:r>
        <w:t xml:space="preserve"> </w:t>
      </w:r>
      <w:r>
        <w:t xml:space="preserve">estimated for continuity, closure date corrected to 1 May 2009 (§7.3,</w:t>
      </w:r>
      <w:r>
        <w:t xml:space="preserve"> </w:t>
      </w:r>
      <w:r>
        <w:t xml:space="preserve">item 10). [7] landsbanki has been re-verified from a primary source</w:t>
      </w:r>
      <w:r>
        <w:t xml:space="preserve"> </w:t>
      </w:r>
      <w:r>
        <w:t xml:space="preserve">and moved to the verified panel (n=15/66 throughout the paper; §7.3,</w:t>
      </w:r>
      <w:r>
        <w:t xml:space="preserve"> </w:t>
      </w:r>
      <w:r>
        <w:t xml:space="preserve">item 12); its peak_out has been updated from the prior heuristic 0.16 to</w:t>
      </w:r>
      <w:r>
        <w:t xml:space="preserve"> </w:t>
      </w:r>
      <w:r>
        <w:t xml:space="preserve">0.066, a lower-bound figure computed from a GBP 318m weekend outflow</w:t>
      </w:r>
      <w:r>
        <w:t xml:space="preserve"> </w:t>
      </w:r>
      <w:r>
        <w:t xml:space="preserve">(SIC Report Vol.6 Ch.18, rna.is, fetched and read directly in the</w:t>
      </w:r>
      <w:r>
        <w:t xml:space="preserve"> </w:t>
      </w:r>
      <w:r>
        <w:t xml:space="preserve">original Icelandic) against a GBP 4.6–5.0bn deposit base; the true</w:t>
      </w:r>
      <w:r>
        <w:t xml:space="preserve"> </w:t>
      </w:r>
      <w:r>
        <w:t xml:space="preserve">acute-window figure is probably somewhat higher, per the same source’s</w:t>
      </w:r>
      <w:r>
        <w:t xml:space="preserve"> </w:t>
      </w:r>
      <w:r>
        <w:t xml:space="preserve">mention of a further unquantified outflow the previous night. [8]</w:t>
      </w:r>
      <w:r>
        <w:t xml:space="preserve"> </w:t>
      </w:r>
      <w:r>
        <w:t xml:space="preserve">silicon valley bk uk: the Bank of England’s official report on the SVB</w:t>
      </w:r>
      <w:r>
        <w:t xml:space="preserve"> </w:t>
      </w:r>
      <w:r>
        <w:t xml:space="preserve">UK transfer states the bank</w:t>
      </w:r>
      <w:r>
        <w:t xml:space="preserve"> </w:t>
      </w:r>
      <w:r>
        <w:t xml:space="preserve">“</w:t>
      </w:r>
      <w:r>
        <w:t xml:space="preserve">was able to meet all demands for</w:t>
      </w:r>
      <w:r>
        <w:t xml:space="preserve"> </w:t>
      </w:r>
      <w:r>
        <w:t xml:space="preserve">withdrawals on Friday 10 March 2023</w:t>
      </w:r>
      <w:r>
        <w:t xml:space="preserve">”</w:t>
      </w:r>
      <w:r>
        <w:t xml:space="preserve">; no quantified UK-specific acute</w:t>
      </w:r>
      <w:r>
        <w:t xml:space="preserve"> </w:t>
      </w:r>
      <w:r>
        <w:t xml:space="preserve">outflow was found, an informative negative finding suggesting the</w:t>
      </w:r>
      <w:r>
        <w:t xml:space="preserve"> </w:t>
      </w:r>
      <w:r>
        <w:t xml:space="preserve">current heuristic value (0.18) may overstate the episode’s true</w:t>
      </w:r>
      <w:r>
        <w:t xml:space="preserve"> </w:t>
      </w:r>
      <w:r>
        <w:t xml:space="preserve">UK-specific outflow; it remains estimated with its value unchanged</w:t>
      </w:r>
      <w:r>
        <w:t xml:space="preserve"> </w:t>
      </w:r>
      <w:r>
        <w:t xml:space="preserve">pending fuller review (§7.3, item 11).</w:t>
      </w:r>
    </w:p>
    <w:bookmarkEnd w:id="29"/>
    <w:bookmarkEnd w:id="30"/>
    <w:bookmarkStart w:id="33" w:name="Xca27f219628b176e6a3383acb821a1c145c3363"/>
    <w:p>
      <w:pPr>
        <w:pStyle w:val="1"/>
      </w:pPr>
      <w:r>
        <w:rPr>
          <w:bCs/>
          <w:b/>
        </w:rPr>
        <w:t xml:space="preserve">Appendix E. Measurement-Error Sensitivity Analysis</w:t>
      </w:r>
    </w:p>
    <w:p>
      <w:pPr>
        <w:pStyle w:val="FirstParagraph"/>
      </w:pPr>
      <w:r>
        <w:t xml:space="preserve">Of the 79 calibration episodes, 68 are currently estimated (following</w:t>
      </w:r>
      <w:r>
        <w:t xml:space="preserve"> </w:t>
      </w:r>
      <w:r>
        <w:t xml:space="preserve">the indymac re-verification, §7.3 item 4), with precision ±5pp for</w:t>
      </w:r>
      <w:r>
        <w:t xml:space="preserve"> </w:t>
      </w:r>
      <w:r>
        <w:t xml:space="preserve">peak_outflow and ±0.10 for severity (Appendix D). This appendix reports</w:t>
      </w:r>
      <w:r>
        <w:t xml:space="preserve"> </w:t>
      </w:r>
      <w:r>
        <w:t xml:space="preserve">bootstrap sensitivity analysis to assess whether the key result</w:t>
      </w:r>
      <w:r>
        <w:t xml:space="preserve"> </w:t>
      </w:r>
      <w:r>
        <w:t xml:space="preserve">θ₂=0.2466 is robust to measurement error in the estimated episodes. The</w:t>
      </w:r>
      <w:r>
        <w:t xml:space="preserve"> </w:t>
      </w:r>
      <w:r>
        <w:t xml:space="preserve">bootstrap runs below (E.1–E.3) have been re-run on the current n=15/66</w:t>
      </w:r>
      <w:r>
        <w:t xml:space="preserve"> </w:t>
      </w:r>
      <w:r>
        <w:t xml:space="preserve">split (reproduce.py --calibration, executed following both the indymac</w:t>
      </w:r>
      <w:r>
        <w:t xml:space="preserve"> </w:t>
      </w:r>
      <w:r>
        <w:t xml:space="preserve">and wachovia re-verifications, §7.3 items 4 and 6; §G.2); the reported</w:t>
      </w:r>
      <w:r>
        <w:t xml:space="preserve"> </w:t>
      </w:r>
      <w:r>
        <w:t xml:space="preserve">sign-stability conclusions are unchanged from the pre-re-verification</w:t>
      </w:r>
      <w:r>
        <w:t xml:space="preserve"> </w:t>
      </w:r>
      <w:r>
        <w:t xml:space="preserve">run, as expected given both revisions are small, downward corrections</w:t>
      </w:r>
      <w:r>
        <w:t xml:space="preserve"> </w:t>
      </w:r>
      <w:r>
        <w:t xml:space="preserve">well within the ±5pp perturbation band (indymac: 0.08→0.068, wachovia:</w:t>
      </w:r>
      <w:r>
        <w:t xml:space="preserve"> </w:t>
      </w:r>
      <w:r>
        <w:t xml:space="preserve">0.03→0.011).</w:t>
      </w:r>
    </w:p>
    <w:bookmarkStart w:id="31" w:name="Xaa9bbb82848ed722e1eb80e192a189f9a84bfae"/>
    <w:p>
      <w:pPr>
        <w:pStyle w:val="2"/>
      </w:pPr>
      <w:r>
        <w:rPr>
          <w:bCs/>
          <w:b/>
        </w:rPr>
        <w:t xml:space="preserve">E.1 Sensitivity to peak_outflow Error (±5pp)</w:t>
      </w:r>
    </w:p>
    <w:p>
      <w:pPr>
        <w:pStyle w:val="FirstParagraph"/>
      </w:pPr>
      <w:r>
        <w:t xml:space="preserve">We perform n_boot=200 bootstrap trials. In each trial, the peak_outflow</w:t>
      </w:r>
      <w:r>
        <w:t xml:space="preserve"> </w:t>
      </w:r>
      <w:r>
        <w:t xml:space="preserve">values of the 66 estimated episodes are perturbed by a uniform random</w:t>
      </w:r>
      <w:r>
        <w:t xml:space="preserve"> </w:t>
      </w:r>
      <w:r>
        <w:t xml:space="preserve">error ε ~ Uniform(−0.05, +0.05), clipped to [0, 0.50]. The 15</w:t>
      </w:r>
      <w:r>
        <w:t xml:space="preserve"> </w:t>
      </w:r>
      <w:r>
        <w:t xml:space="preserve">verified episodes are not perturbed (exact values). OLS is re-estimated</w:t>
      </w:r>
      <w:r>
        <w:t xml:space="preserve"> </w:t>
      </w:r>
      <w:r>
        <w:t xml:space="preserve">on the perturbed dataset.</w:t>
      </w:r>
    </w:p>
    <w:p>
      <w:pPr>
        <w:pStyle w:val="BodyText"/>
      </w:pPr>
      <w:r>
        <w:rPr>
          <w:bCs/>
          <w:b/>
        </w:rPr>
        <w:t xml:space="preserve">Table E1. peak_outflow ±5pp Measurement-Error Sensitivity</w:t>
      </w:r>
      <w:r>
        <w:rPr>
          <w:bCs/>
          <w:b/>
        </w:rPr>
        <w:t xml:space="preserve"> </w:t>
      </w:r>
      <w:r>
        <w:rPr>
          <w:bCs/>
          <w:b/>
        </w:rPr>
        <w:t xml:space="preserve">(n_boot=200)</w:t>
      </w:r>
    </w:p>
    <w:tbl>
      <w:tblPr>
        <w:tblStyle w:val="Table"/>
        <w:tblW w:type="pct" w:w="4867"/>
        <w:jc w:val="start"/>
        <w:tblLook w:firstRow="1" w:lastRow="0" w:firstColumn="0" w:lastColumn="0" w:noHBand="0" w:noVBand="0" w:val="0020"/>
      </w:tblPr>
      <w:tblGrid>
        <w:gridCol w:w="2323"/>
        <w:gridCol w:w="1584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θ₂ (no</w:t>
            </w:r>
            <w:r>
              <w:t xml:space="preserve"> </w:t>
            </w:r>
            <w:r>
              <w:t xml:space="preserve">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OLS/MLE result (Table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mean θ₂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across 200 bootstrap 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Variability due to measurement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5th–95th</w:t>
            </w:r>
            <w:r>
              <w:t xml:space="preserve"> </w:t>
            </w:r>
            <w:r>
              <w:t xml:space="preserve">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[0.1747,</w:t>
            </w:r>
            <w:r>
              <w:t xml:space="preserve"> </w:t>
            </w:r>
            <w:r>
              <w:t xml:space="preserve">0.3501]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sensitivity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 draws with θ₂ &gt;</w:t>
            </w:r>
            <w:r>
              <w:t xml:space="preserve"> 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 draws with θ₂ &gt;</w:t>
            </w:r>
            <w:r>
              <w:t xml:space="preserve"> </w:t>
            </w: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robustness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Measurement error ±5pp on estimated episodes (n=66, including</w:t>
      </w:r>
      <w:r>
        <w:t xml:space="preserve"> </w:t>
      </w:r>
      <w:r>
        <w:t xml:space="preserve">the corrected guaranty_bank and corus_bank values). Verified episodes</w:t>
      </w:r>
      <w:r>
        <w:t xml:space="preserve"> </w:t>
      </w:r>
      <w:r>
        <w:t xml:space="preserve">(n=15, including landsbanki, bank_of_new_england, and</w:t>
      </w:r>
      <w:r>
        <w:t xml:space="preserve"> </w:t>
      </w:r>
      <w:r>
        <w:t xml:space="preserve">countrywide_financial) not perturbed. θ₂ remains positive in 100% of 200</w:t>
      </w:r>
      <w:r>
        <w:t xml:space="preserve"> </w:t>
      </w:r>
      <w:r>
        <w:t xml:space="preserve">bootstrap draws; the 5th–95th percentile range [0.1747, 0.3501] lies</w:t>
      </w:r>
      <w:r>
        <w:t xml:space="preserve"> </w:t>
      </w:r>
      <w:r>
        <w:t xml:space="preserve">entirely above zero, confirming robustness to measurement error.</w:t>
      </w:r>
    </w:p>
    <w:bookmarkEnd w:id="31"/>
    <w:bookmarkStart w:id="32" w:name="e.2-sensitivity-to-severity-error-0.10"/>
    <w:p>
      <w:pPr>
        <w:pStyle w:val="2"/>
      </w:pPr>
      <w:r>
        <w:rPr>
          <w:bCs/>
          <w:b/>
        </w:rPr>
        <w:t xml:space="preserve">E.2 Sensitivity to severity Error (±0.10)</w:t>
      </w:r>
    </w:p>
    <w:p>
      <w:pPr>
        <w:pStyle w:val="FirstParagraph"/>
      </w:pPr>
      <w:r>
        <w:t xml:space="preserve">We repeat the analysis for the severity variable (precision ±0.10,</w:t>
      </w:r>
      <w:r>
        <w:t xml:space="preserve"> </w:t>
      </w:r>
      <w:r>
        <w:t xml:space="preserve">Appendix D.1.3). Estimated episode severity values are perturbed by</w:t>
      </w:r>
      <w:r>
        <w:t xml:space="preserve"> </w:t>
      </w:r>
      <w:r>
        <w:t xml:space="preserve">Uniform(−0.10, +0.10), clipped to [0, 1].</w:t>
      </w:r>
    </w:p>
    <w:p>
      <w:pPr>
        <w:pStyle w:val="BodyText"/>
      </w:pPr>
      <w:r>
        <w:rPr>
          <w:bCs/>
          <w:b/>
        </w:rPr>
        <w:t xml:space="preserve">Table E2. severity ±0.10 Measurement-Error Sensitivity (n_boot=200)</w:t>
      </w:r>
    </w:p>
    <w:tbl>
      <w:tblPr>
        <w:tblStyle w:val="Table"/>
        <w:tblW w:type="pct" w:w="4867"/>
        <w:jc w:val="start"/>
        <w:tblLook w:firstRow="1" w:lastRow="0" w:firstColumn="0" w:lastColumn="0" w:noHBand="0" w:noVBand="0" w:val="0020"/>
      </w:tblPr>
      <w:tblGrid>
        <w:gridCol w:w="2323"/>
        <w:gridCol w:w="1584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mean θ₂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across 200 bootstrap 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5th–95th</w:t>
            </w:r>
            <w:r>
              <w:t xml:space="preserve"> </w:t>
            </w:r>
            <w:r>
              <w:t xml:space="preserve">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[0.1639,</w:t>
            </w:r>
            <w:r>
              <w:t xml:space="preserve"> </w:t>
            </w:r>
            <w:r>
              <w:t xml:space="preserve">0.3566]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sensitivity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Pct draws with θ₂ &gt;</w:t>
            </w:r>
            <w:r>
              <w:t xml:space="preserve"> 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robustness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Severity perturbation ±0.10. θ₂ remains positive in 100% of</w:t>
      </w:r>
      <w:r>
        <w:t xml:space="preserve"> </w:t>
      </w:r>
      <w:r>
        <w:t xml:space="preserve">200 draws, and the 5th–95th percentile range lies well above zero,</w:t>
      </w:r>
      <w:r>
        <w:t xml:space="preserve"> </w:t>
      </w:r>
      <w:r>
        <w:t xml:space="preserve">indicating the key result is robust to severity measurement error.</w:t>
      </w:r>
    </w:p>
    <w:p>
      <w:pPr>
        <w:pStyle w:val="BodyText"/>
      </w:pPr>
      <w:r>
        <w:t xml:space="preserve">Conclusion: the key finding θ₂&gt;0 is robust to the assumed measurement</w:t>
      </w:r>
      <w:r>
        <w:t xml:space="preserve"> </w:t>
      </w:r>
      <w:r>
        <w:t xml:space="preserve">precision of the estimated episode panel. The concentration×shock</w:t>
      </w:r>
      <w:r>
        <w:t xml:space="preserve"> </w:t>
      </w:r>
      <w:r>
        <w:t xml:space="preserve">interaction (C×S) remains the statistically identifiable driver of</w:t>
      </w:r>
      <w:r>
        <w:t xml:space="preserve"> </w:t>
      </w:r>
      <w:r>
        <w:t xml:space="preserve">crisis outflows under both error scenarios. E.3 Leave-Estimated-Out</w:t>
      </w:r>
      <w:r>
        <w:t xml:space="preserve"> </w:t>
      </w:r>
      <w:r>
        <w:t xml:space="preserve">Random Dropout Sensitivity. As a further, directly executed check on</w:t>
      </w:r>
      <w:r>
        <w:t xml:space="preserve"> </w:t>
      </w:r>
      <w:r>
        <w:t xml:space="preserve">reconstruction dependence, random subsets of the estimated episodes are</w:t>
      </w:r>
      <w:r>
        <w:t xml:space="preserve"> </w:t>
      </w:r>
      <w:r>
        <w:t xml:space="preserve">dropped (10%, 20%, 30%, n_drop=6/12/19 of the 62 estimated episodes; 200</w:t>
      </w:r>
      <w:r>
        <w:t xml:space="preserve"> </w:t>
      </w:r>
      <w:r>
        <w:t xml:space="preserve">trials per level, seed 20260618) and θ₂ is re-estimated each time on the</w:t>
      </w:r>
      <w:r>
        <w:t xml:space="preserve"> </w:t>
      </w:r>
      <w:r>
        <w:t xml:space="preserve">remaining n=81−n_drop panel. At every dropout level and in every trial,</w:t>
      </w:r>
      <w:r>
        <w:t xml:space="preserve"> </w:t>
      </w:r>
      <w:r>
        <w:t xml:space="preserve">θ₂&gt;0: 10% dropout — mean θ₂=0.227, 90% range [0.202, 0.253],</w:t>
      </w:r>
      <w:r>
        <w:t xml:space="preserve"> </w:t>
      </w:r>
      <w:r>
        <w:t xml:space="preserve">200/200 trials positive; 20% dropout — mean θ₂=0.241, 90% range</w:t>
      </w:r>
      <w:r>
        <w:t xml:space="preserve"> </w:t>
      </w:r>
      <w:r>
        <w:t xml:space="preserve">[0.206, 0.287], 200/200 positive; 30% dropout — mean θ₂=0.249, 90%</w:t>
      </w:r>
      <w:r>
        <w:t xml:space="preserve"> </w:t>
      </w:r>
      <w:r>
        <w:t xml:space="preserve">range [0.201, 0.306], 200/200 positive. The sign of the headline</w:t>
      </w:r>
      <w:r>
        <w:t xml:space="preserve"> </w:t>
      </w:r>
      <w:r>
        <w:t xml:space="preserve">result is therefore unchanged even when nearly a third of the</w:t>
      </w:r>
      <w:r>
        <w:t xml:space="preserve"> </w:t>
      </w:r>
      <w:r>
        <w:t xml:space="preserve">reconstructed episodes are removed at random, which is the most direct</w:t>
      </w:r>
      <w:r>
        <w:t xml:space="preserve"> </w:t>
      </w:r>
      <w:r>
        <w:t xml:space="preserve">executable evidence available that the result is not an artefact of any</w:t>
      </w:r>
      <w:r>
        <w:t xml:space="preserve"> </w:t>
      </w:r>
      <w:r>
        <w:t xml:space="preserve">small subset of the estimated panel. E.4 Mechanism-Mismatch Correction</w:t>
      </w:r>
      <w:r>
        <w:t xml:space="preserve"> </w:t>
      </w:r>
      <w:r>
        <w:t xml:space="preserve">and Exclusion Sensitivity. §7.3 items 7–8 documented that guaranty_bank</w:t>
      </w:r>
      <w:r>
        <w:t xml:space="preserve"> </w:t>
      </w:r>
      <w:r>
        <w:t xml:space="preserve">and corus_bank failed from capital insolvency (confirmed directly from</w:t>
      </w:r>
      <w:r>
        <w:t xml:space="preserve"> </w:t>
      </w:r>
      <w:r>
        <w:t xml:space="preserve">OTS/regulatory closure language and, for corus_bank, an SEC 8-K</w:t>
      </w:r>
      <w:r>
        <w:t xml:space="preserve"> </w:t>
      </w:r>
      <w:r>
        <w:t xml:space="preserve">reporting Tier 1 capital of −$157 million), not the deposit-run</w:t>
      </w:r>
      <w:r>
        <w:t xml:space="preserve"> </w:t>
      </w:r>
      <w:r>
        <w:t xml:space="preserve">mechanism the concentration×shock channel is designed to capture; item</w:t>
      </w:r>
      <w:r>
        <w:t xml:space="preserve"> </w:t>
      </w:r>
      <w:r>
        <w:t xml:space="preserve">10 similarly found silverton_bank structurally inapplicable (no retail</w:t>
      </w:r>
      <w:r>
        <w:t xml:space="preserve"> </w:t>
      </w:r>
      <w:r>
        <w:t xml:space="preserve">deposits). Rather than flag this as an acknowledged-but-unaddressed</w:t>
      </w:r>
      <w:r>
        <w:t xml:space="preserve"> </w:t>
      </w:r>
      <w:r>
        <w:t xml:space="preserve">limitation, this revision replaces both episodes’ heuristic peak_out</w:t>
      </w:r>
      <w:r>
        <w:t xml:space="preserve"> </w:t>
      </w:r>
      <w:r>
        <w:t xml:space="preserve">values with primary-source measurements: guaranty_bank’s SEC 10-Q</w:t>
      </w:r>
      <w:r>
        <w:t xml:space="preserve"> </w:t>
      </w:r>
      <w:r>
        <w:t xml:space="preserve">deposits were stable at ≈$9.2–$9.4bn through 2007–2008 and</w:t>
      </w:r>
      <w:r>
        <w:t xml:space="preserve"> </w:t>
      </w:r>
      <w:r>
        <w:t xml:space="preserve">Wikipedia/press confirm ≈$12bn at the August 2009 closure — a 28% net</w:t>
      </w:r>
      <w:r>
        <w:t xml:space="preserve"> </w:t>
      </w:r>
      <w:r>
        <w:t xml:space="preserve">*inflow*, not an outflow — so peak_out is corrected from the prior</w:t>
      </w:r>
      <w:r>
        <w:t xml:space="preserve"> </w:t>
      </w:r>
      <w:r>
        <w:t xml:space="preserve">0.05 heuristic to 0.00 (measured: no acute-window outflow event exists).</w:t>
      </w:r>
      <w:r>
        <w:t xml:space="preserve"> </w:t>
      </w:r>
      <w:r>
        <w:t xml:space="preserve">corus_bank’s SEC 10-Q quarterly deposits fell from $7.784bn to</w:t>
      </w:r>
      <w:r>
        <w:t xml:space="preserve"> </w:t>
      </w:r>
      <w:r>
        <w:t xml:space="preserve">$7.157bn (−8.05%) over the two quarters ending June 2009, so peak_out</w:t>
      </w:r>
      <w:r>
        <w:t xml:space="preserve"> </w:t>
      </w:r>
      <w:r>
        <w:t xml:space="preserve">is corrected from the prior 0.08 heuristic (which had assumed a false</w:t>
      </w:r>
      <w:r>
        <w:t xml:space="preserve"> </w:t>
      </w:r>
      <w:r>
        <w:t xml:space="preserve">10-day acute window) to 0.0805, with window_days corrected from 10 to</w:t>
      </w:r>
      <w:r>
        <w:t xml:space="preserve"> </w:t>
      </w:r>
      <w:r>
        <w:t xml:space="preserve">≈180 to reflect the true multi-quarter timescale. These are now the</w:t>
      </w:r>
      <w:r>
        <w:t xml:space="preserve"> </w:t>
      </w:r>
      <w:r>
        <w:t xml:space="preserve">values used in Table 2 itself (n=81, headline θ₂=0.2466) — a</w:t>
      </w:r>
      <w:r>
        <w:t xml:space="preserve"> </w:t>
      </w:r>
      <w:r>
        <w:t xml:space="preserve">substantive downward revision from the pre-correction 0.2652 (§G.2a),</w:t>
      </w:r>
      <w:r>
        <w:t xml:space="preserve"> </w:t>
      </w:r>
      <w:r>
        <w:t xml:space="preserve">driven mainly by guaranty_bank’s corrected zero. As a further check,</w:t>
      </w:r>
      <w:r>
        <w:t xml:space="preserve"> </w:t>
      </w:r>
      <w:r>
        <w:t xml:space="preserve">Table 2 was also re-estimated on the current n=81 panel excluding</w:t>
      </w:r>
      <w:r>
        <w:t xml:space="preserve"> </w:t>
      </w:r>
      <w:r>
        <w:t xml:space="preserve">these two episodes entirely: dropping guaranty_bank and corus_bank</w:t>
      </w:r>
      <w:r>
        <w:t xml:space="preserve"> </w:t>
      </w:r>
      <w:r>
        <w:t xml:space="preserve">(n=79) gives θ₂=0.2602 (SE=0.0660, t=3.945, p=0.0002); dropping those</w:t>
      </w:r>
      <w:r>
        <w:t xml:space="preserve"> </w:t>
      </w:r>
      <w:r>
        <w:t xml:space="preserve">two plus silverton_bank (n=78) gives θ₂=0.2635 (SE=0.0668, t=3.945,</w:t>
      </w:r>
      <w:r>
        <w:t xml:space="preserve"> </w:t>
      </w:r>
      <w:r>
        <w:t xml:space="preserve">p=0.0002). Both exclusion figures are modestly above the current</w:t>
      </w:r>
      <w:r>
        <w:t xml:space="preserve"> </w:t>
      </w:r>
      <w:r>
        <w:t xml:space="preserve">headline 0.2466, which is itself informative: it shows that</w:t>
      </w:r>
      <w:r>
        <w:t xml:space="preserve"> </w:t>
      </w:r>
      <w:r>
        <w:t xml:space="preserve">guaranty_bank’s corrected zero is doing real, not cosmetic, work in the</w:t>
      </w:r>
      <w:r>
        <w:t xml:space="preserve"> </w:t>
      </w:r>
      <w:r>
        <w:t xml:space="preserve">headline regression, rather than being silently absorbed. All three</w:t>
      </w:r>
      <w:r>
        <w:t xml:space="preserve"> </w:t>
      </w:r>
      <w:r>
        <w:t xml:space="preserve">treatments — heuristic (historical), corrected-in-place (current</w:t>
      </w:r>
      <w:r>
        <w:t xml:space="preserve"> </w:t>
      </w:r>
      <w:r>
        <w:t xml:space="preserve">headline), and excluded — agree on sign and significance (θ₂&gt;0, p&lt;0.001</w:t>
      </w:r>
      <w:r>
        <w:t xml:space="preserve"> </w:t>
      </w:r>
      <w:r>
        <w:t xml:space="preserve">throughout), so the mechanism mismatch does not overturn the paper’s</w:t>
      </w:r>
      <w:r>
        <w:t xml:space="preserve"> </w:t>
      </w:r>
      <w:r>
        <w:t xml:space="preserve">qualitative conclusion, but it does move the point estimate by a</w:t>
      </w:r>
      <w:r>
        <w:t xml:space="preserve"> </w:t>
      </w:r>
      <w:r>
        <w:t xml:space="preserve">magnitude (0.013, about a fifth of one standard error) worth reporting</w:t>
      </w:r>
      <w:r>
        <w:t xml:space="preserve"> </w:t>
      </w:r>
      <w:r>
        <w:t xml:space="preserve">explicitly rather than leaving as an unaddressed labelling problem. E.5</w:t>
      </w:r>
      <w:r>
        <w:t xml:space="preserve"> </w:t>
      </w:r>
      <w:r>
        <w:t xml:space="preserve">Power Analysis for the Verified-Only Stratum. This calculation was last</w:t>
      </w:r>
      <w:r>
        <w:t xml:space="preserve"> </w:t>
      </w:r>
      <w:r>
        <w:t xml:space="preserve">computed on the pre-landsbanki n=12 verified regression (θ₂=0.3126,</w:t>
      </w:r>
      <w:r>
        <w:t xml:space="preserve"> </w:t>
      </w:r>
      <w:r>
        <w:t xml:space="preserve">SE=0.2866, p=0.30) and required updating once landsbanki’s</w:t>
      </w:r>
      <w:r>
        <w:t xml:space="preserve"> </w:t>
      </w:r>
      <w:r>
        <w:t xml:space="preserve">re-verification changed the verified-only point estimate itself (§7.3,</w:t>
      </w:r>
      <w:r>
        <w:t xml:space="preserve"> </w:t>
      </w:r>
      <w:r>
        <w:t xml:space="preserve">item 12), not just its sample size. On the current n=15 stratum</w:t>
      </w:r>
      <w:r>
        <w:t xml:space="preserve"> </w:t>
      </w:r>
      <w:r>
        <w:t xml:space="preserve">(Appendix F; θ₂=0.085, SE=0.2888, p=0.774), repeating the identical</w:t>
      </w:r>
      <w:r>
        <w:t xml:space="preserve"> </w:t>
      </w:r>
      <w:r>
        <w:t xml:space="preserve">power calculation — same method, same SE ∝ 1/√n scaling, same α=0.05</w:t>
      </w:r>
      <w:r>
        <w:t xml:space="preserve"> </w:t>
      </w:r>
      <w:r>
        <w:t xml:space="preserve">two-sided test — changes the answer by two orders of magnitude:</w:t>
      </w:r>
      <w:r>
        <w:t xml:space="preserve"> </w:t>
      </w:r>
      <w:r>
        <w:t xml:space="preserve">because the observed effect itself has collapsed toward zero, not just</w:t>
      </w:r>
      <w:r>
        <w:t xml:space="preserve"> </w:t>
      </w:r>
      <w:r>
        <w:t xml:space="preserve">its precision, a two-sided t-test now requires approximately n≈ 2,650</w:t>
      </w:r>
      <w:r>
        <w:t xml:space="preserve"> </w:t>
      </w:r>
      <w:r>
        <w:t xml:space="preserve">verified episodes to reach conventional (80%) power, versus the n≈ 85</w:t>
      </w:r>
      <w:r>
        <w:t xml:space="preserve"> </w:t>
      </w:r>
      <w:r>
        <w:t xml:space="preserve">implied by the pre-landsbanki estimate. This number is reported because</w:t>
      </w:r>
      <w:r>
        <w:t xml:space="preserve"> </w:t>
      </w:r>
      <w:r>
        <w:t xml:space="preserve">the calculation is mechanical and the input changed, not because it is</w:t>
      </w:r>
      <w:r>
        <w:t xml:space="preserve"> </w:t>
      </w:r>
      <w:r>
        <w:t xml:space="preserve">read as a literal acquisition target: n≈ 2,650 verified episodes exceeds</w:t>
      </w:r>
      <w:r>
        <w:t xml:space="preserve"> </w:t>
      </w:r>
      <w:r>
        <w:t xml:space="preserve">any plausible expansion of this panel, including the ≈150-failure BIS</w:t>
      </w:r>
      <w:r>
        <w:t xml:space="preserve"> </w:t>
      </w:r>
      <w:r>
        <w:t xml:space="preserve">Crisis Management Database ceiling cited in Section 7.4(i) as the single</w:t>
      </w:r>
      <w:r>
        <w:t xml:space="preserve"> </w:t>
      </w:r>
      <w:r>
        <w:t xml:space="preserve">largest identified source. The substantive conclusion is therefore</w:t>
      </w:r>
      <w:r>
        <w:t xml:space="preserve"> </w:t>
      </w:r>
      <w:r>
        <w:t xml:space="preserve">narrower and more cautious than the pre-landsbanki version of this</w:t>
      </w:r>
      <w:r>
        <w:t xml:space="preserve"> </w:t>
      </w:r>
      <w:r>
        <w:t xml:space="preserve">appendix: the verified-only stratum cannot be made self-sufficient at</w:t>
      </w:r>
      <w:r>
        <w:t xml:space="preserve"> </w:t>
      </w:r>
      <w:r>
        <w:t xml:space="preserve">conventional power through further primary-source acquisition alone, and</w:t>
      </w:r>
      <w:r>
        <w:t xml:space="preserve"> </w:t>
      </w:r>
      <w:r>
        <w:t xml:space="preserve">the paper’s inference for θ₂ continues to rest on the full panel and the</w:t>
      </w:r>
      <w:r>
        <w:t xml:space="preserve"> </w:t>
      </w:r>
      <w:r>
        <w:t xml:space="preserve">Appendix E.7 heterogeneity test — which does not reject equal slopes</w:t>
      </w:r>
      <w:r>
        <w:t xml:space="preserve"> </w:t>
      </w:r>
      <w:r>
        <w:t xml:space="preserve">across tiers — rather than on an eventual independent confirmation</w:t>
      </w:r>
      <w:r>
        <w:t xml:space="preserve"> </w:t>
      </w:r>
      <w:r>
        <w:t xml:space="preserve">from verified data alone. This estimate follows the same approximation</w:t>
      </w:r>
      <w:r>
        <w:t xml:space="preserve"> </w:t>
      </w:r>
      <w:r>
        <w:t xml:space="preserve">used throughout Appendix E (SE scaling holding the observed</w:t>
      </w:r>
      <w:r>
        <w:t xml:space="preserve"> </w:t>
      </w:r>
      <w:r>
        <w:t xml:space="preserve">signal-to-noise ratio fixed rather than a full re-simulated power curve)</w:t>
      </w:r>
      <w:r>
        <w:t xml:space="preserve"> </w:t>
      </w:r>
      <w:r>
        <w:t xml:space="preserve">and should be treated accordingly; a reader wishing to confirm the exact</w:t>
      </w:r>
      <w:r>
        <w:t xml:space="preserve"> </w:t>
      </w:r>
      <w:r>
        <w:t xml:space="preserve">n≈ 2,650 figure should re-run it against engines/ols_calibration.py</w:t>
      </w:r>
      <w:r>
        <w:t xml:space="preserve"> </w:t>
      </w:r>
      <w:r>
        <w:t xml:space="preserve">rather than take it as independently re-verified here.E.6 Acute-Window</w:t>
      </w:r>
      <w:r>
        <w:t xml:space="preserve"> </w:t>
      </w:r>
      <w:r>
        <w:t xml:space="preserve">Definition and Length Normalization. Verified episodes in this panel</w:t>
      </w:r>
      <w:r>
        <w:t xml:space="preserve"> </w:t>
      </w:r>
      <w:r>
        <w:t xml:space="preserve">span acute windows of 1–11 business days (wachovia: 1 day; indymac: 11</w:t>
      </w:r>
      <w:r>
        <w:t xml:space="preserve"> </w:t>
      </w:r>
      <w:r>
        <w:t xml:space="preserve">days; washington_mutual: 9–10 days), while the full panel’s window_days</w:t>
      </w:r>
      <w:r>
        <w:t xml:space="preserve"> </w:t>
      </w:r>
      <w:r>
        <w:t xml:space="preserve">variable ranges 0–180 days across all reliability tiers — including</w:t>
      </w:r>
      <w:r>
        <w:t xml:space="preserve"> </w:t>
      </w:r>
      <w:r>
        <w:t xml:space="preserve">corus_bank’s corrected ≈180-day window (§7.3, item 8) and</w:t>
      </w:r>
      <w:r>
        <w:t xml:space="preserve"> </w:t>
      </w:r>
      <w:r>
        <w:t xml:space="preserve">guaranty_bank’s 0-day window (item 7, reflecting that no acute outflow</w:t>
      </w:r>
      <w:r>
        <w:t xml:space="preserve"> </w:t>
      </w:r>
      <w:r>
        <w:t xml:space="preserve">event exists to bound) — reflecting genuinely different crisis</w:t>
      </w:r>
      <w:r>
        <w:t xml:space="preserve"> </w:t>
      </w:r>
      <w:r>
        <w:t xml:space="preserve">timescales rather than a single consistent measurement protocol, a</w:t>
      </w:r>
      <w:r>
        <w:t xml:space="preserve"> </w:t>
      </w:r>
      <w:r>
        <w:t xml:space="preserve">limitation already noted in §7.2 (L2, the resolution-mismatch</w:t>
      </w:r>
      <w:r>
        <w:t xml:space="preserve"> </w:t>
      </w:r>
      <w:r>
        <w:t xml:space="preserve">discussion). guaranty_bank is excluded from both checks below (n=78),</w:t>
      </w:r>
      <w:r>
        <w:t xml:space="preserve"> </w:t>
      </w:r>
      <w:r>
        <w:t xml:space="preserve">since log(0) is undefined and a zero-numerator daily rate is not</w:t>
      </w:r>
      <w:r>
        <w:t xml:space="preserve"> </w:t>
      </w:r>
      <w:r>
        <w:t xml:space="preserve">informative for either specification; the correction itself already</w:t>
      </w:r>
      <w:r>
        <w:t xml:space="preserve"> </w:t>
      </w:r>
      <w:r>
        <w:t xml:space="preserve">speaks to guaranty_bank’s case directly (§7.3, item 7; Appendix E.4).</w:t>
      </w:r>
      <w:r>
        <w:t xml:space="preserve"> </w:t>
      </w:r>
      <w:r>
        <w:t xml:space="preserve">First, adding log(window_days) as a covariate: peak_outflow = κ + θ₁S +</w:t>
      </w:r>
      <w:r>
        <w:t xml:space="preserve"> </w:t>
      </w:r>
      <w:r>
        <w:t xml:space="preserve">θ₂(C×S) + θ_w·log(window_days). θ₂ remains positive and significant —</w:t>
      </w:r>
      <w:r>
        <w:t xml:space="preserve"> </w:t>
      </w:r>
      <w:r>
        <w:t xml:space="preserve">0.1623 (SE=0.0589, t=2.76, p=0.007) — though attenuated from the</w:t>
      </w:r>
      <w:r>
        <w:t xml:space="preserve"> </w:t>
      </w:r>
      <w:r>
        <w:t xml:space="preserve">headline 0.2466, while θ_w itself is negative and highly significant</w:t>
      </w:r>
      <w:r>
        <w:t xml:space="preserve"> </w:t>
      </w:r>
      <w:r>
        <w:t xml:space="preserve">(−0.0122, SE=0.0028, t=−4.34, p&lt;0.0001), confirming that longer acute</w:t>
      </w:r>
      <w:r>
        <w:t xml:space="preserve"> </w:t>
      </w:r>
      <w:r>
        <w:t xml:space="preserve">windows are associated with structurally lower peak_outflow rates, as</w:t>
      </w:r>
      <w:r>
        <w:t xml:space="preserve"> </w:t>
      </w:r>
      <w:r>
        <w:t xml:space="preserve">expected, and that the concentration×shock channel is not simply an</w:t>
      </w:r>
      <w:r>
        <w:t xml:space="preserve"> </w:t>
      </w:r>
      <w:r>
        <w:t xml:space="preserve">artefact of uncontrolled window-length variation. Second, a fully</w:t>
      </w:r>
      <w:r>
        <w:t xml:space="preserve"> </w:t>
      </w:r>
      <w:r>
        <w:t xml:space="preserve">normalized specification regressing the daily outflow rate</w:t>
      </w:r>
      <w:r>
        <w:t xml:space="preserve"> </w:t>
      </w:r>
      <w:r>
        <w:t xml:space="preserve">(peak_outflow/window_days) on the same covariates gives θ₂=0.1612</w:t>
      </w:r>
      <w:r>
        <w:t xml:space="preserve"> </w:t>
      </w:r>
      <w:r>
        <w:t xml:space="preserve">(SE=0.0283, t=5.71, p&lt;0.0001, n=78) — more precisely estimated than</w:t>
      </w:r>
      <w:r>
        <w:t xml:space="preserve"> </w:t>
      </w:r>
      <w:r>
        <w:t xml:space="preserve">the headline specification, not less, because normalizing by window</w:t>
      </w:r>
      <w:r>
        <w:t xml:space="preserve"> </w:t>
      </w:r>
      <w:r>
        <w:t xml:space="preserve">length removes a substantial source of unexplained variance. Both checks</w:t>
      </w:r>
      <w:r>
        <w:t xml:space="preserve"> </w:t>
      </w:r>
      <w:r>
        <w:t xml:space="preserve">confirm the same qualitative conclusion under an explicit, alternative</w:t>
      </w:r>
      <w:r>
        <w:t xml:space="preserve"> </w:t>
      </w:r>
      <w:r>
        <w:t xml:space="preserve">treatment of window-length heterogeneity: the channel survives, its</w:t>
      </w:r>
      <w:r>
        <w:t xml:space="preserve"> </w:t>
      </w:r>
      <w:r>
        <w:t xml:space="preserve">magnitude in per-day terms is smaller than the raw peak_outflow</w:t>
      </w:r>
      <w:r>
        <w:t xml:space="preserve"> </w:t>
      </w:r>
      <w:r>
        <w:t xml:space="preserve">magnitude (as expected, since raw peak_outflow conflates level and</w:t>
      </w:r>
      <w:r>
        <w:t xml:space="preserve"> </w:t>
      </w:r>
      <w:r>
        <w:t xml:space="preserve">duration), and future panel revisions should report both raw and</w:t>
      </w:r>
      <w:r>
        <w:t xml:space="preserve"> </w:t>
      </w:r>
      <w:r>
        <w:t xml:space="preserve">window-normalized peak_outflow specifications rather than only the</w:t>
      </w:r>
      <w:r>
        <w:t xml:space="preserve"> </w:t>
      </w:r>
      <w:r>
        <w:t xml:space="preserve">former, which this appendix retroactively adds as a permanent</w:t>
      </w:r>
      <w:r>
        <w:t xml:space="preserve"> </w:t>
      </w:r>
      <w:r>
        <w:t xml:space="preserve">recommendation (Section 7.4). E.7 Formal Test of Verified/Estimated</w:t>
      </w:r>
      <w:r>
        <w:t xml:space="preserve"> </w:t>
      </w:r>
      <w:r>
        <w:t xml:space="preserve">Slope Heterogeneity. §7.3 item 12 and Appendix F report that the</w:t>
      </w:r>
      <w:r>
        <w:t xml:space="preserve"> </w:t>
      </w:r>
      <w:r>
        <w:t xml:space="preserve">verified-only stratum’s point estimate under this alternative</w:t>
      </w:r>
      <w:r>
        <w:t xml:space="preserve"> </w:t>
      </w:r>
      <w:r>
        <w:t xml:space="preserve">specification (θ₂=0.085, n=15) sits far from the full-panel headline</w:t>
      </w:r>
      <w:r>
        <w:t xml:space="preserve"> </w:t>
      </w:r>
      <w:r>
        <w:t xml:space="preserve">(0.2466) and the estimated-only estimate (0.4384). Compared informally,</w:t>
      </w:r>
      <w:r>
        <w:t xml:space="preserve"> </w:t>
      </w:r>
      <w:r>
        <w:t xml:space="preserve">these look like a contradiction. Compared formally, they are not: a</w:t>
      </w:r>
      <w:r>
        <w:t xml:space="preserve"> </w:t>
      </w:r>
      <w:r>
        <w:t xml:space="preserve">pooled regression on the full n=81 panel, peak_outflow = κ + θ₂·(C×S) +</w:t>
      </w:r>
      <w:r>
        <w:t xml:space="preserve"> </w:t>
      </w:r>
      <w:r>
        <w:t xml:space="preserve">γ·verified + δ·verified·(C×S), tests whether the concentration×shock</w:t>
      </w:r>
      <w:r>
        <w:t xml:space="preserve"> </w:t>
      </w:r>
      <w:r>
        <w:t xml:space="preserve">slope genuinely differs by reliability tier. The interaction term δ</w:t>
      </w:r>
      <w:r>
        <w:t xml:space="preserve"> </w:t>
      </w:r>
      <w:r>
        <w:t xml:space="preserve">(verified_x_CxS) is 0.0387 (SE=0.0739, t=0.524, p=0.602, 95% CI</w:t>
      </w:r>
      <w:r>
        <w:t xml:space="preserve"> </w:t>
      </w:r>
      <w:r>
        <w:t xml:space="preserve">[−0.108, 0.186]) — not statistically distinguishable from zero. The</w:t>
      </w:r>
      <w:r>
        <w:t xml:space="preserve"> </w:t>
      </w:r>
      <w:r>
        <w:t xml:space="preserve">base (estimated-tier) slope is 0.2697 (SE=0.0352, p&lt;0.0001), close to</w:t>
      </w:r>
      <w:r>
        <w:t xml:space="preserve"> </w:t>
      </w:r>
      <w:r>
        <w:t xml:space="preserve">the full-panel headline, and the verified-tier intercept shift (γ, the</w:t>
      </w:r>
      <w:r>
        <w:t xml:space="preserve"> </w:t>
      </w:r>
      <w:r>
        <w:t xml:space="preserve">verified dummy) is likewise not significant (−0.0018, SE=0.0348,</w:t>
      </w:r>
      <w:r>
        <w:t xml:space="preserve"> </w:t>
      </w:r>
      <w:r>
        <w:t xml:space="preserve">p=0.958). In other words: this paper cannot reject the hypothesis that</w:t>
      </w:r>
      <w:r>
        <w:t xml:space="preserve"> </w:t>
      </w:r>
      <w:r>
        <w:t xml:space="preserve">verified and estimated episodes share the same concentration×shock</w:t>
      </w:r>
      <w:r>
        <w:t xml:space="preserve"> </w:t>
      </w:r>
      <w:r>
        <w:t xml:space="preserve">slope. The verified-only stratum’s divergent point estimate is what a</w:t>
      </w:r>
      <w:r>
        <w:t xml:space="preserve"> </w:t>
      </w:r>
      <w:r>
        <w:t xml:space="preserve">small, imprecise sample looks like when the true slope is positive and</w:t>
      </w:r>
      <w:r>
        <w:t xml:space="preserve"> </w:t>
      </w:r>
      <w:r>
        <w:t xml:space="preserve">moderate in size — not evidence of a different, or absent, effect in</w:t>
      </w:r>
      <w:r>
        <w:t xml:space="preserve"> </w:t>
      </w:r>
      <w:r>
        <w:t xml:space="preserve">the verified data. This is confirmed independently by interval</w:t>
      </w:r>
      <w:r>
        <w:t xml:space="preserve"> </w:t>
      </w:r>
      <w:r>
        <w:t xml:space="preserve">arithmetic: the verified-only 95% CI is [−0.557, 0.665] (Appendix F),</w:t>
      </w:r>
      <w:r>
        <w:t xml:space="preserve"> </w:t>
      </w:r>
      <w:r>
        <w:t xml:space="preserve">which comfortably contains the full-panel point estimate 0.256. A</w:t>
      </w:r>
      <w:r>
        <w:t xml:space="preserve"> </w:t>
      </w:r>
      <w:r>
        <w:t xml:space="preserve">range-restriction explanation was also tested and rejected: the verified</w:t>
      </w:r>
      <w:r>
        <w:t xml:space="preserve"> </w:t>
      </w:r>
      <w:r>
        <w:t xml:space="preserve">subsample’s concentration×shock values are, if anything, more dispersed</w:t>
      </w:r>
      <w:r>
        <w:t xml:space="preserve"> </w:t>
      </w:r>
      <w:r>
        <w:t xml:space="preserve">than the estimated subsample’s (variance ratio 1.48), so the imprecision</w:t>
      </w:r>
      <w:r>
        <w:t xml:space="preserve"> </w:t>
      </w:r>
      <w:r>
        <w:t xml:space="preserve">is a small-sample effect, not a restricted-range effect. This test</w:t>
      </w:r>
      <w:r>
        <w:t xml:space="preserve"> </w:t>
      </w:r>
      <w:r>
        <w:t xml:space="preserve">(engines/ols_calibration.py::heterogeneity_test()) is reported</w:t>
      </w:r>
      <w:r>
        <w:t xml:space="preserve"> </w:t>
      </w:r>
      <w:r>
        <w:t xml:space="preserve">prominently because it directly answers the most natural objection a</w:t>
      </w:r>
      <w:r>
        <w:t xml:space="preserve"> </w:t>
      </w:r>
      <w:r>
        <w:t xml:space="preserve">reader of Table 2a and Appendix F will raise, rather than leaving that</w:t>
      </w:r>
      <w:r>
        <w:t xml:space="preserve"> </w:t>
      </w:r>
      <w:r>
        <w:t xml:space="preserve">objection to informal eyeballing of point estimates. A caveat is owed on</w:t>
      </w:r>
      <w:r>
        <w:t xml:space="preserve"> </w:t>
      </w:r>
      <w:r>
        <w:t xml:space="preserve">the interpretation of this non-significant result, and is stated</w:t>
      </w:r>
      <w:r>
        <w:t xml:space="preserve"> </w:t>
      </w:r>
      <w:r>
        <w:t xml:space="preserve">explicitly rather than left implicit: failing to reject the</w:t>
      </w:r>
      <w:r>
        <w:t xml:space="preserve"> </w:t>
      </w:r>
      <w:r>
        <w:t xml:space="preserve">no-heterogeneity null is not the same as confirming it, and this test’s</w:t>
      </w:r>
      <w:r>
        <w:t xml:space="preserve"> </w:t>
      </w:r>
      <w:r>
        <w:t xml:space="preserve">own power is limited by the same n=15 verified count driving the</w:t>
      </w:r>
      <w:r>
        <w:t xml:space="preserve"> </w:t>
      </w:r>
      <w:r>
        <w:t xml:space="preserve">imprecision it is being used to explain. A power calculation analogous</w:t>
      </w:r>
      <w:r>
        <w:t xml:space="preserve"> </w:t>
      </w:r>
      <w:r>
        <w:t xml:space="preserve">to Appendix E.5 shows this interaction test would detect a true slope</w:t>
      </w:r>
      <w:r>
        <w:t xml:space="preserve"> </w:t>
      </w:r>
      <w:r>
        <w:t xml:space="preserve">difference of ≈ 0.22 or larger (about 80% of the base estimated-tier</w:t>
      </w:r>
      <w:r>
        <w:t xml:space="preserve"> </w:t>
      </w:r>
      <w:r>
        <w:t xml:space="preserve">slope of 0.2697) with 80% power, but a more modest, still economically</w:t>
      </w:r>
      <w:r>
        <w:t xml:space="preserve"> </w:t>
      </w:r>
      <w:r>
        <w:t xml:space="preserve">meaningful difference — for instance, the verified-tier slope being</w:t>
      </w:r>
      <w:r>
        <w:t xml:space="preserve"> </w:t>
      </w:r>
      <w:r>
        <w:t xml:space="preserve">genuinely half the estimated-tier slope (Δ≈0.135) — would go</w:t>
      </w:r>
      <w:r>
        <w:t xml:space="preserve"> </w:t>
      </w:r>
      <w:r>
        <w:t xml:space="preserve">undetected roughly 58% of the time at the current sample size. The</w:t>
      </w:r>
      <w:r>
        <w:t xml:space="preserve"> </w:t>
      </w:r>
      <w:r>
        <w:t xml:space="preserve">correct reading is therefore narrower than</w:t>
      </w:r>
      <w:r>
        <w:t xml:space="preserve"> </w:t>
      </w:r>
      <w:r>
        <w:t xml:space="preserve">“</w:t>
      </w:r>
      <w:r>
        <w:t xml:space="preserve">no heterogeneity</w:t>
      </w:r>
      <w:r>
        <w:t xml:space="preserve">”</w:t>
      </w:r>
      <w:r>
        <w:t xml:space="preserve">: this</w:t>
      </w:r>
      <w:r>
        <w:t xml:space="preserve"> </w:t>
      </w:r>
      <w:r>
        <w:t xml:space="preserve">paper has no statistically significant evidence of heterogeneity, and</w:t>
      </w:r>
      <w:r>
        <w:t xml:space="preserve"> </w:t>
      </w:r>
      <w:r>
        <w:t xml:space="preserve">the verified-only point estimate is fully consistent with homogeneity,</w:t>
      </w:r>
      <w:r>
        <w:t xml:space="preserve"> </w:t>
      </w:r>
      <w:r>
        <w:t xml:space="preserve">but a moderate genuine difference between tiers cannot be ruled out at</w:t>
      </w:r>
      <w:r>
        <w:t xml:space="preserve"> </w:t>
      </w:r>
      <w:r>
        <w:t xml:space="preserve">the current n. This is the same underlying constraint as Appendix E.5’s</w:t>
      </w:r>
      <w:r>
        <w:t xml:space="preserve"> </w:t>
      </w:r>
      <w:r>
        <w:t xml:space="preserve">power calculation, restated here for the specific hypothesis this test</w:t>
      </w:r>
      <w:r>
        <w:t xml:space="preserve"> </w:t>
      </w:r>
      <w:r>
        <w:t xml:space="preserve">addresses, and it strengthens rather than weakens the case in</w:t>
      </w:r>
      <w:r>
        <w:t xml:space="preserve"> </w:t>
      </w:r>
      <w:r>
        <w:t xml:space="preserve">Section 7.4 for expanding the verified panel: doing so would sharpen</w:t>
      </w:r>
      <w:r>
        <w:t xml:space="preserve"> </w:t>
      </w:r>
      <w:r>
        <w:t xml:space="preserve">both the headline verified-only estimate and this heterogeneity test</w:t>
      </w:r>
      <w:r>
        <w:t xml:space="preserve"> </w:t>
      </w:r>
      <w:r>
        <w:t xml:space="preserve">simultaneously.</w:t>
      </w:r>
    </w:p>
    <w:bookmarkEnd w:id="32"/>
    <w:bookmarkEnd w:id="33"/>
    <w:bookmarkStart w:id="34" w:name="X046d11c9df6ae3e5e39c927f8b687cf2955f490"/>
    <w:p>
      <w:pPr>
        <w:pStyle w:val="1"/>
      </w:pPr>
      <w:r>
        <w:rPr>
          <w:bCs/>
          <w:b/>
        </w:rPr>
        <w:t xml:space="preserve">Appendix F. Verified vs. Estimated Coefficient Comparison</w:t>
      </w:r>
    </w:p>
    <w:p>
      <w:pPr>
        <w:pStyle w:val="FirstParagraph"/>
      </w:pPr>
      <w:r>
        <w:t xml:space="preserve">To test whether the positive concentration×shock coefficient θ₂ is</w:t>
      </w:r>
      <w:r>
        <w:t xml:space="preserve"> </w:t>
      </w:r>
      <w:r>
        <w:t xml:space="preserve">driven by the estimated subset of the panel, the reduced-form</w:t>
      </w:r>
      <w:r>
        <w:t xml:space="preserve"> </w:t>
      </w:r>
      <w:r>
        <w:t xml:space="preserve">coefficient was re-estimated on the verified-only and estimated-only</w:t>
      </w:r>
      <w:r>
        <w:t xml:space="preserve"> </w:t>
      </w:r>
      <w:r>
        <w:t xml:space="preserve">strata using the open reconstructed panel (historical_loader). This</w:t>
      </w:r>
      <w:r>
        <w:t xml:space="preserve"> </w:t>
      </w:r>
      <w:r>
        <w:t xml:space="preserve">supplementary regression uses a reduced-form specification on the</w:t>
      </w:r>
      <w:r>
        <w:t xml:space="preserve"> </w:t>
      </w:r>
      <w:r>
        <w:t xml:space="preserve">reconstructed covariates, so the magnitudes differ from the primary</w:t>
      </w:r>
      <w:r>
        <w:t xml:space="preserve"> </w:t>
      </w:r>
      <w:r>
        <w:t xml:space="preserve">Table 2 estimate; the focus here is the sign and significance pattern</w:t>
      </w:r>
      <w:r>
        <w:t xml:space="preserve"> </w:t>
      </w:r>
      <w:r>
        <w:t xml:space="preserve">across strata. As with Appendix E, the strata below have been</w:t>
      </w:r>
      <w:r>
        <w:t xml:space="preserve"> </w:t>
      </w:r>
      <w:r>
        <w:t xml:space="preserve">re-estimated on the current n=15 (verified) / n=66 (estimated) split</w:t>
      </w:r>
      <w:r>
        <w:t xml:space="preserve"> </w:t>
      </w:r>
      <w:r>
        <w:t xml:space="preserve">following the indymac, wachovia, and landsbanki re-verifications (§7.3,</w:t>
      </w:r>
      <w:r>
        <w:t xml:space="preserve"> </w:t>
      </w:r>
      <w:r>
        <w:t xml:space="preserve">items 4, 6, and 12; §G.2).</w:t>
      </w:r>
    </w:p>
    <w:p>
      <w:pPr>
        <w:pStyle w:val="BodyText"/>
      </w:pPr>
      <w:r>
        <w:t xml:space="preserve">Stratum — n — θ₂(C×S) — SE — t — p — sign:</w:t>
      </w:r>
    </w:p>
    <w:p>
      <w:pPr>
        <w:pStyle w:val="BodyText"/>
      </w:pPr>
      <w:r>
        <w:t xml:space="preserve">Full panel — 81 — 0.3827 — 0.0719 — 5.323 — &lt;0.001 —</w:t>
      </w:r>
      <w:r>
        <w:t xml:space="preserve"> </w:t>
      </w:r>
      <w:r>
        <w:t xml:space="preserve">positive.</w:t>
      </w:r>
    </w:p>
    <w:p>
      <w:pPr>
        <w:pStyle w:val="BodyText"/>
      </w:pPr>
      <w:r>
        <w:t xml:space="preserve">Verified-only — 15 — 0.085 — 0.2888 — 0.29 — 0.774 —</w:t>
      </w:r>
      <w:r>
        <w:t xml:space="preserve"> </w:t>
      </w:r>
      <w:r>
        <w:t xml:space="preserve">positive but statistically null under this alternative specification;</w:t>
      </w:r>
      <w:r>
        <w:t xml:space="preserve"> </w:t>
      </w:r>
      <w:r>
        <w:t xml:space="preserve">significant under the primary specification (θ₂=0.7451, p=0.0325, §7.4).</w:t>
      </w:r>
    </w:p>
    <w:p>
      <w:pPr>
        <w:pStyle w:val="BodyText"/>
      </w:pPr>
      <w:r>
        <w:t xml:space="preserve">Estimated-only — 66 — 0.4384 — 0.0568 — 7.71 — &lt;0.001 —</w:t>
      </w:r>
      <w:r>
        <w:t xml:space="preserve"> </w:t>
      </w:r>
      <w:r>
        <w:t xml:space="preserve">positive.</w:t>
      </w:r>
    </w:p>
    <w:p>
      <w:pPr>
        <w:pStyle w:val="BodyText"/>
      </w:pPr>
      <w:r>
        <w:t xml:space="preserve">The sign of θ₂ is positive in all three strata. The verified-only</w:t>
      </w:r>
      <w:r>
        <w:t xml:space="preserve"> </w:t>
      </w:r>
      <w:r>
        <w:t xml:space="preserve">estimate under this alternative specification is positive but</w:t>
      </w:r>
      <w:r>
        <w:t xml:space="preserve"> </w:t>
      </w:r>
      <w:r>
        <w:t xml:space="preserve">statistically null (n=15, the verified episodes in Table 1 after §G.2</w:t>
      </w:r>
      <w:r>
        <w:t xml:space="preserve"> </w:t>
      </w:r>
      <w:r>
        <w:t xml:space="preserve">reconciliation, the §7.3 indymac, wachovia, and landsbanki</w:t>
      </w:r>
      <w:r>
        <w:t xml:space="preserve"> </w:t>
      </w:r>
      <w:r>
        <w:t xml:space="preserve">re-verifications, and the §7.4 bank_of_new_england and</w:t>
      </w:r>
      <w:r>
        <w:t xml:space="preserve"> </w:t>
      </w:r>
      <w:r>
        <w:t xml:space="preserve">countrywide_financial additions) — though the same n=15 stratum is</w:t>
      </w:r>
      <w:r>
        <w:t xml:space="preserve"> </w:t>
      </w:r>
      <w:r>
        <w:t xml:space="preserve">significant under the paper’s primary specification (θ₂=0.7451,</w:t>
      </w:r>
      <w:r>
        <w:t xml:space="preserve"> </w:t>
      </w:r>
      <w:r>
        <w:t xml:space="preserve">p=0.0325); the estimated-only and full-panel estimates remain highly</w:t>
      </w:r>
      <w:r>
        <w:t xml:space="preserve"> </w:t>
      </w:r>
      <w:r>
        <w:t xml:space="preserve">significant under both specifications. The positive concentration×shock</w:t>
      </w:r>
      <w:r>
        <w:t xml:space="preserve"> </w:t>
      </w:r>
      <w:r>
        <w:t xml:space="preserve">association is therefore not an artifact of the estimated episodes,</w:t>
      </w:r>
      <w:r>
        <w:t xml:space="preserve"> </w:t>
      </w:r>
      <w:r>
        <w:t xml:space="preserve">although its statistical precision relies on the full panel. A larger</w:t>
      </w:r>
      <w:r>
        <w:t xml:space="preserve"> </w:t>
      </w:r>
      <w:r>
        <w:t xml:space="preserve">set of primary-source-verified episodes is the most direct way to</w:t>
      </w:r>
      <w:r>
        <w:t xml:space="preserve"> </w:t>
      </w:r>
      <w:r>
        <w:t xml:space="preserve">tighten this interval (priority i, Section 7.4). The concrete roadmap</w:t>
      </w:r>
      <w:r>
        <w:t xml:space="preserve"> </w:t>
      </w:r>
      <w:r>
        <w:t xml:space="preserve">— BIS Crisis Management Database, FDIC Historical Statistics, and ECB</w:t>
      </w:r>
      <w:r>
        <w:t xml:space="preserve"> </w:t>
      </w:r>
      <w:r>
        <w:t xml:space="preserve">Supervisory Banking Statistics — is outlined in Section 7.4 and, if</w:t>
      </w:r>
      <w:r>
        <w:t xml:space="preserve"> </w:t>
      </w:r>
      <w:r>
        <w:t xml:space="preserve">executed, would target the digital-run stratum (currently n=7 under the</w:t>
      </w:r>
      <w:r>
        <w:t xml:space="preserve"> </w:t>
      </w:r>
      <w:r>
        <w:t xml:space="preserve">reconciled panel) as the highest-leverage expansion given its role in</w:t>
      </w:r>
      <w:r>
        <w:t xml:space="preserve"> </w:t>
      </w:r>
      <w:r>
        <w:t xml:space="preserve">the MCMC collapse (Appendix C) and the regime-specific robustness checks</w:t>
      </w:r>
      <w:r>
        <w:t xml:space="preserve"> </w:t>
      </w:r>
      <w:r>
        <w:t xml:space="preserve">(Table 2a).</w:t>
      </w:r>
    </w:p>
    <w:p>
      <w:pPr>
        <w:pStyle w:val="BodyText"/>
      </w:pPr>
      <w:r>
        <w:rPr>
          <w:bCs/>
          <w:b/>
        </w:rPr>
        <w:t xml:space="preserve">Table F2. Weighted OLS Robustness — Reliability-Weighted θ₂</w:t>
      </w:r>
      <w:r>
        <w:rPr>
          <w:bCs/>
          <w:b/>
        </w:rPr>
        <w:t xml:space="preserve"> </w:t>
      </w:r>
      <w:r>
        <w:rPr>
          <w:bCs/>
          <w:b/>
        </w:rPr>
        <w:t xml:space="preserve">Estimates</w:t>
      </w:r>
    </w:p>
    <w:tbl>
      <w:tblPr>
        <w:tblStyle w:val="Table"/>
        <w:tblW w:type="pct" w:w="4900"/>
        <w:jc w:val="start"/>
        <w:tblLook w:firstRow="1" w:lastRow="0" w:firstColumn="0" w:lastColumn="0" w:noHBand="0" w:noVBand="0" w:val="0020"/>
      </w:tblPr>
      <w:tblGrid>
        <w:gridCol w:w="1584"/>
        <w:gridCol w:w="633"/>
        <w:gridCol w:w="792"/>
        <w:gridCol w:w="712"/>
        <w:gridCol w:w="1029"/>
        <w:gridCol w:w="1108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θ₂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(C×S)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 weight (OLS)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Verified=1.0 /</w:t>
            </w:r>
            <w:r>
              <w:t xml:space="preserve"> </w:t>
            </w:r>
            <w:r>
              <w:t xml:space="preserve">Estimated=0.50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Verified=1.0 /</w:t>
            </w:r>
            <w:r>
              <w:t xml:space="preserve"> </w:t>
            </w:r>
            <w:r>
              <w:t xml:space="preserve">Estimated=0.30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Verified-only</w:t>
            </w:r>
            <w:r>
              <w:t xml:space="preserve"> </w:t>
            </w:r>
            <w:r>
              <w:t xml:space="preserve">(unweighted)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but</w:t>
            </w:r>
            <w:r>
              <w:t xml:space="preserve"> </w:t>
            </w:r>
            <w:r>
              <w:t xml:space="preserve">statistically null</w:t>
            </w:r>
            <w:r>
              <w:t xml:space="preserve"> </w:t>
            </w:r>
            <w:r>
              <w:t xml:space="preserve">under this alternative</w:t>
            </w:r>
            <w:r>
              <w:t xml:space="preserve"> </w:t>
            </w:r>
            <w:r>
              <w:t xml:space="preserve">specification (n=15);</w:t>
            </w:r>
            <w:r>
              <w:t xml:space="preserve"> </w:t>
            </w:r>
            <w:r>
              <w:t xml:space="preserve">significant under the</w:t>
            </w:r>
            <w:r>
              <w:t xml:space="preserve"> </w:t>
            </w:r>
            <w:r>
              <w:t xml:space="preserve">primary specification</w:t>
            </w:r>
            <w:r>
              <w:t xml:space="preserve"> </w:t>
            </w:r>
            <w:r>
              <w:t xml:space="preserve">(θ₂=0.7451, p=0.0325)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Notes: Weighted OLS applies per-observation weights based on data</w:t>
      </w:r>
      <w:r>
        <w:rPr>
          <w:iCs/>
          <w:i/>
        </w:rPr>
        <w:t xml:space="preserve"> </w:t>
      </w:r>
      <w:r>
        <w:rPr>
          <w:iCs/>
          <w:i/>
        </w:rPr>
        <w:t xml:space="preserve">provenance: verified=1.0, estimated=reduced weight, via the</w:t>
      </w:r>
      <w:r>
        <w:rPr>
          <w:iCs/>
          <w:i/>
        </w:rPr>
        <w:t xml:space="preserve"> </w:t>
      </w:r>
      <w:r>
        <w:rPr>
          <w:iCs/>
          <w:i/>
        </w:rPr>
        <w:t xml:space="preserve">appendix_f_weighted() routine added to ols_calibration.py this revision.</w:t>
      </w:r>
      <w:r>
        <w:rPr>
          <w:iCs/>
          <w:i/>
        </w:rPr>
        <w:t xml:space="preserve"> </w:t>
      </w:r>
      <w:r>
        <w:rPr>
          <w:iCs/>
          <w:i/>
        </w:rPr>
        <w:t xml:space="preserve">Four of five specifications retain θ₂&gt;0 and p&lt;0.001; the fifth</w:t>
      </w:r>
      <w:r>
        <w:rPr>
          <w:iCs/>
          <w:i/>
        </w:rPr>
        <w:t xml:space="preserve"> </w:t>
      </w:r>
      <w:r>
        <w:rPr>
          <w:iCs/>
          <w:i/>
        </w:rPr>
        <w:t xml:space="preserve">(verified-only, Appendix F check, n=15) has a point estimate of 0.085</w:t>
      </w:r>
      <w:r>
        <w:rPr>
          <w:iCs/>
          <w:i/>
        </w:rPr>
        <w:t xml:space="preserve"> </w:t>
      </w:r>
      <w:r>
        <w:rPr>
          <w:iCs/>
          <w:i/>
        </w:rPr>
        <w:t xml:space="preserve">(p=0.774) — though the same n=15 stratum is significant under the</w:t>
      </w:r>
      <w:r>
        <w:rPr>
          <w:iCs/>
          <w:i/>
        </w:rPr>
        <w:t xml:space="preserve"> </w:t>
      </w:r>
      <w:r>
        <w:rPr>
          <w:iCs/>
          <w:i/>
        </w:rPr>
        <w:t xml:space="preserve">paper’s primary specification (θ₂=0.7451, p=0.0325, §7.4). landsbanki’s</w:t>
      </w:r>
      <w:r>
        <w:rPr>
          <w:iCs/>
          <w:i/>
        </w:rPr>
        <w:t xml:space="preserve"> </w:t>
      </w:r>
      <w:r>
        <w:rPr>
          <w:iCs/>
          <w:i/>
        </w:rPr>
        <w:t xml:space="preserve">measured value (0.066) is low relative to its concentration and severity</w:t>
      </w:r>
      <w:r>
        <w:rPr>
          <w:iCs/>
          <w:i/>
        </w:rPr>
        <w:t xml:space="preserve"> </w:t>
      </w:r>
      <w:r>
        <w:rPr>
          <w:iCs/>
          <w:i/>
        </w:rPr>
        <w:t xml:space="preserve">levels, contributing to this specification sensitivity in the small-n</w:t>
      </w:r>
      <w:r>
        <w:rPr>
          <w:iCs/>
          <w:i/>
        </w:rPr>
        <w:t xml:space="preserve"> </w:t>
      </w:r>
      <w:r>
        <w:rPr>
          <w:iCs/>
          <w:i/>
        </w:rPr>
        <w:t xml:space="preserve">stratum. This divergence is not evidence of a different underlying</w:t>
      </w:r>
      <w:r>
        <w:rPr>
          <w:iCs/>
          <w:i/>
        </w:rPr>
        <w:t xml:space="preserve"> </w:t>
      </w:r>
      <w:r>
        <w:rPr>
          <w:iCs/>
          <w:i/>
        </w:rPr>
        <w:t xml:space="preserve">slope: a formal test (Appendix E.7) finds no statistically significant</w:t>
      </w:r>
      <w:r>
        <w:rPr>
          <w:iCs/>
          <w:i/>
        </w:rPr>
        <w:t xml:space="preserve"> </w:t>
      </w:r>
      <w:r>
        <w:rPr>
          <w:iCs/>
          <w:i/>
        </w:rPr>
        <w:t xml:space="preserve">difference between the verified-tier and estimated-tier</w:t>
      </w:r>
      <w:r>
        <w:rPr>
          <w:iCs/>
          <w:i/>
        </w:rPr>
        <w:t xml:space="preserve"> </w:t>
      </w:r>
      <w:r>
        <w:rPr>
          <w:iCs/>
          <w:i/>
        </w:rPr>
        <w:t xml:space="preserve">concentration×shock slopes (interaction p=0.602), and the verified-only</w:t>
      </w:r>
      <w:r>
        <w:rPr>
          <w:iCs/>
          <w:i/>
        </w:rPr>
        <w:t xml:space="preserve"> </w:t>
      </w:r>
      <w:r>
        <w:rPr>
          <w:iCs/>
          <w:i/>
        </w:rPr>
        <w:t xml:space="preserve">95% CI comfortably contains the full-panel estimate. The point estimate</w:t>
      </w:r>
      <w:r>
        <w:rPr>
          <w:iCs/>
          <w:i/>
        </w:rPr>
        <w:t xml:space="preserve"> </w:t>
      </w:r>
      <w:r>
        <w:rPr>
          <w:iCs/>
          <w:i/>
        </w:rPr>
        <w:t xml:space="preserve">is disclosed rather than smoothed over, but it should be read as what an</w:t>
      </w:r>
      <w:r>
        <w:rPr>
          <w:iCs/>
          <w:i/>
        </w:rPr>
        <w:t xml:space="preserve"> </w:t>
      </w:r>
      <w:r>
        <w:rPr>
          <w:iCs/>
          <w:i/>
        </w:rPr>
        <w:t xml:space="preserve">n=15 sample produces under sampling variation, not as a competing</w:t>
      </w:r>
      <w:r>
        <w:rPr>
          <w:iCs/>
          <w:i/>
        </w:rPr>
        <w:t xml:space="preserve"> </w:t>
      </w:r>
      <w:r>
        <w:rPr>
          <w:iCs/>
          <w:i/>
        </w:rPr>
        <w:t xml:space="preserve">finding. IMPORTANT — this is the same n=81 panel as Table 2, but a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 regression specification: peak_outflow ~ κ + C + θ₂·(C×S),</w:t>
      </w:r>
      <w:r>
        <w:rPr>
          <w:iCs/>
          <w:i/>
        </w:rPr>
        <w:t xml:space="preserve"> </w:t>
      </w:r>
      <w:r>
        <w:rPr>
          <w:iCs/>
          <w:i/>
        </w:rPr>
        <w:t xml:space="preserve">with concentration entered as a direct regressor instead of the severity</w:t>
      </w:r>
      <w:r>
        <w:rPr>
          <w:iCs/>
          <w:i/>
        </w:rPr>
        <w:t xml:space="preserve"> </w:t>
      </w:r>
      <w:r>
        <w:rPr>
          <w:iCs/>
          <w:i/>
        </w:rPr>
        <w:t xml:space="preserve">term θ₁·S used in Table 2 (peak_outflow ~ κ + θ₁·S + θ₂·(C×S)). This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 choice, not a different sample, accounts for the magnitude</w:t>
      </w:r>
      <w:r>
        <w:rPr>
          <w:iCs/>
          <w:i/>
        </w:rPr>
        <w:t xml:space="preserve"> </w:t>
      </w:r>
      <w:r>
        <w:rPr>
          <w:iCs/>
          <w:i/>
        </w:rPr>
        <w:t xml:space="preserve">difference between θ₂≈0.30–0.39 here and θ₂=0.2466 in Table 2; both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specifications agree on sign (the verified-only row aside, per above)</w:t>
      </w:r>
      <w:r>
        <w:rPr>
          <w:iCs/>
          <w:i/>
        </w:rPr>
        <w:t xml:space="preserve"> </w:t>
      </w:r>
      <w:r>
        <w:rPr>
          <w:iCs/>
          <w:i/>
        </w:rPr>
        <w:t xml:space="preserve">and on the ordinal conclusion that the concentration×shock interaction</w:t>
      </w:r>
      <w:r>
        <w:rPr>
          <w:iCs/>
          <w:i/>
        </w:rPr>
        <w:t xml:space="preserve"> </w:t>
      </w:r>
      <w:r>
        <w:rPr>
          <w:iCs/>
          <w:i/>
        </w:rPr>
        <w:t xml:space="preserve">is the primary driver. Table F2 should be read as a robustness check on</w:t>
      </w:r>
      <w:r>
        <w:rPr>
          <w:iCs/>
          <w:i/>
        </w:rPr>
        <w:t xml:space="preserve"> </w:t>
      </w:r>
      <w:r>
        <w:rPr>
          <w:iCs/>
          <w:i/>
        </w:rPr>
        <w:t xml:space="preserve">that qualitative conclusion under reliability weighting, not as an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 point estimate of the headline θ₂. All four rows are now</w:t>
      </w:r>
      <w:r>
        <w:rPr>
          <w:iCs/>
          <w:i/>
        </w:rPr>
        <w:t xml:space="preserve"> </w:t>
      </w:r>
      <w:r>
        <w:rPr>
          <w:iCs/>
          <w:i/>
        </w:rPr>
        <w:t xml:space="preserve">genuinely reproduced from the shipped package (w=1.0 reduces</w:t>
      </w:r>
      <w:r>
        <w:rPr>
          <w:iCs/>
          <w:i/>
        </w:rPr>
        <w:t xml:space="preserve"> </w:t>
      </w:r>
      <w:r>
        <w:rPr>
          <w:iCs/>
          <w:i/>
        </w:rPr>
        <w:t xml:space="preserve">algebraically to the unweighted appendix_f() estimate, confirmed</w:t>
      </w:r>
      <w:r>
        <w:rPr>
          <w:iCs/>
          <w:i/>
        </w:rPr>
        <w:t xml:space="preserve"> </w:t>
      </w:r>
      <w:r>
        <w:rPr>
          <w:iCs/>
          <w:i/>
        </w:rPr>
        <w:t xml:space="preserve">bit-for-bit as a correctness check); the previously-unreproducible</w:t>
      </w:r>
      <w:r>
        <w:rPr>
          <w:iCs/>
          <w:i/>
        </w:rPr>
        <w:t xml:space="preserve"> </w:t>
      </w:r>
      <w:r>
        <w:rPr>
          <w:iCs/>
          <w:i/>
        </w:rPr>
        <w:t xml:space="preserve">weighted rows and the separately-reported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equal-weight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0.4168 figure</w:t>
      </w:r>
      <w:r>
        <w:rPr>
          <w:iCs/>
          <w:i/>
        </w:rPr>
        <w:t xml:space="preserve"> </w:t>
      </w:r>
      <w:r>
        <w:rPr>
          <w:iCs/>
          <w:i/>
        </w:rPr>
        <w:t xml:space="preserve">(§G.2) have all been superseded by these values.</w:t>
      </w:r>
    </w:p>
    <w:p>
      <w:pPr>
        <w:pStyle w:val="BodyText"/>
      </w:pPr>
      <w:r>
        <w:rPr>
          <w:bCs/>
          <w:b/>
        </w:rPr>
        <w:t xml:space="preserve">Table F3. Worst-Case Parameter Perturbation Ranking Check (27</w:t>
      </w:r>
      <w:r>
        <w:rPr>
          <w:bCs/>
          <w:b/>
        </w:rPr>
        <w:t xml:space="preserve"> </w:t>
      </w:r>
      <w:r>
        <w:rPr>
          <w:bCs/>
          <w:b/>
        </w:rPr>
        <w:t xml:space="preserve">combinations, ±20% on concentration, digital, shock)</w:t>
      </w:r>
    </w:p>
    <w:tbl>
      <w:tblPr>
        <w:tblStyle w:val="Table"/>
        <w:tblW w:type="pct" w:w="4872"/>
        <w:jc w:val="start"/>
        <w:tblLook w:firstRow="1" w:lastRow="0" w:firstColumn="0" w:lastColumn="0" w:noHBand="0" w:noVBand="0" w:val="0020"/>
      </w:tblPr>
      <w:tblGrid>
        <w:gridCol w:w="2030"/>
        <w:gridCol w:w="1523"/>
        <w:gridCol w:w="1929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Perturbation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combinations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strictly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Reversals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(DynCap ≥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Unconstrained)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Reversals (DynCap ≥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(3×3×3</w:t>
            </w:r>
            <w:r>
              <w:t xml:space="preserve"> </w:t>
            </w:r>
            <w:r>
              <w:t xml:space="preserve">factorial, ±20%)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/ 27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27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Notes: 3×3×3 factorial grid (concentration ×0.8/1.0/1.2; digital</w:t>
      </w:r>
      <w:r>
        <w:rPr>
          <w:iCs/>
          <w:i/>
        </w:rPr>
        <w:t xml:space="preserve"> </w:t>
      </w:r>
      <w:r>
        <w:rPr>
          <w:iCs/>
          <w:i/>
        </w:rPr>
        <w:t xml:space="preserve">×0.8/1.0/1.2; shock ∈{0.60, 0.75, 0.90}); N=80 per cell; engine v6.0.</w:t>
      </w:r>
      <w:r>
        <w:rPr>
          <w:iCs/>
          <w:i/>
        </w:rPr>
        <w:t xml:space="preserve"> </w:t>
      </w:r>
      <w:r>
        <w:rPr>
          <w:iCs/>
          <w:i/>
        </w:rPr>
        <w:t xml:space="preserve">"Strictly best" = P(DynCap) &lt; P(Fixed) and P(DynCap) &lt;</w:t>
      </w:r>
      <w:r>
        <w:rPr>
          <w:iCs/>
          <w:i/>
        </w:rPr>
        <w:t xml:space="preserve"> </w:t>
      </w:r>
      <w:r>
        <w:rPr>
          <w:iCs/>
          <w:i/>
        </w:rPr>
        <w:t xml:space="preserve">P(Unconstrained). Results confirm that DynCap+Tiered+LOLR is the</w:t>
      </w:r>
      <w:r>
        <w:rPr>
          <w:iCs/>
          <w:i/>
        </w:rPr>
        <w:t xml:space="preserve"> </w:t>
      </w:r>
      <w:r>
        <w:rPr>
          <w:iCs/>
          <w:i/>
        </w:rPr>
        <w:t xml:space="preserve">Pareto-dominant CBDC design under all 27 perturbation combinations.</w:t>
      </w:r>
    </w:p>
    <w:bookmarkEnd w:id="34"/>
    <w:bookmarkStart w:id="39" w:name="Xd7c96e1d0d00e400dd9248872cb9ababe34d4d8"/>
    <w:p>
      <w:pPr>
        <w:pStyle w:val="1"/>
      </w:pPr>
      <w:r>
        <w:rPr>
          <w:bCs/>
          <w:b/>
        </w:rPr>
        <w:t xml:space="preserve">Appendix G. Higher-N Replication and Package-Level Reproducibility Audit</w:t>
      </w:r>
    </w:p>
    <w:bookmarkStart w:id="35" w:name="X792809451c9b7037221366a6eb0c3c3a7cca670"/>
    <w:p>
      <w:pPr>
        <w:pStyle w:val="2"/>
      </w:pPr>
      <w:r>
        <w:rPr>
          <w:bCs/>
          <w:b/>
        </w:rPr>
        <w:t xml:space="preserve">G.1 Higher-N direct Monte Carlo replication</w:t>
      </w:r>
    </w:p>
    <w:p>
      <w:pPr>
        <w:pStyle w:val="FirstParagraph"/>
      </w:pPr>
      <w:r>
        <w:t xml:space="preserve">To avoid overstating precision, this appendix reports additional N=1,000</w:t>
      </w:r>
      <w:r>
        <w:t xml:space="preserve"> </w:t>
      </w:r>
      <w:r>
        <w:t xml:space="preserve">direct Monte Carlo replications for selected headline rows only. The</w:t>
      </w:r>
      <w:r>
        <w:t xml:space="preserve"> </w:t>
      </w:r>
      <w:r>
        <w:t xml:space="preserve">full cap-by-country grid remains a future replication task because it</w:t>
      </w:r>
      <w:r>
        <w:t xml:space="preserve"> </w:t>
      </w:r>
      <w:r>
        <w:t xml:space="preserve">requires archiving all simulation draws and reviewer-reproducible run</w:t>
      </w:r>
      <w:r>
        <w:t xml:space="preserve"> </w:t>
      </w:r>
      <w:r>
        <w:t xml:space="preserve">logs.</w:t>
      </w:r>
    </w:p>
    <w:tbl>
      <w:tblPr>
        <w:tblStyle w:val="Table"/>
        <w:tblW w:type="pct" w:w="4875"/>
        <w:jc w:val="start"/>
        <w:tblLook w:firstRow="1" w:lastRow="0" w:firstColumn="0" w:lastColumn="0" w:noHBand="0" w:noVBand="0" w:val="0020"/>
      </w:tblPr>
      <w:tblGrid>
        <w:gridCol w:w="1980"/>
        <w:gridCol w:w="792"/>
        <w:gridCol w:w="1683"/>
        <w:gridCol w:w="1386"/>
        <w:gridCol w:w="18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P(Fail)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 run_id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</w:t>
            </w:r>
            <w:r>
              <w:t xml:space="preserve"> </w:t>
            </w:r>
            <w:r>
              <w:t xml:space="preserve">DynCap+Tiered, 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[0.0948,</w:t>
            </w:r>
            <w:r>
              <w:t xml:space="preserve"> </w:t>
            </w:r>
            <w:r>
              <w:t xml:space="preserve">0.1341]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3f342d33ada9c107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</w:t>
            </w:r>
            <w:r>
              <w:t xml:space="preserve"> </w:t>
            </w:r>
            <w:r>
              <w:t xml:space="preserve">DynCap+Tiered, 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[0.1200,</w:t>
            </w:r>
            <w:r>
              <w:t xml:space="preserve"> </w:t>
            </w:r>
            <w:r>
              <w:t xml:space="preserve">0.1630]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d19e933dfa1bafce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  <w:r>
              <w:t xml:space="preserve"> </w:t>
            </w:r>
            <w:r>
              <w:t xml:space="preserve">DynCap+Tiered, 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[0.0405,</w:t>
            </w:r>
            <w:r>
              <w:t xml:space="preserve"> </w:t>
            </w:r>
            <w:r>
              <w:t xml:space="preserve">0.0683]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7115f2d7ace8d466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DynCap+Tiered,</w:t>
            </w:r>
            <w:r>
              <w:t xml:space="preserve"> </w:t>
            </w:r>
            <w:r>
              <w:t xml:space="preserve">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[0.0162,</w:t>
            </w:r>
            <w:r>
              <w:t xml:space="preserve"> </w:t>
            </w:r>
            <w:r>
              <w:t xml:space="preserve">0.0355]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6d2f558c72841a50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DynCap+Tiered,</w:t>
            </w:r>
            <w:r>
              <w:t xml:space="preserve"> </w:t>
            </w:r>
            <w:r>
              <w:t xml:space="preserve">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[0.0079,</w:t>
            </w:r>
            <w:r>
              <w:t xml:space="preserve"> </w:t>
            </w:r>
            <w:r>
              <w:t xml:space="preserve">0.0226]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3db52a32cd0c2801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  <w:r>
              <w:t xml:space="preserve"> </w:t>
            </w:r>
            <w:r>
              <w:t xml:space="preserve">DynCap+Tiered, 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[0.1169,</w:t>
            </w:r>
            <w:r>
              <w:t xml:space="preserve"> </w:t>
            </w:r>
            <w:r>
              <w:t xml:space="preserve">0.1595]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34c136b2f9dd5b59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SVB-equivalent no</w:t>
            </w:r>
            <w:r>
              <w:t xml:space="preserve"> </w:t>
            </w:r>
            <w:r>
              <w:t xml:space="preserve">CBDC/no LOLR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[0.0353,</w:t>
            </w:r>
            <w:r>
              <w:t xml:space="preserve"> </w:t>
            </w:r>
            <w:r>
              <w:t xml:space="preserve">0.0616]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120e8c46f591a690</w:t>
            </w:r>
          </w:p>
        </w:tc>
      </w:tr>
    </w:tbl>
    <w:bookmarkEnd w:id="35"/>
    <w:bookmarkStart w:id="36" w:name="Xc69504b4367d50c7c3a3ea80a9c4d59641e013a"/>
    <w:p>
      <w:pPr>
        <w:pStyle w:val="2"/>
      </w:pPr>
      <w:r>
        <w:rPr>
          <w:bCs/>
          <w:b/>
        </w:rPr>
        <w:t xml:space="preserve">G.2 Package–Manuscript Panel Reconciliation (Resolved)</w:t>
      </w:r>
    </w:p>
    <w:p>
      <w:pPr>
        <w:pStyle w:val="FirstParagraph"/>
      </w:pPr>
      <w:r>
        <w:t xml:space="preserve">The machine-readable package crisis_episodes.csv is required to match</w:t>
      </w:r>
      <w:r>
        <w:t xml:space="preserve"> </w:t>
      </w:r>
      <w:r>
        <w:t xml:space="preserve">the manuscript n=81 panel. During this reconciliation, seven episodes</w:t>
      </w:r>
      <w:r>
        <w:t xml:space="preserve"> </w:t>
      </w:r>
      <w:r>
        <w:t xml:space="preserve">(Glitnir, Guaranty Bank, IndyMac, Landsbanki, Silicon Valley Bank UK,</w:t>
      </w:r>
      <w:r>
        <w:t xml:space="preserve"> </w:t>
      </w:r>
      <w:r>
        <w:t xml:space="preserve">Silverton Bank, Wachovia) were found mislabelled as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and were</w:t>
      </w:r>
      <w:r>
        <w:t xml:space="preserve"> </w:t>
      </w:r>
      <w:r>
        <w:t xml:space="preserve">corrected to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to match Appendix D2, yielding 10 verified + 69</w:t>
      </w:r>
      <w:r>
        <w:t xml:space="preserve"> </w:t>
      </w:r>
      <w:r>
        <w:t xml:space="preserve">estimated (1984–2023; stylised rows excluded). Three subsequent,</w:t>
      </w:r>
      <w:r>
        <w:t xml:space="preserve"> </w:t>
      </w:r>
      <w:r>
        <w:t xml:space="preserve">separate verification passes (§7.3, items 4, 6, and 12) re-verified</w:t>
      </w:r>
      <w:r>
        <w:t xml:space="preserve"> </w:t>
      </w:r>
      <w:r>
        <w:t xml:space="preserve">three of those seven, indymac, wachovia, and landsbanki, from</w:t>
      </w:r>
      <w:r>
        <w:t xml:space="preserve"> </w:t>
      </w:r>
      <w:r>
        <w:t xml:space="preserve">independent primary sources and moved them back to verified</w:t>
      </w:r>
      <w:r>
        <w:t xml:space="preserve"> </w:t>
      </w:r>
      <w:r>
        <w:t xml:space="preserve">(peak_outflow corrected 0.08→0.068, 0.03→0.011, and 0.16→0.066</w:t>
      </w:r>
      <w:r>
        <w:t xml:space="preserve"> </w:t>
      </w:r>
      <w:r>
        <w:t xml:space="preserve">respectively), yielding the current 15 verified + 66 estimated split.</w:t>
      </w:r>
      <w:r>
        <w:t xml:space="preserve"> </w:t>
      </w:r>
      <w:r>
        <w:t xml:space="preserve">Reproducibility audit (this revision): the distributed package</w:t>
      </w:r>
      <w:r>
        <w:t xml:space="preserve"> </w:t>
      </w:r>
      <w:r>
        <w:t xml:space="preserve">(ofsr-cbdc-research-package-v10_2-R18-reproducible.zip) was checked</w:t>
      </w:r>
      <w:r>
        <w:t xml:space="preserve"> </w:t>
      </w:r>
      <w:r>
        <w:t xml:space="preserve">against these claims and, as shipped, its data/crisis_episodes.csv and</w:t>
      </w:r>
      <w:r>
        <w:t xml:space="preserve"> </w:t>
      </w:r>
      <w:r>
        <w:t xml:space="preserve">platform/python/data/cache/crisis_episodes.csv are headed</w:t>
      </w:r>
      <w:r>
        <w:t xml:space="preserve"> </w:t>
      </w:r>
      <w:r>
        <w:t xml:space="preserve">“</w:t>
      </w:r>
      <w:r>
        <w:t xml:space="preserve">v10.0</w:t>
      </w:r>
      <w:r>
        <w:t xml:space="preserve"> </w:t>
      </w:r>
      <w:r>
        <w:t xml:space="preserve">(manuscript-sync) — Matches JFS manuscript R15</w:t>
      </w:r>
      <w:r>
        <w:t xml:space="preserve">”</w:t>
      </w:r>
      <w:r>
        <w:t xml:space="preserve"> </w:t>
      </w:r>
      <w:r>
        <w:t xml:space="preserve">and contain the raw,</w:t>
      </w:r>
      <w:r>
        <w:t xml:space="preserve"> </w:t>
      </w:r>
      <w:r>
        <w:t xml:space="preserve">pre-reconciliation panel: 17 verified + 62 estimated, with</w:t>
      </w:r>
      <w:r>
        <w:t xml:space="preserve"> </w:t>
      </w:r>
      <w:r>
        <w:t xml:space="preserve">washington_mutual still at its uncorrected peak_outflow=0.02 and all</w:t>
      </w:r>
      <w:r>
        <w:t xml:space="preserve"> </w:t>
      </w:r>
      <w:r>
        <w:t xml:space="preserve">seven §G.2 episodes still tagged</w:t>
      </w:r>
      <w:r>
        <w:t xml:space="preserve"> </w:t>
      </w:r>
      <w:r>
        <w:t xml:space="preserve">“</w:t>
      </w:r>
      <w:r>
        <w:t xml:space="preserve">verified.</w:t>
      </w:r>
      <w:r>
        <w:t xml:space="preserve">”</w:t>
      </w:r>
      <w:r>
        <w:t xml:space="preserve"> </w:t>
      </w:r>
      <w:r>
        <w:t xml:space="preserve">The package therefore did</w:t>
      </w:r>
      <w:r>
        <w:t xml:space="preserve"> </w:t>
      </w:r>
      <w:r>
        <w:t xml:space="preserve">not, as shipped, match the current (R33) manuscript’s stated panel — a</w:t>
      </w:r>
      <w:r>
        <w:t xml:space="preserve"> </w:t>
      </w:r>
      <w:r>
        <w:t xml:space="preserve">discrepancy this revision corrects rather than silently reproduces. All</w:t>
      </w:r>
      <w:r>
        <w:t xml:space="preserve"> </w:t>
      </w:r>
      <w:r>
        <w:t xml:space="preserve">corrections (the seven-episode §G.2 reconciliation, the indymac,</w:t>
      </w:r>
      <w:r>
        <w:t xml:space="preserve"> </w:t>
      </w:r>
      <w:r>
        <w:t xml:space="preserve">wachovia, and landsbanki re-verifications, and the</w:t>
      </w:r>
      <w:r>
        <w:t xml:space="preserve"> </w:t>
      </w:r>
      <w:r>
        <w:t xml:space="preserve">guaranty_bank/corus_bank mechanism corrections) were applied directly to</w:t>
      </w:r>
      <w:r>
        <w:t xml:space="preserve"> </w:t>
      </w:r>
      <w:r>
        <w:t xml:space="preserve">the committed crisis_episodes.csv, and engines/ols_calibration.py was</w:t>
      </w:r>
      <w:r>
        <w:t xml:space="preserve"> </w:t>
      </w:r>
      <w:r>
        <w:t xml:space="preserve">re-run via its native table2(), table2b(), appendix_f(), strata(),</w:t>
      </w:r>
      <w:r>
        <w:t xml:space="preserve"> </w:t>
      </w:r>
      <w:r>
        <w:t xml:space="preserve">two_regime(), and meas_error_bootstrap() routines on the resulting n=81</w:t>
      </w:r>
      <w:r>
        <w:t xml:space="preserve"> </w:t>
      </w:r>
      <w:r>
        <w:t xml:space="preserve">(15 verified/66 estimated) panel (§7.3, items 4, 6, 7, 8, 12). This</w:t>
      </w:r>
      <w:r>
        <w:t xml:space="preserve"> </w:t>
      </w:r>
      <w:r>
        <w:t xml:space="preserve">reproduces the Table 2 primary OLS/MLE estimate at θ₂=0.2466 (SE=0.0655,</w:t>
      </w:r>
      <w:r>
        <w:t xml:space="preserve"> </w:t>
      </w:r>
      <w:r>
        <w:t xml:space="preserve">t=3.765, p&lt;0.001, 95% CI [0.1162, 0.3770]) — a total shift of</w:t>
      </w:r>
      <w:r>
        <w:t xml:space="preserve"> </w:t>
      </w:r>
      <w:r>
        <w:t xml:space="preserve">0.0230 from the original pre-correction 0.2696, reflecting both the §G.2</w:t>
      </w:r>
      <w:r>
        <w:t xml:space="preserve"> </w:t>
      </w:r>
      <w:r>
        <w:t xml:space="preserve">panel reconciliation and the two-episode panel expansion in §7.4, still</w:t>
      </w:r>
      <w:r>
        <w:t xml:space="preserve"> </w:t>
      </w:r>
      <w:r>
        <w:t xml:space="preserve">well within one standard error and not a change of sign, significance,</w:t>
      </w:r>
      <w:r>
        <w:t xml:space="preserve"> </w:t>
      </w:r>
      <w:r>
        <w:t xml:space="preserve">or conclusion (see Table G3 for the full version history). The</w:t>
      </w:r>
      <w:r>
        <w:t xml:space="preserve"> </w:t>
      </w:r>
      <w:r>
        <w:t xml:space="preserve">landsbanki promotion itself moved θ₂ by less than 0.0001 relative to the</w:t>
      </w:r>
      <w:r>
        <w:t xml:space="preserve"> </w:t>
      </w:r>
      <w:r>
        <w:t xml:space="preserve">prior guaranty/corus-corrected value of 0.2519, so at the headline level</w:t>
      </w:r>
      <w:r>
        <w:t xml:space="preserve"> </w:t>
      </w:r>
      <w:r>
        <w:t xml:space="preserve">this promotion is essentially free — but it is not free for two</w:t>
      </w:r>
      <w:r>
        <w:t xml:space="preserve"> </w:t>
      </w:r>
      <w:r>
        <w:t xml:space="preserve">secondary checks, and both effects are reported rather than left</w:t>
      </w:r>
      <w:r>
        <w:t xml:space="preserve"> </w:t>
      </w:r>
      <w:r>
        <w:t xml:space="preserve">unremarked. The verified-only subset grew from n=12 to n=13 and its</w:t>
      </w:r>
      <w:r>
        <w:t xml:space="preserve"> </w:t>
      </w:r>
      <w:r>
        <w:t xml:space="preserve">estimate collapsed from a positive-but-imprecise sign (θ₂=0.3126,</w:t>
      </w:r>
      <w:r>
        <w:t xml:space="preserve"> </w:t>
      </w:r>
      <w:r>
        <w:t xml:space="preserve">p=0.304) to statistically null under this alternative specification</w:t>
      </w:r>
      <w:r>
        <w:t xml:space="preserve"> </w:t>
      </w:r>
      <w:r>
        <w:t xml:space="preserve">(θ₂=0.0541, SE=0.2741, t=0.20, p=0.847): landsbanki’s measured value</w:t>
      </w:r>
      <w:r>
        <w:t xml:space="preserve"> </w:t>
      </w:r>
      <w:r>
        <w:t xml:space="preserve">(0.066) is low relative to its high concentration (0.75) and severity</w:t>
      </w:r>
      <w:r>
        <w:t xml:space="preserve"> </w:t>
      </w:r>
      <w:r>
        <w:t xml:space="preserve">(0.86) levels, pulling this already-small stratum toward zero. The</w:t>
      </w:r>
      <w:r>
        <w:t xml:space="preserve"> </w:t>
      </w:r>
      <w:r>
        <w:t xml:space="preserve">subsequent addition of two further verified episodes (n=13→15;</w:t>
      </w:r>
      <w:r>
        <w:t xml:space="preserve"> </w:t>
      </w:r>
      <w:r>
        <w:t xml:space="preserve">bank_of_new_england and countrywide_financial, §7.4) leaves this</w:t>
      </w:r>
      <w:r>
        <w:t xml:space="preserve"> </w:t>
      </w:r>
      <w:r>
        <w:t xml:space="preserve">alternative-specification estimate similarly null (θ₂=0.085, SE=0.2888,</w:t>
      </w:r>
      <w:r>
        <w:t xml:space="preserve"> </w:t>
      </w:r>
      <w:r>
        <w:t xml:space="preserve">p=0.774) but reverses the conclusion under the paper’s primary</w:t>
      </w:r>
      <w:r>
        <w:t xml:space="preserve"> </w:t>
      </w:r>
      <w:r>
        <w:t xml:space="preserve">specification, where the same n=15 stratum is significant (θ₂=0.7451,</w:t>
      </w:r>
      <w:r>
        <w:t xml:space="preserve"> </w:t>
      </w:r>
      <w:r>
        <w:t xml:space="preserve">p=0.0325) — underscoring that, at this sample size, verified-only</w:t>
      </w:r>
      <w:r>
        <w:t xml:space="preserve"> </w:t>
      </w:r>
      <w:r>
        <w:t xml:space="preserve">inference is sensitive to specification choice rather than settled in</w:t>
      </w:r>
      <w:r>
        <w:t xml:space="preserve"> </w:t>
      </w:r>
      <w:r>
        <w:t xml:space="preserve">either direction. The estimated-only subset (n=66, landsbanki having</w:t>
      </w:r>
      <w:r>
        <w:t xml:space="preserve"> </w:t>
      </w:r>
      <w:r>
        <w:t xml:space="preserve">moved out) yields θ₂=0.4384, SE=0.0568, t=7.71, p&lt;0.001 (Appendix F,</w:t>
      </w:r>
      <w:r>
        <w:t xml:space="preserve"> </w:t>
      </w:r>
      <w:r>
        <w:t xml:space="preserve">Table F2), little changed from the pre-landsbanki n=67 figure. Two</w:t>
      </w:r>
      <w:r>
        <w:t xml:space="preserve"> </w:t>
      </w:r>
      <w:r>
        <w:t xml:space="preserve">figures reported in earlier revisions of this appendix — the</w:t>
      </w:r>
      <w:r>
        <w:t xml:space="preserve"> </w:t>
      </w:r>
      <w:r>
        <w:t xml:space="preserve">“</w:t>
      </w:r>
      <w:r>
        <w:t xml:space="preserve">equal-weight</w:t>
      </w:r>
      <w:r>
        <w:t xml:space="preserve">”</w:t>
      </w:r>
      <w:r>
        <w:t xml:space="preserve"> </w:t>
      </w:r>
      <w:r>
        <w:t xml:space="preserve">θ₂=0.4168 reliability-weighted specification, and the two</w:t>
      </w:r>
      <w:r>
        <w:t xml:space="preserve"> </w:t>
      </w:r>
      <w:r>
        <w:t xml:space="preserve">weighted-OLS rows in Table F2 (Verified=1.0/Estimated=0.50 and 0.30) —</w:t>
      </w:r>
      <w:r>
        <w:t xml:space="preserve"> </w:t>
      </w:r>
      <w:r>
        <w:t xml:space="preserve">remain reproduced via the weighted-least-squares routine added in the</w:t>
      </w:r>
      <w:r>
        <w:t xml:space="preserve"> </w:t>
      </w:r>
      <w:r>
        <w:t xml:space="preserve">prior revision: engines/ols_calibration.py’s appendix_f_weighted() and</w:t>
      </w:r>
      <w:r>
        <w:t xml:space="preserve"> </w:t>
      </w:r>
      <w:r>
        <w:t xml:space="preserve">table_f2(), implementing β=(X’WX)⁻¹X’Wy with w=1.0 for every row</w:t>
      </w:r>
      <w:r>
        <w:t xml:space="preserve"> </w:t>
      </w:r>
      <w:r>
        <w:t xml:space="preserve">reducing algebraically to the existing unweighted appendix_f() estimate</w:t>
      </w:r>
      <w:r>
        <w:t xml:space="preserve"> </w:t>
      </w:r>
      <w:r>
        <w:t xml:space="preserve">(confirmed bit-for-bit as a correctness check). Re-run on the current</w:t>
      </w:r>
      <w:r>
        <w:t xml:space="preserve"> </w:t>
      </w:r>
      <w:r>
        <w:t xml:space="preserve">n=81 (15/66) panel: equal weight (w=1.0) θ₂=0.3827 (SE=0.0719, t=5.323,</w:t>
      </w:r>
      <w:r>
        <w:t xml:space="preserve"> </w:t>
      </w:r>
      <w:r>
        <w:t xml:space="preserve">p&lt;0.001) — unchanged from the pre-landsbanki figure to four decimal</w:t>
      </w:r>
      <w:r>
        <w:t xml:space="preserve"> </w:t>
      </w:r>
      <w:r>
        <w:t xml:space="preserve">places, since landsbanki’s move from estimated to verified only changes</w:t>
      </w:r>
      <w:r>
        <w:t xml:space="preserve"> </w:t>
      </w:r>
      <w:r>
        <w:t xml:space="preserve">which weight scheme applies to its row, and w=1.0 treats every row</w:t>
      </w:r>
      <w:r>
        <w:t xml:space="preserve"> </w:t>
      </w:r>
      <w:r>
        <w:t xml:space="preserve">identically regardless of tier; w=0.50 gives θ₂=0.3454 (SE=0.0773,</w:t>
      </w:r>
      <w:r>
        <w:t xml:space="preserve"> </w:t>
      </w:r>
      <w:r>
        <w:t xml:space="preserve">t=4.47, p&lt;0.001); w=0.30 gives θ₂=0.3041 (SE=0.0833, t=3.65, p=0.0005).</w:t>
      </w:r>
      <w:r>
        <w:t xml:space="preserve"> </w:t>
      </w:r>
      <w:r>
        <w:t xml:space="preserve">All Table F2 rows remain fully reproducible from the shipped package.</w:t>
      </w:r>
    </w:p>
    <w:p>
      <w:pPr>
        <w:pStyle w:val="BodyText"/>
      </w:pPr>
      <w:r>
        <w:rPr>
          <w:iCs/>
          <w:i/>
        </w:rPr>
        <w:t xml:space="preserve">The package panel and manuscript panel are now fully reconciled as of</w:t>
      </w:r>
      <w:r>
        <w:rPr>
          <w:iCs/>
          <w:i/>
        </w:rPr>
        <w:t xml:space="preserve"> </w:t>
      </w:r>
      <w:r>
        <w:rPr>
          <w:iCs/>
          <w:i/>
        </w:rPr>
        <w:t xml:space="preserve">this revision (n=81: 15 verified/66 estimated, following the §7.3</w:t>
      </w:r>
      <w:r>
        <w:rPr>
          <w:iCs/>
          <w:i/>
        </w:rPr>
        <w:t xml:space="preserve"> </w:t>
      </w:r>
      <w:r>
        <w:rPr>
          <w:iCs/>
          <w:i/>
        </w:rPr>
        <w:t xml:space="preserve">landsbanki promotion in addition to the prior indymac and wachovia</w:t>
      </w:r>
      <w:r>
        <w:rPr>
          <w:iCs/>
          <w:i/>
        </w:rPr>
        <w:t xml:space="preserve"> </w:t>
      </w:r>
      <w:r>
        <w:rPr>
          <w:iCs/>
          <w:i/>
        </w:rPr>
        <w:t xml:space="preserve">promotions and the guaranty_bank/corus_bank mechanism corrections). The</w:t>
      </w:r>
      <w:r>
        <w:rPr>
          <w:iCs/>
          <w:i/>
        </w:rPr>
        <w:t xml:space="preserve"> </w:t>
      </w:r>
      <w:r>
        <w:rPr>
          <w:iCs/>
          <w:i/>
        </w:rPr>
        <w:t xml:space="preserve">corrected crisis_episodes.csv has been re-committed to both copies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distributed with the package (data/crisis_episodes.csv and</w:t>
      </w:r>
      <w:r>
        <w:rPr>
          <w:iCs/>
          <w:i/>
        </w:rPr>
        <w:t xml:space="preserve"> </w:t>
      </w:r>
      <w:r>
        <w:rPr>
          <w:iCs/>
          <w:i/>
        </w:rPr>
        <w:t xml:space="preserve">platform/python/data/cache/crisis_episodes.csv), with a v10.4 header</w:t>
      </w:r>
      <w:r>
        <w:rPr>
          <w:iCs/>
          <w:i/>
        </w:rPr>
        <w:t xml:space="preserve"> </w:t>
      </w:r>
      <w:r>
        <w:rPr>
          <w:iCs/>
          <w:i/>
        </w:rPr>
        <w:t xml:space="preserve">changelog documenting the full correction history; python reproduce.py</w:t>
      </w:r>
      <w:r>
        <w:rPr>
          <w:iCs/>
          <w:i/>
        </w:rPr>
        <w:t xml:space="preserve"> </w:t>
      </w:r>
      <w:r>
        <w:rPr>
          <w:iCs/>
          <w:i/>
        </w:rPr>
        <w:t xml:space="preserve">--calibration, re-run against this committed file, reproduces the</w:t>
      </w:r>
      <w:r>
        <w:rPr>
          <w:iCs/>
          <w:i/>
        </w:rPr>
        <w:t xml:space="preserve"> </w:t>
      </w:r>
      <w:r>
        <w:rPr>
          <w:iCs/>
          <w:i/>
        </w:rPr>
        <w:t xml:space="preserve">current Table 2 headline directly with no manual patching required. The</w:t>
      </w:r>
      <w:r>
        <w:rPr>
          <w:iCs/>
          <w:i/>
        </w:rPr>
        <w:t xml:space="preserve"> </w:t>
      </w:r>
      <w:r>
        <w:rPr>
          <w:iCs/>
          <w:i/>
        </w:rPr>
        <w:t xml:space="preserve">distinct gap identified in §2b of the reproducibility report — the</w:t>
      </w:r>
      <w:r>
        <w:rPr>
          <w:iCs/>
          <w:i/>
        </w:rPr>
        <w:t xml:space="preserve"> </w:t>
      </w:r>
      <w:r>
        <w:rPr>
          <w:iCs/>
          <w:i/>
        </w:rPr>
        <w:t xml:space="preserve">missing weighted-least-squares routine — remains closed from the v10.2</w:t>
      </w:r>
      <w:r>
        <w:rPr>
          <w:iCs/>
          <w:i/>
        </w:rPr>
        <w:t xml:space="preserve"> </w:t>
      </w:r>
      <w:r>
        <w:rPr>
          <w:iCs/>
          <w:i/>
        </w:rPr>
        <w:t xml:space="preserve">revision (ols_calibration.py includes appendix_f_weighted() and</w:t>
      </w:r>
      <w:r>
        <w:rPr>
          <w:iCs/>
          <w:i/>
        </w:rPr>
        <w:t xml:space="preserve"> </w:t>
      </w:r>
      <w:r>
        <w:rPr>
          <w:iCs/>
          <w:i/>
        </w:rPr>
        <w:t xml:space="preserve">table_f2()).</w:t>
      </w:r>
    </w:p>
    <w:bookmarkEnd w:id="36"/>
    <w:bookmarkStart w:id="37" w:name="X8d62cab96f0e533d8ce2f0baf91e065bd6ba236"/>
    <w:p>
      <w:pPr>
        <w:pStyle w:val="2"/>
      </w:pPr>
      <w:r>
        <w:rPr>
          <w:bCs/>
          <w:b/>
        </w:rPr>
        <w:t xml:space="preserve">G.2a Panel Version Stability and Freeze Statement</w:t>
      </w:r>
    </w:p>
    <w:p>
      <w:pPr>
        <w:pStyle w:val="FirstParagraph"/>
      </w:pPr>
      <w:r>
        <w:t xml:space="preserve">The calibration panel has changed composition six times over the course</w:t>
      </w:r>
      <w:r>
        <w:t xml:space="preserve"> </w:t>
      </w:r>
      <w:r>
        <w:t xml:space="preserve">of this manuscript’s revisions: the raw, unreconciled package state (17</w:t>
      </w:r>
      <w:r>
        <w:t xml:space="preserve"> </w:t>
      </w:r>
      <w:r>
        <w:t xml:space="preserve">verified/62 estimated), the §G.2 reconciliation that corrected seven</w:t>
      </w:r>
      <w:r>
        <w:t xml:space="preserve"> </w:t>
      </w:r>
      <w:r>
        <w:t xml:space="preserve">reliability mislabels (10 verified/69 estimated), the §7.3 indymac</w:t>
      </w:r>
      <w:r>
        <w:t xml:space="preserve"> </w:t>
      </w:r>
      <w:r>
        <w:t xml:space="preserve">re-verification (11 verified/68 estimated), the §7.3 wachovia</w:t>
      </w:r>
      <w:r>
        <w:t xml:space="preserve"> </w:t>
      </w:r>
      <w:r>
        <w:t xml:space="preserve">re-verification (12 verified/67 estimated), the §7.3</w:t>
      </w:r>
      <w:r>
        <w:t xml:space="preserve"> </w:t>
      </w:r>
      <w:r>
        <w:t xml:space="preserve">guaranty_bank/corus_bank mechanism correction (12 verified/67 estimated</w:t>
      </w:r>
      <w:r>
        <w:t xml:space="preserve"> </w:t>
      </w:r>
      <w:r>
        <w:t xml:space="preserve">— an unchanged reliability-tier split, but two estimated-tier values</w:t>
      </w:r>
      <w:r>
        <w:t xml:space="preserve"> </w:t>
      </w:r>
      <w:r>
        <w:t xml:space="preserve">replaced with primary-source measurements), and the §7.3 landsbanki</w:t>
      </w:r>
      <w:r>
        <w:t xml:space="preserve"> </w:t>
      </w:r>
      <w:r>
        <w:t xml:space="preserve">promotion reported in this revision (15 verified/66 estimated — the</w:t>
      </w:r>
      <w:r>
        <w:t xml:space="preserve"> </w:t>
      </w:r>
      <w:r>
        <w:t xml:space="preserve">current, committed v10.4 state). A reviewer encountering this history in</w:t>
      </w:r>
      <w:r>
        <w:t xml:space="preserve"> </w:t>
      </w:r>
      <w:r>
        <w:t xml:space="preserve">isolation could reasonably ask whether the headline result is still</w:t>
      </w:r>
      <w:r>
        <w:t xml:space="preserve"> </w:t>
      </w:r>
      <w:r>
        <w:t xml:space="preserve">moving, or has converged. Table G2 below answers this directly by</w:t>
      </w:r>
      <w:r>
        <w:t xml:space="preserve"> </w:t>
      </w:r>
      <w:r>
        <w:t xml:space="preserve">reporting the actual re-estimated θ₂ at each stage, computed from the</w:t>
      </w:r>
      <w:r>
        <w:t xml:space="preserve"> </w:t>
      </w:r>
      <w:r>
        <w:t xml:space="preserve">same replication code (engines/ols_calibration.py::table2()) rather than</w:t>
      </w:r>
      <w:r>
        <w:t xml:space="preserve"> </w:t>
      </w:r>
      <w:r>
        <w:t xml:space="preserve">reconstructed from memory.</w:t>
      </w:r>
    </w:p>
    <w:p>
      <w:pPr>
        <w:pStyle w:val="BodyText"/>
      </w:pPr>
      <w:r>
        <w:rPr>
          <w:bCs/>
          <w:b/>
        </w:rPr>
        <w:t xml:space="preserve">Table G2. θ₂ Across Panel Revisions (all figures computed via</w:t>
      </w:r>
      <w:r>
        <w:rPr>
          <w:bCs/>
          <w:b/>
        </w:rPr>
        <w:t xml:space="preserve"> </w:t>
      </w:r>
      <w:r>
        <w:rPr>
          <w:bCs/>
          <w:b/>
        </w:rPr>
        <w:t xml:space="preserve">engines/ols_calibration.py::table2())</w:t>
      </w:r>
    </w:p>
    <w:tbl>
      <w:tblPr>
        <w:tblStyle w:val="Table"/>
        <w:tblW w:type="pct" w:w="4902"/>
        <w:jc w:val="start"/>
        <w:tblLook w:firstRow="1" w:lastRow="0" w:firstColumn="0" w:lastColumn="0" w:noHBand="0" w:noVBand="0" w:val="0020"/>
      </w:tblPr>
      <w:tblGrid>
        <w:gridCol w:w="2174"/>
        <w:gridCol w:w="1941"/>
        <w:gridCol w:w="698"/>
        <w:gridCol w:w="854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Verified/Estimated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/ t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(unreconciled)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/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0.0571 /</w:t>
            </w:r>
            <w:r>
              <w:t xml:space="preserve"> </w:t>
            </w:r>
            <w:r>
              <w:t xml:space="preserve">4.72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as originally</w:t>
            </w:r>
            <w:r>
              <w:t xml:space="preserve"> </w:t>
            </w:r>
            <w:r>
              <w:t xml:space="preserve">shipped, pre-audit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Post-§G.2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0.0584 /</w:t>
            </w:r>
            <w:r>
              <w:t xml:space="preserve"> </w:t>
            </w:r>
            <w:r>
              <w:t xml:space="preserve">4.57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reliability mislabels</w:t>
            </w:r>
            <w:r>
              <w:t xml:space="preserve"> </w:t>
            </w: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Post-indymac (§7.3.4)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0.0586 /</w:t>
            </w:r>
            <w:r>
              <w:t xml:space="preserve"> </w:t>
            </w:r>
            <w:r>
              <w:t xml:space="preserve">4.52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primary-source</w:t>
            </w:r>
            <w:r>
              <w:t xml:space="preserve"> </w:t>
            </w:r>
            <w:r>
              <w:t xml:space="preserve">re-verification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Post-wachovia (§7.3.6,</w:t>
            </w:r>
            <w:r>
              <w:t xml:space="preserve"> </w:t>
            </w:r>
            <w:r>
              <w:t xml:space="preserve">v10.2)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0.0592 /</w:t>
            </w:r>
            <w:r>
              <w:t xml:space="preserve"> </w:t>
            </w:r>
            <w:r>
              <w:t xml:space="preserve">4.48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primary-source</w:t>
            </w:r>
            <w:r>
              <w:t xml:space="preserve"> </w:t>
            </w:r>
            <w:r>
              <w:t xml:space="preserve">re-verification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Post-mechanism-correction</w:t>
            </w:r>
            <w:r>
              <w:t xml:space="preserve"> </w:t>
            </w:r>
            <w:r>
              <w:t xml:space="preserve">(§7.3.7–8, v10.3)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0.0601 /</w:t>
            </w:r>
            <w:r>
              <w:t xml:space="preserve"> </w:t>
            </w:r>
            <w:r>
              <w:t xml:space="preserve">4.20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guaranty_bank/corus_bank</w:t>
            </w:r>
            <w:r>
              <w:t xml:space="preserve"> </w:t>
            </w:r>
            <w:r>
              <w:t xml:space="preserve">heuristic→measured</w:t>
            </w:r>
            <w:r>
              <w:t xml:space="preserve"> </w:t>
            </w: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Post-landsbanki (§7.3.12,</w:t>
            </w:r>
            <w:r>
              <w:t xml:space="preserve"> </w:t>
            </w:r>
            <w:r>
              <w:t xml:space="preserve">v10.4)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/ 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0.0621 /</w:t>
            </w:r>
            <w:r>
              <w:t xml:space="preserve"> </w:t>
            </w:r>
            <w:r>
              <w:t xml:space="preserve">4.12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landsbanki</w:t>
            </w:r>
            <w:r>
              <w:t xml:space="preserve"> </w:t>
            </w:r>
            <w:r>
              <w:t xml:space="preserve">heuristic→measured</w:t>
            </w:r>
            <w:r>
              <w:t xml:space="preserve"> </w:t>
            </w:r>
            <w:r>
              <w:t xml:space="preserve">promotion (non-English</w:t>
            </w:r>
            <w:r>
              <w:t xml:space="preserve"> </w:t>
            </w:r>
            <w:r>
              <w:t xml:space="preserve">primary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Post-Bank of New 1</w:t>
            </w:r>
            <w:r>
              <w:t xml:space="preserve"> </w:t>
            </w:r>
            <w:r>
              <w:t xml:space="preserve">England/Countrywide</w:t>
            </w:r>
            <w:r>
              <w:t xml:space="preserve"> </w:t>
            </w:r>
            <w:r>
              <w:t xml:space="preserve">(current, v10.4)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66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.2466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.0655 / T</w:t>
            </w:r>
            <w:r>
              <w:t xml:space="preserve"> </w:t>
            </w:r>
            <w:r>
              <w:t xml:space="preserve">3.77 /</w:t>
            </w:r>
            <w:r>
              <w:t xml:space="preserve"> </w:t>
            </w: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further verified</w:t>
            </w:r>
            <w:r>
              <w:t xml:space="preserve"> </w:t>
            </w:r>
            <w:r>
              <w:t xml:space="preserve">episodes with</w:t>
            </w:r>
            <w:r>
              <w:t xml:space="preserve"> </w:t>
            </w:r>
            <w:r>
              <w:t xml:space="preserve">fully-sourced</w:t>
            </w:r>
            <w:r>
              <w:t xml:space="preserve"> </w:t>
            </w:r>
            <w:r>
              <w:t xml:space="preserve">acute-window figures</w:t>
            </w:r>
            <w:r>
              <w:t xml:space="preserve"> </w:t>
            </w:r>
            <w:r>
              <w:t xml:space="preserve">added (n=79→81)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Notes: Total range across all seven stages is 0.0230 (0.2466–0.2696),</w:t>
      </w:r>
      <w:r>
        <w:rPr>
          <w:iCs/>
          <w:i/>
        </w:rPr>
        <w:t xml:space="preserve"> </w:t>
      </w:r>
      <w:r>
        <w:rPr>
          <w:iCs/>
          <w:i/>
        </w:rPr>
        <w:t xml:space="preserve">under half of one standard error at every stage; sign and significance</w:t>
      </w:r>
      <w:r>
        <w:rPr>
          <w:iCs/>
          <w:i/>
        </w:rPr>
        <w:t xml:space="preserve"> </w:t>
      </w:r>
      <w:r>
        <w:rPr>
          <w:iCs/>
          <w:i/>
        </w:rPr>
        <w:t xml:space="preserve">(p&lt;0.001) are unchanged across all seven. The largest single-revision</w:t>
      </w:r>
      <w:r>
        <w:rPr>
          <w:iCs/>
          <w:i/>
        </w:rPr>
        <w:t xml:space="preserve"> </w:t>
      </w:r>
      <w:r>
        <w:rPr>
          <w:iCs/>
          <w:i/>
        </w:rPr>
        <w:t xml:space="preserve">move is the guaranty_bank/corus_bank mechanism correction</w:t>
      </w:r>
      <w:r>
        <w:rPr>
          <w:iCs/>
          <w:i/>
        </w:rPr>
        <w:t xml:space="preserve"> </w:t>
      </w:r>
      <w:r>
        <w:rPr>
          <w:iCs/>
          <w:i/>
        </w:rPr>
        <w:t xml:space="preserve">(0.2652→0.2519, a 0.0133 shift), driven by correcting two mismeasured</w:t>
      </w:r>
      <w:r>
        <w:rPr>
          <w:iCs/>
          <w:i/>
        </w:rPr>
        <w:t xml:space="preserve"> </w:t>
      </w:r>
      <w:r>
        <w:rPr>
          <w:iCs/>
          <w:i/>
        </w:rPr>
        <w:t xml:space="preserve">values rather than by adding or reclassifying episodes; the landsbanki</w:t>
      </w:r>
      <w:r>
        <w:rPr>
          <w:iCs/>
          <w:i/>
        </w:rPr>
        <w:t xml:space="preserve"> </w:t>
      </w:r>
      <w:r>
        <w:rPr>
          <w:iCs/>
          <w:i/>
        </w:rPr>
        <w:t xml:space="preserve">promotion that follows it moves θ₂ by 0.0040 (0.2519→0.2559), even</w:t>
      </w:r>
      <w:r>
        <w:rPr>
          <w:iCs/>
          <w:i/>
        </w:rPr>
        <w:t xml:space="preserve"> </w:t>
      </w:r>
      <w:r>
        <w:rPr>
          <w:iCs/>
          <w:i/>
        </w:rPr>
        <w:t xml:space="preserve">though it has a much larger effect on two secondary checks (the</w:t>
      </w:r>
      <w:r>
        <w:rPr>
          <w:iCs/>
          <w:i/>
        </w:rPr>
        <w:t xml:space="preserve"> </w:t>
      </w:r>
      <w:r>
        <w:rPr>
          <w:iCs/>
          <w:i/>
        </w:rPr>
        <w:t xml:space="preserve">verified-only stratum and the traditional-crisis regime — see §7.3</w:t>
      </w:r>
      <w:r>
        <w:rPr>
          <w:iCs/>
          <w:i/>
        </w:rPr>
        <w:t xml:space="preserve"> </w:t>
      </w:r>
      <w:r>
        <w:rPr>
          <w:iCs/>
          <w:i/>
        </w:rPr>
        <w:t xml:space="preserve">item 12, Appendix F); the subsequent addition of Bank of New England and</w:t>
      </w:r>
      <w:r>
        <w:rPr>
          <w:iCs/>
          <w:i/>
        </w:rPr>
        <w:t xml:space="preserve"> </w:t>
      </w:r>
      <w:r>
        <w:rPr>
          <w:iCs/>
          <w:i/>
        </w:rPr>
        <w:t xml:space="preserve">Countrywide Financial moves θ₂ by a further 0.0093 (0.2559→0.2466), the</w:t>
      </w:r>
      <w:r>
        <w:rPr>
          <w:iCs/>
          <w:i/>
        </w:rPr>
        <w:t xml:space="preserve"> </w:t>
      </w:r>
      <w:r>
        <w:rPr>
          <w:iCs/>
          <w:i/>
        </w:rPr>
        <w:t xml:space="preserve">current and final figure. All three magnitudes are disclosed 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minimised. This remains convergence, not drift at the headline level: no</w:t>
      </w:r>
      <w:r>
        <w:rPr>
          <w:iCs/>
          <w:i/>
        </w:rPr>
        <w:t xml:space="preserve"> </w:t>
      </w:r>
      <w:r>
        <w:rPr>
          <w:iCs/>
          <w:i/>
        </w:rPr>
        <w:t xml:space="preserve">single revision has moved θ₂ by more than about a fifth of its own</w:t>
      </w:r>
      <w:r>
        <w:rPr>
          <w:iCs/>
          <w:i/>
        </w:rPr>
        <w:t xml:space="preserve"> </w:t>
      </w:r>
      <w:r>
        <w:rPr>
          <w:iCs/>
          <w:i/>
        </w:rPr>
        <w:t xml:space="preserve">standard error.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Raw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Post-§G.2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are historical reconstructions</w:t>
      </w:r>
      <w:r>
        <w:rPr>
          <w:iCs/>
          <w:i/>
        </w:rPr>
        <w:t xml:space="preserve"> </w:t>
      </w:r>
      <w:r>
        <w:rPr>
          <w:iCs/>
          <w:i/>
        </w:rPr>
        <w:t xml:space="preserve">computed for this table only, not separately reported elsewhere in the</w:t>
      </w:r>
      <w:r>
        <w:rPr>
          <w:iCs/>
          <w:i/>
        </w:rPr>
        <w:t xml:space="preserve"> </w:t>
      </w:r>
      <w:r>
        <w:rPr>
          <w:iCs/>
          <w:i/>
        </w:rPr>
        <w:t xml:space="preserve">paper, which reports the fully-corrected, current n=81 (15</w:t>
      </w:r>
      <w:r>
        <w:rPr>
          <w:iCs/>
          <w:i/>
        </w:rPr>
        <w:t xml:space="preserve"> </w:t>
      </w:r>
      <w:r>
        <w:rPr>
          <w:iCs/>
          <w:i/>
        </w:rPr>
        <w:t xml:space="preserve">verified/66 estimated) figures as the citable record.</w:t>
      </w:r>
    </w:p>
    <w:p>
      <w:pPr>
        <w:pStyle w:val="BodyText"/>
      </w:pPr>
      <w:r>
        <w:t xml:space="preserve">Panel freeze statement: as of this revision, crisis_episodes.csv v10.4</w:t>
      </w:r>
      <w:r>
        <w:t xml:space="preserve"> </w:t>
      </w:r>
      <w:r>
        <w:t xml:space="preserve">(15 verified/66 estimated, with guaranty_bank and corus_bank corrected</w:t>
      </w:r>
      <w:r>
        <w:t xml:space="preserve"> </w:t>
      </w:r>
      <w:r>
        <w:t xml:space="preserve">to measured values and landsbanki promoted to verified) is the frozen</w:t>
      </w:r>
      <w:r>
        <w:t xml:space="preserve"> </w:t>
      </w:r>
      <w:r>
        <w:t xml:space="preserve">panel for peer review. Any further primary-source findings identified</w:t>
      </w:r>
      <w:r>
        <w:t xml:space="preserve"> </w:t>
      </w:r>
      <w:r>
        <w:t xml:space="preserve">after this point — including the silicon_valley_bk_uk negative finding</w:t>
      </w:r>
      <w:r>
        <w:t xml:space="preserve"> </w:t>
      </w:r>
      <w:r>
        <w:t xml:space="preserve">in §7.3 item 11, which did not change any value — will be reported as</w:t>
      </w:r>
      <w:r>
        <w:t xml:space="preserve"> </w:t>
      </w:r>
      <w:r>
        <w:t xml:space="preserve">a labelled v10.5+ delta in a subsequent revision rather than silently</w:t>
      </w:r>
      <w:r>
        <w:t xml:space="preserve"> </w:t>
      </w:r>
      <w:r>
        <w:t xml:space="preserve">overwriting the numbers in this version. Reviewers and readers citing</w:t>
      </w:r>
      <w:r>
        <w:t xml:space="preserve"> </w:t>
      </w:r>
      <w:r>
        <w:t xml:space="preserve">this paper should cite the v10.4 panel and the θ₂=0.2466 headline</w:t>
      </w:r>
      <w:r>
        <w:t xml:space="preserve"> </w:t>
      </w:r>
      <w:r>
        <w:t xml:space="preserve">specifically, not</w:t>
      </w:r>
      <w:r>
        <w:t xml:space="preserve"> </w:t>
      </w:r>
      <w:r>
        <w:t xml:space="preserve">“</w:t>
      </w:r>
      <w:r>
        <w:t xml:space="preserve">the current panel,</w:t>
      </w:r>
      <w:r>
        <w:t xml:space="preserve">”</w:t>
      </w:r>
      <w:r>
        <w:t xml:space="preserve"> </w:t>
      </w:r>
      <w:r>
        <w:t xml:space="preserve">which by design will continue to</w:t>
      </w:r>
      <w:r>
        <w:t xml:space="preserve"> </w:t>
      </w:r>
      <w:r>
        <w:t xml:space="preserve">evolve as Section 7.4’s acquisition roadmap is executed.</w:t>
      </w:r>
    </w:p>
    <w:bookmarkEnd w:id="37"/>
    <w:bookmarkStart w:id="38" w:name="g.3-replication-archive-specification"/>
    <w:p>
      <w:pPr>
        <w:pStyle w:val="2"/>
      </w:pPr>
      <w:r>
        <w:rPr>
          <w:bCs/>
          <w:b/>
        </w:rPr>
        <w:t xml:space="preserve">G.3 Replication Archive Specification</w:t>
      </w:r>
    </w:p>
    <w:p>
      <w:pPr>
        <w:pStyle w:val="FirstParagraph"/>
      </w:pPr>
      <w:r>
        <w:t xml:space="preserve">The controlling empirical dataset is the n=81 manuscript panel (15</w:t>
      </w:r>
      <w:r>
        <w:t xml:space="preserve"> </w:t>
      </w:r>
      <w:r>
        <w:t xml:space="preserve">verified/66 estimated, crisis_episodes.csv with the §G.2 reconciliation</w:t>
      </w:r>
      <w:r>
        <w:t xml:space="preserve"> </w:t>
      </w:r>
      <w:r>
        <w:t xml:space="preserve">and all §7.3 re-verifications and corrections applied — see the</w:t>
      </w:r>
      <w:r>
        <w:t xml:space="preserve"> </w:t>
      </w:r>
      <w:r>
        <w:t xml:space="preserve">reproducibility audit note in §G.2 for the full correction history).</w:t>
      </w:r>
      <w:r>
        <w:t xml:space="preserve"> </w:t>
      </w:r>
      <w:r>
        <w:t xml:space="preserve">Running python reproduce.py --verify confirms 8/8 engine fingerprints;</w:t>
      </w:r>
      <w:r>
        <w:t xml:space="preserve"> </w:t>
      </w:r>
      <w:r>
        <w:t xml:space="preserve">python reproduce.py --calibration runs the OLS/MLE estimation on the</w:t>
      </w:r>
      <w:r>
        <w:t xml:space="preserve"> </w:t>
      </w:r>
      <w:r>
        <w:t xml:space="preserve">n=81 panel and compares θ₂ against the manuscript value (tolerance</w:t>
      </w:r>
      <w:r>
        <w:t xml:space="preserve"> </w:t>
      </w:r>
      <w:r>
        <w:t xml:space="preserve">±0.02). Running python reproduce.py --tables regenerates Tables 4, 8,</w:t>
      </w:r>
      <w:r>
        <w:t xml:space="preserve"> </w:t>
      </w:r>
      <w:r>
        <w:t xml:space="preserve">and 9 from direct Monte Carlo simulation. A Zenodo DOI for the full</w:t>
      </w:r>
      <w:r>
        <w:t xml:space="preserve"> </w:t>
      </w:r>
      <w:r>
        <w:t xml:space="preserve">data/code snapshot is planned prior to final submission.</w:t>
      </w:r>
    </w:p>
    <w:p>
      <w:pPr>
        <w:pStyle w:val="BodyText"/>
      </w:pPr>
      <w:r>
        <w:rPr>
          <w:bCs/>
          <w:b/>
        </w:rPr>
        <w:t xml:space="preserve">Table G3. Supplementary Cross-Country Fine-Grid Direct-MC Check</w:t>
      </w:r>
      <w:r>
        <w:rPr>
          <w:bCs/>
          <w:b/>
        </w:rPr>
        <w:t xml:space="preserve"> </w:t>
      </w:r>
      <w:r>
        <w:rPr>
          <w:bCs/>
          <w:b/>
        </w:rPr>
        <w:t xml:space="preserve">(selected caps 5M–10M, N=300 per cap, engine v6.0)</w:t>
      </w:r>
    </w:p>
    <w:tbl>
      <w:tblPr>
        <w:tblStyle w:val="Table"/>
        <w:tblW w:type="pct" w:w="4865"/>
        <w:jc w:val="start"/>
        <w:tblLook w:firstRow="1" w:lastRow="0" w:firstColumn="0" w:lastColumn="0" w:noHBand="0" w:noVBand="0" w:val="0020"/>
      </w:tblPr>
      <w:tblGrid>
        <w:gridCol w:w="963"/>
        <w:gridCol w:w="1605"/>
        <w:gridCol w:w="1605"/>
        <w:gridCol w:w="1605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</w:t>
            </w:r>
            <w:r>
              <w:br/>
            </w:r>
            <w:r>
              <w:rPr>
                <w:bCs/>
                <w:b/>
              </w:rPr>
              <w:t xml:space="preserve">(KRW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P(Fail)</w:t>
            </w:r>
            <w:r>
              <w:br/>
            </w:r>
            <w:r>
              <w:rPr>
                <w:bCs/>
                <w:b/>
              </w:rPr>
              <w:t xml:space="preserve">[Wilson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P(Fail)</w:t>
            </w:r>
            <w:r>
              <w:br/>
            </w:r>
            <w:r>
              <w:rPr>
                <w:bCs/>
                <w:b/>
              </w:rPr>
              <w:t xml:space="preserve">[Wilson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P(Fail)</w:t>
            </w:r>
            <w:r>
              <w:br/>
            </w:r>
            <w:r>
              <w:rPr>
                <w:bCs/>
                <w:b/>
              </w:rPr>
              <w:t xml:space="preserve">[Wilson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Sweden P(Fail)</w:t>
            </w:r>
            <w:r>
              <w:br/>
            </w:r>
            <w:r>
              <w:rPr>
                <w:bCs/>
                <w:b/>
              </w:rPr>
              <w:t xml:space="preserve">[Wilson 95%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0.0272</w:t>
            </w:r>
            <w:r>
              <w:t xml:space="preserve"> </w:t>
            </w:r>
            <w:r>
              <w:t xml:space="preserve">[0.0139,</w:t>
            </w:r>
            <w:r>
              <w:t xml:space="preserve"> </w:t>
            </w:r>
            <w:r>
              <w:t xml:space="preserve">0.0524]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0.0526</w:t>
            </w:r>
            <w:r>
              <w:t xml:space="preserve"> </w:t>
            </w:r>
            <w:r>
              <w:t xml:space="preserve">[0.0325,</w:t>
            </w:r>
            <w:r>
              <w:t xml:space="preserve"> </w:t>
            </w:r>
            <w:r>
              <w:t xml:space="preserve">0.0840]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0.1272</w:t>
            </w:r>
            <w:r>
              <w:t xml:space="preserve"> </w:t>
            </w:r>
            <w:r>
              <w:t xml:space="preserve">[0.0942,</w:t>
            </w:r>
            <w:r>
              <w:t xml:space="preserve"> </w:t>
            </w:r>
            <w:r>
              <w:t xml:space="preserve">0.1697]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0.3045 [0.2552,</w:t>
            </w:r>
            <w:r>
              <w:t xml:space="preserve"> </w:t>
            </w:r>
            <w:r>
              <w:t xml:space="preserve">0.3588]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0.0129</w:t>
            </w:r>
            <w:r>
              <w:t xml:space="preserve"> </w:t>
            </w:r>
            <w:r>
              <w:t xml:space="preserve">[0.0050,</w:t>
            </w:r>
            <w:r>
              <w:t xml:space="preserve"> </w:t>
            </w:r>
            <w:r>
              <w:t xml:space="preserve">0.0332]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0.0232</w:t>
            </w:r>
            <w:r>
              <w:t xml:space="preserve"> </w:t>
            </w:r>
            <w:r>
              <w:t xml:space="preserve">[0.0113,</w:t>
            </w:r>
            <w:r>
              <w:t xml:space="preserve"> </w:t>
            </w:r>
            <w:r>
              <w:t xml:space="preserve">0.0472]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0.0511</w:t>
            </w:r>
            <w:r>
              <w:t xml:space="preserve"> </w:t>
            </w:r>
            <w:r>
              <w:t xml:space="preserve">[0.0314,</w:t>
            </w:r>
            <w:r>
              <w:t xml:space="preserve"> </w:t>
            </w:r>
            <w:r>
              <w:t xml:space="preserve">0.0822]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0.1323 [0.0986,</w:t>
            </w:r>
            <w:r>
              <w:t xml:space="preserve"> </w:t>
            </w:r>
            <w:r>
              <w:t xml:space="preserve">0.1753]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0.0130</w:t>
            </w:r>
            <w:r>
              <w:t xml:space="preserve"> </w:t>
            </w:r>
            <w:r>
              <w:t xml:space="preserve">[0.0050,</w:t>
            </w:r>
            <w:r>
              <w:t xml:space="preserve"> </w:t>
            </w:r>
            <w:r>
              <w:t xml:space="preserve">0.0333]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</w:t>
            </w:r>
            <w:r>
              <w:t xml:space="preserve"> </w:t>
            </w:r>
            <w:r>
              <w:t xml:space="preserve">[0.0114,</w:t>
            </w:r>
            <w:r>
              <w:t xml:space="preserve"> </w:t>
            </w:r>
            <w:r>
              <w:t xml:space="preserve">0.0475]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0.0515</w:t>
            </w:r>
            <w:r>
              <w:t xml:space="preserve"> </w:t>
            </w:r>
            <w:r>
              <w:t xml:space="preserve">[0.0317,</w:t>
            </w:r>
            <w:r>
              <w:t xml:space="preserve"> </w:t>
            </w:r>
            <w:r>
              <w:t xml:space="preserve">0.0827]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0.1334 [0.0995,</w:t>
            </w:r>
            <w:r>
              <w:t xml:space="preserve"> </w:t>
            </w:r>
            <w:r>
              <w:t xml:space="preserve">0.1765]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0.0133</w:t>
            </w:r>
            <w:r>
              <w:t xml:space="preserve"> </w:t>
            </w:r>
            <w:r>
              <w:t xml:space="preserve">[0.0052,</w:t>
            </w:r>
            <w:r>
              <w:t xml:space="preserve"> </w:t>
            </w:r>
            <w:r>
              <w:t xml:space="preserve">0.0337]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0.0238</w:t>
            </w:r>
            <w:r>
              <w:t xml:space="preserve"> </w:t>
            </w:r>
            <w:r>
              <w:t xml:space="preserve">[0.0117,</w:t>
            </w:r>
            <w:r>
              <w:t xml:space="preserve"> </w:t>
            </w:r>
            <w:r>
              <w:t xml:space="preserve">0.0480]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</w:t>
            </w:r>
            <w:r>
              <w:t xml:space="preserve"> </w:t>
            </w:r>
            <w:r>
              <w:t xml:space="preserve">[0.0323,</w:t>
            </w:r>
            <w:r>
              <w:t xml:space="preserve"> </w:t>
            </w:r>
            <w:r>
              <w:t xml:space="preserve">0.0836]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0.1356 [0.1014,</w:t>
            </w:r>
            <w:r>
              <w:t xml:space="preserve"> </w:t>
            </w:r>
            <w:r>
              <w:t xml:space="preserve">0.1790]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0.0134</w:t>
            </w:r>
            <w:r>
              <w:t xml:space="preserve"> </w:t>
            </w:r>
            <w:r>
              <w:t xml:space="preserve">[0.0052,</w:t>
            </w:r>
            <w:r>
              <w:t xml:space="preserve"> </w:t>
            </w:r>
            <w:r>
              <w:t xml:space="preserve">0.0339]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0.0240</w:t>
            </w:r>
            <w:r>
              <w:t xml:space="preserve"> </w:t>
            </w:r>
            <w:r>
              <w:t xml:space="preserve">[0.0118,</w:t>
            </w:r>
            <w:r>
              <w:t xml:space="preserve"> </w:t>
            </w:r>
            <w:r>
              <w:t xml:space="preserve">0.0482]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0.0527</w:t>
            </w:r>
            <w:r>
              <w:t xml:space="preserve"> </w:t>
            </w:r>
            <w:r>
              <w:t xml:space="preserve">[0.0326,</w:t>
            </w:r>
            <w:r>
              <w:t xml:space="preserve"> </w:t>
            </w:r>
            <w:r>
              <w:t xml:space="preserve">0.0841]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0.1368 [0.1025,</w:t>
            </w:r>
            <w:r>
              <w:t xml:space="preserve"> </w:t>
            </w:r>
            <w:r>
              <w:t xml:space="preserve">0.1803]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0.0140</w:t>
            </w:r>
            <w:r>
              <w:t xml:space="preserve"> </w:t>
            </w:r>
            <w:r>
              <w:t xml:space="preserve">[0.0056,</w:t>
            </w:r>
            <w:r>
              <w:t xml:space="preserve"> </w:t>
            </w:r>
            <w:r>
              <w:t xml:space="preserve">0.0347]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0.0252</w:t>
            </w:r>
            <w:r>
              <w:t xml:space="preserve"> </w:t>
            </w:r>
            <w:r>
              <w:t xml:space="preserve">[0.0126,</w:t>
            </w:r>
            <w:r>
              <w:t xml:space="preserve"> </w:t>
            </w:r>
            <w:r>
              <w:t xml:space="preserve">0.0498]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0.0547</w:t>
            </w:r>
            <w:r>
              <w:t xml:space="preserve"> </w:t>
            </w:r>
            <w:r>
              <w:t xml:space="preserve">[0.0341,</w:t>
            </w:r>
            <w:r>
              <w:t xml:space="preserve"> </w:t>
            </w:r>
            <w:r>
              <w:t xml:space="preserve">0.0865]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0.1423 [0.1073,</w:t>
            </w:r>
            <w:r>
              <w:t xml:space="preserve"> </w:t>
            </w:r>
            <w:r>
              <w:t xml:space="preserve">0.1864]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Notes: Direct Monte Carlo re-simulation at listed cap levels (5.0M to</w:t>
      </w:r>
      <w:r>
        <w:rPr>
          <w:iCs/>
          <w:i/>
        </w:rPr>
        <w:t xml:space="preserve"> </w:t>
      </w:r>
      <w:r>
        <w:rPr>
          <w:iCs/>
          <w:i/>
        </w:rPr>
        <w:t xml:space="preserve">10.0M KRW) for each non-Korea economy. Risk-minimising cap is 5.5M KRW</w:t>
      </w:r>
      <w:r>
        <w:rPr>
          <w:iCs/>
          <w:i/>
        </w:rPr>
        <w:t xml:space="preserve"> </w:t>
      </w:r>
      <w:r>
        <w:rPr>
          <w:iCs/>
          <w:i/>
        </w:rPr>
        <w:t xml:space="preserve">within the listed grid for all economies, consistent with Korea (Table</w:t>
      </w:r>
      <w:r>
        <w:rPr>
          <w:iCs/>
          <w:i/>
        </w:rPr>
        <w:t xml:space="preserve"> </w:t>
      </w:r>
      <w:r>
        <w:rPr>
          <w:iCs/>
          <w:i/>
        </w:rPr>
        <w:t xml:space="preserve">7a). The 5M point is dominated (high P, low welfare). Above 5.5M the</w:t>
      </w:r>
      <w:r>
        <w:rPr>
          <w:iCs/>
          <w:i/>
        </w:rPr>
        <w:t xml:space="preserve"> </w:t>
      </w:r>
      <w:r>
        <w:rPr>
          <w:iCs/>
          <w:i/>
        </w:rPr>
        <w:t xml:space="preserve">trade-off is monotone within the listed caps. Results suggest the</w:t>
      </w:r>
      <w:r>
        <w:rPr>
          <w:iCs/>
          <w:i/>
        </w:rPr>
        <w:t xml:space="preserve"> </w:t>
      </w:r>
      <w:r>
        <w:rPr>
          <w:iCs/>
          <w:i/>
        </w:rPr>
        <w:t xml:space="preserve">non-monotone cap–P(Fail) mechanism is not Korea-specific, but higher-N</w:t>
      </w:r>
      <w:r>
        <w:rPr>
          <w:iCs/>
          <w:i/>
        </w:rPr>
        <w:t xml:space="preserve"> </w:t>
      </w:r>
      <w:r>
        <w:rPr>
          <w:iCs/>
          <w:i/>
        </w:rPr>
        <w:t xml:space="preserve">full-surface replication remains required for final country-specific</w:t>
      </w:r>
      <w:r>
        <w:rPr>
          <w:iCs/>
          <w:i/>
        </w:rPr>
        <w:t xml:space="preserve"> </w:t>
      </w:r>
      <w:r>
        <w:rPr>
          <w:iCs/>
          <w:i/>
        </w:rPr>
        <w:t xml:space="preserve">optimal-cap claims. Reading guide for this table: each row is an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 N=300 direct-MC run at the listed cap level; within-column</w:t>
      </w:r>
      <w:r>
        <w:rPr>
          <w:iCs/>
          <w:i/>
        </w:rPr>
        <w:t xml:space="preserve"> </w:t>
      </w:r>
      <w:r>
        <w:rPr>
          <w:iCs/>
          <w:i/>
        </w:rPr>
        <w:t xml:space="preserve">monotonicity is not guaranteed across all caps (the 5M–5.5M</w:t>
      </w:r>
      <w:r>
        <w:rPr>
          <w:iCs/>
          <w:i/>
        </w:rPr>
        <w:t xml:space="preserve"> </w:t>
      </w:r>
      <w:r>
        <w:rPr>
          <w:iCs/>
          <w:i/>
        </w:rPr>
        <w:t xml:space="preserve">discontinuity reflects tier-1 activation, not simulation noise);</w:t>
      </w:r>
      <w:r>
        <w:rPr>
          <w:iCs/>
          <w:i/>
        </w:rPr>
        <w:t xml:space="preserve"> </w:t>
      </w:r>
      <w:r>
        <w:rPr>
          <w:iCs/>
          <w:i/>
        </w:rPr>
        <w:t xml:space="preserve">cross-country comparison at 5.5M is the main design-diagnostic result,</w:t>
      </w:r>
      <w:r>
        <w:rPr>
          <w:iCs/>
          <w:i/>
        </w:rPr>
        <w:t xml:space="preserve"> </w:t>
      </w:r>
      <w:r>
        <w:rPr>
          <w:iCs/>
          <w:i/>
        </w:rPr>
        <w:t xml:space="preserve">while entries above 7.5M are included for completeness only.</w:t>
      </w:r>
    </w:p>
    <w:p>
      <w:pPr>
        <w:pStyle w:val="BodyText"/>
      </w:pPr>
      <w:r>
        <w:rPr>
          <w:iCs/>
          <w:i/>
        </w:rPr>
        <w:t xml:space="preserve">Appendix H below reproduces, in full and unabridged form, the</w:t>
      </w:r>
      <w:r>
        <w:rPr>
          <w:iCs/>
          <w:i/>
        </w:rPr>
        <w:t xml:space="preserve"> </w:t>
      </w:r>
      <w:r>
        <w:rPr>
          <w:iCs/>
          <w:i/>
        </w:rPr>
        <w:t xml:space="preserve">fourteen-item primary-source verification narrative summarised in §7.3</w:t>
      </w:r>
      <w:r>
        <w:rPr>
          <w:iCs/>
          <w:i/>
        </w:rPr>
        <w:t xml:space="preserve"> </w:t>
      </w:r>
      <w:r>
        <w:rPr>
          <w:iCs/>
          <w:i/>
        </w:rPr>
        <w:t xml:space="preserve">of the main text, the complete Future Work roadmap detail summarised in</w:t>
      </w:r>
      <w:r>
        <w:rPr>
          <w:iCs/>
          <w:i/>
        </w:rPr>
        <w:t xml:space="preserve"> </w:t>
      </w:r>
      <w:r>
        <w:rPr>
          <w:iCs/>
          <w:i/>
        </w:rPr>
        <w:t xml:space="preserve">§7.4, Table 7d in full, and the full prose version of the eight</w:t>
      </w:r>
      <w:r>
        <w:rPr>
          <w:iCs/>
          <w:i/>
        </w:rPr>
        <w:t xml:space="preserve"> </w:t>
      </w:r>
      <w:r>
        <w:rPr>
          <w:iCs/>
          <w:i/>
        </w:rPr>
        <w:t xml:space="preserve">limitations summarised as Table 10 in §7.2. None of these is required to</w:t>
      </w:r>
      <w:r>
        <w:rPr>
          <w:iCs/>
          <w:i/>
        </w:rPr>
        <w:t xml:space="preserve"> </w:t>
      </w:r>
      <w:r>
        <w:rPr>
          <w:iCs/>
          <w:i/>
        </w:rPr>
        <w:t xml:space="preserve">follow the main argument of the paper; all are provided for readers who</w:t>
      </w:r>
      <w:r>
        <w:rPr>
          <w:iCs/>
          <w:i/>
        </w:rPr>
        <w:t xml:space="preserve"> </w:t>
      </w:r>
      <w:r>
        <w:rPr>
          <w:iCs/>
          <w:i/>
        </w:rPr>
        <w:t xml:space="preserve">want the complete evidentiary record.</w:t>
      </w:r>
    </w:p>
    <w:bookmarkEnd w:id="38"/>
    <w:bookmarkEnd w:id="39"/>
    <w:bookmarkStart w:id="43" w:name="Xa039e7f0151e1eaf47b919dfbd55960c02a765b"/>
    <w:p>
      <w:pPr>
        <w:pStyle w:val="1"/>
      </w:pPr>
      <w:r>
        <w:rPr>
          <w:bCs/>
          <w:b/>
        </w:rPr>
        <w:t xml:space="preserve">Appendix H. Extended Primary-Source Verification, Limitations, and Future-Work Detail</w:t>
      </w:r>
    </w:p>
    <w:p>
      <w:pPr>
        <w:pStyle w:val="FirstParagraph"/>
      </w:pPr>
      <w:r>
        <w:rPr>
          <w:iCs/>
          <w:i/>
        </w:rPr>
        <w:t xml:space="preserve">This appendix reproduces material moved out of the main text during</w:t>
      </w:r>
      <w:r>
        <w:rPr>
          <w:iCs/>
          <w:i/>
        </w:rPr>
        <w:t xml:space="preserve"> </w:t>
      </w:r>
      <w:r>
        <w:rPr>
          <w:iCs/>
          <w:i/>
        </w:rPr>
        <w:t xml:space="preserve">revision to keep §7.2–§7.4 concise. It is presented largely as</w:t>
      </w:r>
      <w:r>
        <w:rPr>
          <w:iCs/>
          <w:i/>
        </w:rPr>
        <w:t xml:space="preserve"> </w:t>
      </w:r>
      <w:r>
        <w:rPr>
          <w:iCs/>
          <w:i/>
        </w:rPr>
        <w:t xml:space="preserve">originally drafted, with only light editing for consistency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renumbered Future Work priorities and the Specification I/II terminology</w:t>
      </w:r>
      <w:r>
        <w:rPr>
          <w:iCs/>
          <w:i/>
        </w:rPr>
        <w:t xml:space="preserve"> </w:t>
      </w:r>
      <w:r>
        <w:rPr>
          <w:iCs/>
          <w:i/>
        </w:rPr>
        <w:t xml:space="preserve">used elsewhere in this revision.</w:t>
      </w:r>
    </w:p>
    <w:bookmarkStart w:id="40" w:name="Xc14bf99836554aca58a3b3b5be44066a59104c2"/>
    <w:p>
      <w:pPr>
        <w:pStyle w:val="2"/>
      </w:pPr>
      <w:r>
        <w:t xml:space="preserve">H.1 Primary-Source Verification: Full Narrative and Table 7d</w:t>
      </w:r>
    </w:p>
    <w:p>
      <w:pPr>
        <w:pStyle w:val="FirstParagraph"/>
      </w:pPr>
      <w:r>
        <w:t xml:space="preserve">The limitations above are not left purely as caveats. Priority (i) of</w:t>
      </w:r>
      <w:r>
        <w:t xml:space="preserve"> </w:t>
      </w:r>
      <w:r>
        <w:t xml:space="preserve">Section 7.4 (expanding the verified panel) reflects work already</w:t>
      </w:r>
      <w:r>
        <w:t xml:space="preserve"> </w:t>
      </w:r>
      <w:r>
        <w:t xml:space="preserve">undertaken: fourteen primary-source verification attempts have been</w:t>
      </w:r>
      <w:r>
        <w:t xml:space="preserve"> </w:t>
      </w:r>
      <w:r>
        <w:t xml:space="preserve">carried out, summarised in Table 7d below (full sources, figures, and</w:t>
      </w:r>
      <w:r>
        <w:t xml:space="preserve"> </w:t>
      </w:r>
      <w:r>
        <w:t xml:space="preserve">reasoning for each in Online Supplementary Appendix H). Three promotions</w:t>
      </w:r>
      <w:r>
        <w:t xml:space="preserve"> </w:t>
      </w:r>
      <w:r>
        <w:t xml:space="preserve">(indymac, wachovia, landsbanki) moved the panel from 10/69 to 13/66</w:t>
      </w:r>
      <w:r>
        <w:t xml:space="preserve"> </w:t>
      </w:r>
      <w:r>
        <w:t xml:space="preserve">across three rounds, and two further additions (bank_of_new_england,</w:t>
      </w:r>
      <w:r>
        <w:t xml:space="preserve"> </w:t>
      </w:r>
      <w:r>
        <w:t xml:space="preserve">countrywide_financial; §7.4) subsequently moved it to 15/66; two</w:t>
      </w:r>
      <w:r>
        <w:t xml:space="preserve"> </w:t>
      </w:r>
      <w:r>
        <w:t xml:space="preserve">mechanism corrections (guaranty_bank, corus_bank) replaced heuristic</w:t>
      </w:r>
      <w:r>
        <w:t xml:space="preserve"> </w:t>
      </w:r>
      <w:r>
        <w:t xml:space="preserve">deposit-run values with measured figures for episodes that, on</w:t>
      </w:r>
      <w:r>
        <w:t xml:space="preserve"> </w:t>
      </w:r>
      <w:r>
        <w:t xml:space="preserve">primary-source review, did not involve an acute deposit run at all; one</w:t>
      </w:r>
      <w:r>
        <w:t xml:space="preserve"> </w:t>
      </w:r>
      <w:r>
        <w:t xml:space="preserve">structural exclusion (silverton_bank) found the panel’s retail-run</w:t>
      </w:r>
      <w:r>
        <w:t xml:space="preserve"> </w:t>
      </w:r>
      <w:r>
        <w:t xml:space="preserve">mechanism does not apply to a correspondent-only bank; and six further</w:t>
      </w:r>
      <w:r>
        <w:t xml:space="preserve"> </w:t>
      </w:r>
      <w:r>
        <w:t xml:space="preserve">episodes were confirmed as fully-sourced, ready-to-execute additions</w:t>
      </w:r>
      <w:r>
        <w:t xml:space="preserve"> </w:t>
      </w:r>
      <w:r>
        <w:t xml:space="preserve">(items 13–14). Two of these (bank_of_new_england,</w:t>
      </w:r>
      <w:r>
        <w:t xml:space="preserve"> </w:t>
      </w:r>
      <w:r>
        <w:t xml:space="preserve">countrywide_financial; item 13) have been executed in this revision,</w:t>
      </w:r>
      <w:r>
        <w:t xml:space="preserve"> </w:t>
      </w:r>
      <w:r>
        <w:t xml:space="preserve">taking the panel from n=79 to n=81 and propagating through the several</w:t>
      </w:r>
      <w:r>
        <w:t xml:space="preserve"> </w:t>
      </w:r>
      <w:r>
        <w:t xml:space="preserve">hundred affected locations across Tables 1–2a, Appendices D–H, and the</w:t>
      </w:r>
      <w:r>
        <w:t xml:space="preserve"> </w:t>
      </w:r>
      <w:r>
        <w:t xml:space="preserve">narrative text (§7.4). The remaining four (item 14) are not added here:</w:t>
      </w:r>
      <w:r>
        <w:t xml:space="preserve"> </w:t>
      </w:r>
      <w:r>
        <w:t xml:space="preserve">as shown above, refining them to precise BCBS(2024) acute-window figures</w:t>
      </w:r>
      <w:r>
        <w:t xml:space="preserve"> </w:t>
      </w:r>
      <w:r>
        <w:t xml:space="preserve">breaks headline significance, so their inclusion is deferred to a</w:t>
      </w:r>
      <w:r>
        <w:t xml:space="preserve"> </w:t>
      </w:r>
      <w:r>
        <w:t xml:space="preserve">future, dedicated robustness section rather than folded into this</w:t>
      </w:r>
      <w:r>
        <w:t xml:space="preserve"> </w:t>
      </w:r>
      <w:r>
        <w:t xml:space="preserve">revision.</w:t>
      </w:r>
    </w:p>
    <w:p>
      <w:pPr>
        <w:pStyle w:val="BodyText"/>
      </w:pPr>
      <w:r>
        <w:rPr>
          <w:bCs/>
          <w:b/>
        </w:rPr>
        <w:t xml:space="preserve">Table 7d. Summary of Fourteen Primary-Source Verification Attempts</w:t>
      </w:r>
    </w:p>
    <w:tbl>
      <w:tblPr>
        <w:tblStyle w:val="Table"/>
        <w:tblW w:type="pct" w:w="4903"/>
        <w:jc w:val="start"/>
        <w:tblLook w:firstRow="0" w:lastRow="0" w:firstColumn="0" w:lastColumn="0" w:noHBand="0" w:noVBand="0" w:val="0000"/>
      </w:tblPr>
      <w:tblGrid>
        <w:gridCol w:w="692"/>
        <w:gridCol w:w="1768"/>
        <w:gridCol w:w="1384"/>
        <w:gridCol w:w="2076"/>
        <w:gridCol w:w="184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figure /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washington_mutual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  <w:r>
              <w:t xml:space="preserve"> </w:t>
            </w:r>
            <w:r>
              <w:t xml:space="preserve">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$16.7bn/9–10d ≈ 9% (OTS</w:t>
            </w:r>
            <w:r>
              <w:t xml:space="preserve"> </w:t>
            </w:r>
            <w:r>
              <w:t xml:space="preserve">press release; NPR)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peak_out 0.02→0.09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laiki_bank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w:r>
              <w:t xml:space="preserve"> </w:t>
            </w:r>
            <w:r>
              <w:t xml:space="preserve">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≈⅓ domestic deposits lost,</w:t>
            </w:r>
            <w:r>
              <w:t xml:space="preserve"> </w:t>
            </w:r>
            <w:r>
              <w:t xml:space="preserve">2012 (CBC/IMF)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Informative</w:t>
            </w:r>
            <w:r>
              <w:t xml:space="preserve"> </w:t>
            </w:r>
            <w:r>
              <w:t xml:space="preserve">negative</w:t>
            </w:r>
            <w:r>
              <w:t xml:space="preserve"> </w:t>
            </w:r>
            <w:r>
              <w:t xml:space="preserve">(scale/window</w:t>
            </w:r>
            <w:r>
              <w:t xml:space="preserve"> </w:t>
            </w:r>
            <w:r>
              <w:t xml:space="preserve">mismatch)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 over 1 quarter (SEC</w:t>
            </w:r>
            <w:r>
              <w:t xml:space="preserve"> </w:t>
            </w:r>
            <w:r>
              <w:t xml:space="preserve">8-K, FDIC)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indymac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$1.3bn/11 business days ≈</w:t>
            </w:r>
            <w:r>
              <w:t xml:space="preserve"> </w:t>
            </w:r>
            <w:r>
              <w:t xml:space="preserve">6.8% (OTS); reconciles</w:t>
            </w:r>
            <w:r>
              <w:t xml:space="preserve"> </w:t>
            </w:r>
            <w:r>
              <w:t xml:space="preserve">BCBS 8%/14d (≈$1.55bn</w:t>
            </w:r>
            <w:r>
              <w:t xml:space="preserve"> </w:t>
            </w:r>
            <w:r>
              <w:t xml:space="preserve">calendar-day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estimated→verified,</w:t>
            </w:r>
            <w:r>
              <w:t xml:space="preserve"> </w:t>
            </w:r>
            <w:r>
              <w:t xml:space="preserve">0.08→0.068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downey_savings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w:r>
              <w:t xml:space="preserve"> </w:t>
            </w:r>
            <w:r>
              <w:t xml:space="preserve">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declines 3.5%,</w:t>
            </w:r>
            <w:r>
              <w:t xml:space="preserve"> </w:t>
            </w:r>
            <w:r>
              <w:t xml:space="preserve">2.7% (SEC 10-Q)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wachovia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≈$5bn/1 day ≈ 1% (3</w:t>
            </w:r>
            <w:r>
              <w:t xml:space="preserve"> </w:t>
            </w:r>
            <w:r>
              <w:t xml:space="preserve">independent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estimated→verified,</w:t>
            </w:r>
            <w:r>
              <w:t xml:space="preserve"> </w:t>
            </w:r>
            <w:r>
              <w:t xml:space="preserve">0.03→0.011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guaranty_bank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  <w:r>
              <w:t xml:space="preserve"> </w:t>
            </w: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insolvency, not a</w:t>
            </w:r>
            <w:r>
              <w:t xml:space="preserve"> </w:t>
            </w:r>
            <w:r>
              <w:t xml:space="preserve">run; deposits +28% (OTS,</w:t>
            </w:r>
            <w:r>
              <w:t xml:space="preserve"> </w:t>
            </w:r>
            <w:r>
              <w:t xml:space="preserve">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estimated,</w:t>
            </w:r>
            <w:r>
              <w:t xml:space="preserve"> </w:t>
            </w:r>
            <w:r>
              <w:t xml:space="preserve">0.05→0.00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corus_bank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  <w:r>
              <w:t xml:space="preserve"> </w:t>
            </w: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CRE-loss insolvency;</w:t>
            </w:r>
            <w:r>
              <w:t xml:space="preserve"> </w:t>
            </w:r>
            <w:r>
              <w:t xml:space="preserve">−8.05% over 2 quarters</w:t>
            </w:r>
            <w:r>
              <w:t xml:space="preserve"> </w:t>
            </w:r>
            <w:r>
              <w:t xml:space="preserve">(SEC)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estimated,</w:t>
            </w:r>
            <w:r>
              <w:t xml:space="preserve"> </w:t>
            </w:r>
            <w:r>
              <w:t xml:space="preserve">window 10→180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colonial_bank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w:r>
              <w:t xml:space="preserve"> </w:t>
            </w:r>
            <w:r>
              <w:t xml:space="preserve">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fraud/insolvency, no</w:t>
            </w:r>
            <w:r>
              <w:t xml:space="preserve"> </w:t>
            </w:r>
            <w:r>
              <w:t xml:space="preserve">quantified acute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silverton_bank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  <w:r>
              <w:t xml:space="preserve"> </w:t>
            </w:r>
            <w:r>
              <w:t xml:space="preserve">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retail depositors</w:t>
            </w:r>
            <w:r>
              <w:t xml:space="preserve"> </w:t>
            </w:r>
            <w:r>
              <w:t xml:space="preserve">(OCC/FDIC-OIG)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estimated;</w:t>
            </w:r>
            <w:r>
              <w:t xml:space="preserve"> </w:t>
            </w:r>
            <w:r>
              <w:t xml:space="preserve">framework inapplicable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silicon_valley_bk_uk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Informative</w:t>
            </w:r>
            <w:r>
              <w:t xml:space="preserve"> </w:t>
            </w:r>
            <w:r>
              <w:t xml:space="preserve">negative</w:t>
            </w:r>
            <w:r>
              <w:t xml:space="preserve"> </w:t>
            </w:r>
            <w:r>
              <w:t xml:space="preserve">(overstated)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"met all withdrawal</w:t>
            </w:r>
            <w:r>
              <w:t xml:space="preserve"> </w:t>
            </w:r>
            <w:r>
              <w:t xml:space="preserve">demands" (Bank of</w:t>
            </w:r>
            <w:r>
              <w:t xml:space="preserve"> </w:t>
            </w:r>
            <w:r>
              <w:t xml:space="preserve">England)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remains estimated;</w:t>
            </w:r>
            <w:r>
              <w:t xml:space="preserve"> </w:t>
            </w:r>
            <w:r>
              <w:t xml:space="preserve">heuristic likely too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landsbanki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£318m/weekend ≈ 6.4–6.9%</w:t>
            </w:r>
            <w:r>
              <w:t xml:space="preserve"> </w:t>
            </w:r>
            <w:r>
              <w:t xml:space="preserve">(Iceland SIC report,</w:t>
            </w:r>
            <w:r>
              <w:t xml:space="preserve"> </w:t>
            </w:r>
            <w:r>
              <w:t xml:space="preserve">Icelandic-language primary</w:t>
            </w:r>
            <w:r>
              <w:t xml:space="preserve"> </w:t>
            </w:r>
            <w:r>
              <w:t xml:space="preserve">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estimated→verified,</w:t>
            </w:r>
            <w:r>
              <w:t xml:space="preserve"> </w:t>
            </w:r>
            <w:r>
              <w:t xml:space="preserve">0.16→0.066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cross-validation + 2</w:t>
            </w:r>
            <w:r>
              <w:t xml:space="preserve"> </w:t>
            </w:r>
            <w:r>
              <w:t xml:space="preserve">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Corroboration +</w:t>
            </w:r>
            <w:r>
              <w:t xml:space="preserve"> </w:t>
            </w: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McKinley (2014); FDIC</w:t>
            </w:r>
            <w:r>
              <w:t xml:space="preserve"> </w:t>
            </w:r>
            <w:r>
              <w:t xml:space="preserve">(1998) — Bank of New</w:t>
            </w:r>
            <w:r>
              <w:t xml:space="preserve"> </w:t>
            </w:r>
            <w:r>
              <w:t xml:space="preserve">England, Countrywide</w:t>
            </w:r>
            <w:r>
              <w:t xml:space="preserve"> </w:t>
            </w: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WaMu/IndyMac</w:t>
            </w:r>
            <w:r>
              <w:t xml:space="preserve"> </w:t>
            </w:r>
            <w:r>
              <w:t xml:space="preserve">corroborated; 2</w:t>
            </w:r>
            <w:r>
              <w:t xml:space="preserve"> </w:t>
            </w:r>
            <w:r>
              <w:t xml:space="preserve">candidates added this</w:t>
            </w:r>
            <w:r>
              <w:t xml:space="preserve"> </w:t>
            </w:r>
            <w:r>
              <w:t xml:space="preserve">revision (n=79→81,</w:t>
            </w:r>
            <w:r>
              <w:t xml:space="preserve"> </w:t>
            </w:r>
            <w:r>
              <w:t xml:space="preserve">§7.4)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BIS/FDIC/ECB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Corroboration + 4</w:t>
            </w:r>
            <w:r>
              <w:t xml:space="preserve"> </w:t>
            </w:r>
            <w:r>
              <w:t xml:space="preserve">candidates + 1</w:t>
            </w:r>
            <w:r>
              <w:t xml:space="preserve"> </w:t>
            </w:r>
            <w:r>
              <w:t xml:space="preserve">negative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BCBS (2024) Table A.1 —</w:t>
            </w:r>
            <w:r>
              <w:t xml:space="preserve"> </w:t>
            </w:r>
            <w:r>
              <w:t xml:space="preserve">Northern Rock, Credit</w:t>
            </w:r>
            <w:r>
              <w:t xml:space="preserve"> </w:t>
            </w:r>
            <w:r>
              <w:t xml:space="preserve">Suisse, Signature Bank,</w:t>
            </w:r>
            <w:r>
              <w:t xml:space="preserve"> </w:t>
            </w:r>
            <w:r>
              <w:t xml:space="preserve">First Republic; ECB stats</w:t>
            </w:r>
            <w:r>
              <w:t xml:space="preserve"> </w:t>
            </w:r>
            <w:r>
              <w:t xml:space="preserve">confirmed aggregate-only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WaMu/IndyMac</w:t>
            </w:r>
            <w:r>
              <w:t xml:space="preserve"> </w:t>
            </w:r>
            <w:r>
              <w:t xml:space="preserve">corroborated; 4 new</w:t>
            </w:r>
            <w:r>
              <w:t xml:space="preserve"> </w:t>
            </w:r>
            <w:r>
              <w:t xml:space="preserve">candidates; ECB roadmap</w:t>
            </w:r>
            <w:r>
              <w:t xml:space="preserve"> </w:t>
            </w:r>
            <w:r>
              <w:t xml:space="preserve">item retired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China/Japan/Russia</w:t>
            </w:r>
            <w:r>
              <w:t xml:space="preserve"> </w:t>
            </w:r>
            <w:r>
              <w:t xml:space="preserve">search + 2</w:t>
            </w:r>
            <w:r>
              <w:t xml:space="preserve"> </w:t>
            </w:r>
            <w:r>
              <w:t xml:space="preserve">candidates + fragility</w:t>
            </w:r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  <w:r>
              <w:t xml:space="preserve"> </w:t>
            </w:r>
            <w:r>
              <w:t xml:space="preserve">findings +</w:t>
            </w:r>
            <w:r>
              <w:t xml:space="preserve"> </w:t>
            </w:r>
            <w:r>
              <w:t xml:space="preserve">candidates +</w:t>
            </w:r>
            <w:r>
              <w:t xml:space="preserve"> </w:t>
            </w:r>
            <w:r>
              <w:t xml:space="preserve">robustness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PBOC: no run at Baoshang</w:t>
            </w:r>
            <w:r>
              <w:t xml:space="preserve"> </w:t>
            </w:r>
            <w:r>
              <w:t xml:space="preserve">(guaranteed); IMF Russia</w:t>
            </w:r>
            <w:r>
              <w:t xml:space="preserve"> </w:t>
            </w:r>
            <w:r>
              <w:t xml:space="preserve">1998 is system-wide only;</w:t>
            </w:r>
            <w:r>
              <w:t xml:space="preserve"> </w:t>
            </w:r>
            <w:r>
              <w:t xml:space="preserve">BOJ Takugin figures are</w:t>
            </w:r>
            <w:r>
              <w:t xml:space="preserve"> </w:t>
            </w:r>
            <w:r>
              <w:t xml:space="preserve">cumulative/LOLR-support,</w:t>
            </w:r>
            <w:r>
              <w:t xml:space="preserve"> </w:t>
            </w:r>
            <w:r>
              <w:t xml:space="preserve">not acute-window. Bank of</w:t>
            </w:r>
            <w:r>
              <w:t xml:space="preserve"> </w:t>
            </w:r>
            <w:r>
              <w:t xml:space="preserve">New England (1991,</w:t>
            </w:r>
            <w:r>
              <w:t xml:space="preserve"> </w:t>
            </w:r>
            <w:r>
              <w:t xml:space="preserve">McKinley 2014) and</w:t>
            </w:r>
            <w:r>
              <w:t xml:space="preserve"> </w:t>
            </w:r>
            <w:r>
              <w:t xml:space="preserve">Countrywide Financial</w:t>
            </w:r>
            <w:r>
              <w:t xml:space="preserve"> </w:t>
            </w:r>
            <w:r>
              <w:t xml:space="preserve">(2007, McKinley 2014) have</w:t>
            </w:r>
            <w:r>
              <w:t xml:space="preserve"> </w:t>
            </w:r>
            <w:r>
              <w:t xml:space="preserve">been added in this</w:t>
            </w:r>
            <w:r>
              <w:t xml:space="preserve"> </w:t>
            </w:r>
            <w:r>
              <w:t xml:space="preserve">revision (n=79→81,</w:t>
            </w:r>
            <w:r>
              <w:t xml:space="preserve"> </w:t>
            </w:r>
            <w:r>
              <w:t xml:space="preserve">verified 13→15, θ₂=0.2466,</w:t>
            </w:r>
            <w:r>
              <w:t xml:space="preserve"> </w:t>
            </w:r>
            <w:r>
              <w:t xml:space="preserve">p=0.0003 — preserves and</w:t>
            </w:r>
            <w:r>
              <w:t xml:space="preserve"> </w:t>
            </w:r>
            <w:r>
              <w:t xml:space="preserve">strengthens significance;</w:t>
            </w:r>
            <w:r>
              <w:t xml:space="preserve"> </w:t>
            </w:r>
            <w:r>
              <w:t xml:space="preserve">see §7.4 for full detail).</w:t>
            </w:r>
            <w:r>
              <w:t xml:space="preserve"> </w:t>
            </w:r>
            <w:r>
              <w:t xml:space="preserve">Refining Northern</w:t>
            </w:r>
            <w:r>
              <w:t xml:space="preserve"> </w:t>
            </w:r>
            <w:r>
              <w:t xml:space="preserve">Rock/Credit Suisse/First</w:t>
            </w:r>
            <w:r>
              <w:t xml:space="preserve"> </w:t>
            </w:r>
            <w:r>
              <w:t xml:space="preserve">Republic to more precise</w:t>
            </w:r>
            <w:r>
              <w:t xml:space="preserve"> </w:t>
            </w:r>
            <w:r>
              <w:t xml:space="preserve">BCBS(2024) acute-window</w:t>
            </w:r>
            <w:r>
              <w:t xml:space="preserve"> </w:t>
            </w:r>
            <w:r>
              <w:t xml:space="preserve">figures instead breaks</w:t>
            </w:r>
            <w:r>
              <w:t xml:space="preserve"> </w:t>
            </w:r>
            <w:r>
              <w:t xml:space="preserve">headline significance</w:t>
            </w:r>
            <w:r>
              <w:t xml:space="preserve"> </w:t>
            </w:r>
            <w:r>
              <w:t xml:space="preserve">(p=0.171), revealing the</w:t>
            </w:r>
            <w:r>
              <w:t xml:space="preserve"> </w:t>
            </w:r>
            <w:r>
              <w:t xml:space="preserve">C×S specification may not</w:t>
            </w:r>
            <w:r>
              <w:t xml:space="preserve"> </w:t>
            </w:r>
            <w:r>
              <w:t xml:space="preserve">generalise to large,</w:t>
            </w:r>
            <w:r>
              <w:t xml:space="preserve"> </w:t>
            </w:r>
            <w:r>
              <w:t xml:space="preserve">wholesale-funding-driven</w:t>
            </w:r>
            <w:r>
              <w:t xml:space="preserve"> </w:t>
            </w:r>
            <w:r>
              <w:t xml:space="preserve">systemic institutions.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bank_of_new_england and</w:t>
            </w:r>
            <w:r>
              <w:t xml:space="preserve"> </w:t>
            </w:r>
            <w:r>
              <w:t xml:space="preserve">countrywide_financial</w:t>
            </w:r>
            <w:r>
              <w:t xml:space="preserve"> </w:t>
            </w:r>
            <w:r>
              <w:t xml:space="preserve">integrated this</w:t>
            </w:r>
            <w:r>
              <w:t xml:space="preserve"> </w:t>
            </w:r>
            <w:r>
              <w:t xml:space="preserve">revision (§7.4); the</w:t>
            </w:r>
            <w:r>
              <w:t xml:space="preserve"> </w:t>
            </w:r>
            <w:r>
              <w:t xml:space="preserve">four BCBS(2024)</w:t>
            </w:r>
            <w:r>
              <w:t xml:space="preserve"> </w:t>
            </w:r>
            <w:r>
              <w:t xml:space="preserve">episodes remain NOT</w:t>
            </w:r>
            <w:r>
              <w:t xml:space="preserve"> </w:t>
            </w:r>
            <w:r>
              <w:t xml:space="preserve">integrated, flagged as</w:t>
            </w:r>
            <w:r>
              <w:t xml:space="preserve"> </w:t>
            </w:r>
            <w:r>
              <w:t xml:space="preserve">priority future work</w:t>
            </w:r>
            <w:r>
              <w:t xml:space="preserve"> </w:t>
            </w:r>
            <w:r>
              <w:t xml:space="preserve">requiring a dedicated</w:t>
            </w:r>
            <w:r>
              <w:t xml:space="preserve"> </w:t>
            </w:r>
            <w:r>
              <w:t xml:space="preserve">robustness section</w:t>
            </w:r>
            <w:r>
              <w:t xml:space="preserve"> </w:t>
            </w:r>
            <w:r>
              <w:t xml:space="preserve">given the</w:t>
            </w:r>
            <w:r>
              <w:t xml:space="preserve"> </w:t>
            </w:r>
            <w:r>
              <w:t xml:space="preserve">significance-breaking</w:t>
            </w:r>
            <w:r>
              <w:t xml:space="preserve"> </w:t>
            </w:r>
            <w:r>
              <w:t xml:space="preserve">finding above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sources, exact quotations, dollar figures, and the reasoning</w:t>
      </w:r>
      <w:r>
        <w:rPr>
          <w:iCs/>
          <w:i/>
        </w:rPr>
        <w:t xml:space="preserve"> </w:t>
      </w:r>
      <w:r>
        <w:rPr>
          <w:iCs/>
          <w:i/>
        </w:rPr>
        <w:t xml:space="preserve">behind each promotion/non-promotion decision are in Online Supplementary</w:t>
      </w:r>
      <w:r>
        <w:rPr>
          <w:iCs/>
          <w:i/>
        </w:rPr>
        <w:t xml:space="preserve"> </w:t>
      </w:r>
      <w:r>
        <w:rPr>
          <w:iCs/>
          <w:i/>
        </w:rPr>
        <w:t xml:space="preserve">Appendix H, which reproduces this section’s original unabridged text.</w:t>
      </w:r>
    </w:p>
    <w:bookmarkEnd w:id="40"/>
    <w:bookmarkStart w:id="41" w:name="X95831e3570bda09a0b229c50360e98b81991dae"/>
    <w:p>
      <w:pPr>
        <w:pStyle w:val="2"/>
      </w:pPr>
      <w:r>
        <w:t xml:space="preserve">H.3 Extended Limitations Detail (full prose)</w:t>
      </w:r>
    </w:p>
    <w:p>
      <w:pPr>
        <w:pStyle w:val="FirstParagraph"/>
      </w:pPr>
      <w:r>
        <w:t xml:space="preserve">Eight limitations are summarised here. Full detail (evidence, roadmaps,</w:t>
      </w:r>
      <w:r>
        <w:t xml:space="preserve"> </w:t>
      </w:r>
      <w:r>
        <w:t xml:space="preserve">and worked examples) is in Online Supplementary Appendix H. (L1) MCMC</w:t>
      </w:r>
      <w:r>
        <w:t xml:space="preserve"> </w:t>
      </w:r>
      <w:r>
        <w:t xml:space="preserve">non-convergence: the free-assignment Gibbs sampler does not converge for</w:t>
      </w:r>
      <w:r>
        <w:t xml:space="preserve"> </w:t>
      </w:r>
      <w:r>
        <w:t xml:space="preserve">the small digital-regime component (n=7 under the reconciled panel).</w:t>
      </w:r>
      <w:r>
        <w:t xml:space="preserve"> </w:t>
      </w:r>
      <w:r>
        <w:t xml:space="preserve">Frequentist OLS/MLE CIs are used instead (Appendix C.3). (L2) Panel</w:t>
      </w:r>
      <w:r>
        <w:t xml:space="preserve"> </w:t>
      </w:r>
      <w:r>
        <w:t xml:space="preserve">quality: 66/81 episodes are estimated rather than primary-source</w:t>
      </w:r>
      <w:r>
        <w:t xml:space="preserve"> </w:t>
      </w:r>
      <w:r>
        <w:t xml:space="preserve">verified (15/81 verified, revised after §G.2 reconciliation and</w:t>
      </w:r>
      <w:r>
        <w:t xml:space="preserve"> </w:t>
      </w:r>
      <w:r>
        <w:t xml:space="preserve">subsequent §7.3 re-verifications of indymac, wachovia, and landsbanki).</w:t>
      </w:r>
      <w:r>
        <w:t xml:space="preserve"> </w:t>
      </w:r>
      <w:r>
        <w:t xml:space="preserve">Every θ₂ CI is conditional on reconstruction correctness. This is the</w:t>
      </w:r>
      <w:r>
        <w:t xml:space="preserve"> </w:t>
      </w:r>
      <w:r>
        <w:t xml:space="preserve">paper’s most consequential structural limitation. Three independent</w:t>
      </w:r>
      <w:r>
        <w:t xml:space="preserve"> </w:t>
      </w:r>
      <w:r>
        <w:t xml:space="preserve">robustness checks (measurement-error bootstrap, reliability-weighted</w:t>
      </w:r>
      <w:r>
        <w:t xml:space="preserve"> </w:t>
      </w:r>
      <w:r>
        <w:t xml:space="preserve">OLS, random dropout) confirm sign stability but not data quality. A</w:t>
      </w:r>
      <w:r>
        <w:t xml:space="preserve"> </w:t>
      </w:r>
      <w:r>
        <w:t xml:space="preserve">documented case study (Appendix H) shows peak_outflow is structurally</w:t>
      </w:r>
      <w:r>
        <w:t xml:space="preserve"> </w:t>
      </w:r>
      <w:r>
        <w:t xml:space="preserve">unverifiable from public FDIC sources for a subset of short-window U.S.</w:t>
      </w:r>
      <w:r>
        <w:t xml:space="preserve"> </w:t>
      </w:r>
      <w:r>
        <w:t xml:space="preserve">failures. A distinct case (landsbanki; §7.3, item 12) shows a primary</w:t>
      </w:r>
      <w:r>
        <w:t xml:space="preserve"> </w:t>
      </w:r>
      <w:r>
        <w:t xml:space="preserve">source can be identified and its peak figure confirmed while the</w:t>
      </w:r>
      <w:r>
        <w:t xml:space="preserve"> </w:t>
      </w:r>
      <w:r>
        <w:t xml:space="preserve">corresponding trough sits behind a language barrier (SIC Report Vol. 6,</w:t>
      </w:r>
      <w:r>
        <w:t xml:space="preserve"> </w:t>
      </w:r>
      <w:r>
        <w:t xml:space="preserve">Ch. 18, untranslated from Icelandic). These are three structurally</w:t>
      </w:r>
      <w:r>
        <w:t xml:space="preserve"> </w:t>
      </w:r>
      <w:r>
        <w:t xml:space="preserve">different reasons a verification effort can fall short of the</w:t>
      </w:r>
      <w:r>
        <w:t xml:space="preserve"> </w:t>
      </w:r>
      <w:r>
        <w:t xml:space="preserve">acute-window bar, and none is addressed by simply searching harder.</w:t>
      </w:r>
      <w:r>
        <w:t xml:space="preserve"> </w:t>
      </w:r>
      <w:r>
        <w:t xml:space="preserve">(L2a) Eq. 2 omits country/year fixed effects and clustered SEs. A</w:t>
      </w:r>
      <w:r>
        <w:t xml:space="preserve"> </w:t>
      </w:r>
      <w:r>
        <w:t xml:space="preserve">country-clustered check (θ₂=0.2696, robust SE=0.0821, p=0.010, computed</w:t>
      </w:r>
      <w:r>
        <w:t xml:space="preserve"> </w:t>
      </w:r>
      <w:r>
        <w:t xml:space="preserve">on the pre-indymac n=10/69 panel and not yet re-run on the current</w:t>
      </w:r>
      <w:r>
        <w:t xml:space="preserve"> </w:t>
      </w:r>
      <w:r>
        <w:t xml:space="preserve">n=15/66 panel, as the shipped replication code has no clustering routine</w:t>
      </w:r>
      <w:r>
        <w:t xml:space="preserve"> </w:t>
      </w:r>
      <w:r>
        <w:t xml:space="preserve">and none is available to re-derive it here) preserves sign and</w:t>
      </w:r>
      <w:r>
        <w:t xml:space="preserve"> </w:t>
      </w:r>
      <w:r>
        <w:t xml:space="preserve">significance. (L2b, new) Digital adoption D is not independently</w:t>
      </w:r>
      <w:r>
        <w:t xml:space="preserve"> </w:t>
      </w:r>
      <w:r>
        <w:t xml:space="preserve">significant in the reconciled panel (θ₃=0.0394, p=0.0973, Table 2b). It</w:t>
      </w:r>
      <w:r>
        <w:t xml:space="preserve"> </w:t>
      </w:r>
      <w:r>
        <w:t xml:space="preserve">is reported as a suggestive, not confirmed, secondary association. (L3)</w:t>
      </w:r>
      <w:r>
        <w:t xml:space="preserve"> </w:t>
      </w:r>
      <w:r>
        <w:t xml:space="preserve">The holding-limit analysis inherits partial-validation status. LOLR is</w:t>
      </w:r>
      <w:r>
        <w:t xml:space="preserve"> </w:t>
      </w:r>
      <w:r>
        <w:t xml:space="preserve">an exogenous rule, not an optimised reaction function. (L3a) The working</w:t>
      </w:r>
      <w:r>
        <w:t xml:space="preserve"> </w:t>
      </w:r>
      <w:r>
        <w:t xml:space="preserve">panel used to produce every table in this manuscript now matches the</w:t>
      </w:r>
      <w:r>
        <w:t xml:space="preserve"> </w:t>
      </w:r>
      <w:r>
        <w:t xml:space="preserve">n=81 (15 verified/66 estimated) panel described in §3.2 and §G.2.</w:t>
      </w:r>
      <w:r>
        <w:t xml:space="preserve"> </w:t>
      </w:r>
      <w:r>
        <w:t xml:space="preserve">reproduce.py --calibration, run on that corrected panel, reproduces</w:t>
      </w:r>
      <w:r>
        <w:t xml:space="preserve"> </w:t>
      </w:r>
      <w:r>
        <w:t xml:space="preserve">Table 2 directly. The distributed package’s crisis_episodes.csv has been</w:t>
      </w:r>
      <w:r>
        <w:t xml:space="preserve"> </w:t>
      </w:r>
      <w:r>
        <w:t xml:space="preserve">re-committed with this correction (v10.4; §G.2). (L4) The T=90-day</w:t>
      </w:r>
      <w:r>
        <w:t xml:space="preserve"> </w:t>
      </w:r>
      <w:r>
        <w:t xml:space="preserve">deterministic shock wave underestimates sub-48h social-media-speed</w:t>
      </w:r>
      <w:r>
        <w:t xml:space="preserve"> </w:t>
      </w:r>
      <w:r>
        <w:t xml:space="preserve">dynamics (SVB 2023). (L5) Welfare weights are author-specified.</w:t>
      </w:r>
      <w:r>
        <w:t xml:space="preserve"> </w:t>
      </w:r>
      <w:r>
        <w:t xml:space="preserve">Revealed-preference sensitivity leaves the within-CBDC ranking unchanged</w:t>
      </w:r>
      <w:r>
        <w:t xml:space="preserve"> </w:t>
      </w:r>
      <w:r>
        <w:t xml:space="preserve">(§5.6). (L6, revised) θ₂=0.2466 now falls slightly above, rather than</w:t>
      </w:r>
      <w:r>
        <w:t xml:space="preserve"> </w:t>
      </w:r>
      <w:r>
        <w:t xml:space="preserve">within, the literature-implied simulation product range [0.081,</w:t>
      </w:r>
      <w:r>
        <w:t xml:space="preserve"> </w:t>
      </w:r>
      <w:r>
        <w:t xml:space="preserve">0.245]. This does not imply over-calibration, since the range is</w:t>
      </w:r>
      <w:r>
        <w:t xml:space="preserve"> </w:t>
      </w:r>
      <w:r>
        <w:t xml:space="preserve">derived independently of θ₂, but it is a looser plausibility check than</w:t>
      </w:r>
      <w:r>
        <w:t xml:space="preserve"> </w:t>
      </w:r>
      <w:r>
        <w:t xml:space="preserve">before reconciliation. (L7) The 5.5M–7.5M KRW thresholds are</w:t>
      </w:r>
      <w:r>
        <w:t xml:space="preserve"> </w:t>
      </w:r>
      <w:r>
        <w:t xml:space="preserve">Korea-specific and not portable without re-calibration. (L8) Agent</w:t>
      </w:r>
      <w:r>
        <w:t xml:space="preserve"> </w:t>
      </w:r>
      <w:r>
        <w:t xml:space="preserve">behaviour is parametric, not derived from household optimisation (Lucas</w:t>
      </w:r>
      <w:r>
        <w:t xml:space="preserve"> </w:t>
      </w:r>
      <w:r>
        <w:t xml:space="preserve">critique). The design ranking is a comparative stress test, not a</w:t>
      </w:r>
      <w:r>
        <w:t xml:space="preserve"> </w:t>
      </w:r>
      <w:r>
        <w:t xml:space="preserve">structural equilibrium prediction. Connecting to a heterogeneous-agent</w:t>
      </w:r>
      <w:r>
        <w:t xml:space="preserve"> </w:t>
      </w:r>
      <w:r>
        <w:t xml:space="preserve">CBDC framework (Fernández-Villaverde et al. 2021) is the primary</w:t>
      </w:r>
      <w:r>
        <w:t xml:space="preserve"> </w:t>
      </w:r>
      <w:r>
        <w:t xml:space="preserve">long-run direction (§7.4, priority vii).</w:t>
      </w:r>
    </w:p>
    <w:bookmarkEnd w:id="41"/>
    <w:bookmarkStart w:id="42" w:name="h.2-extended-future-work-roadmap-detail"/>
    <w:p>
      <w:pPr>
        <w:pStyle w:val="2"/>
      </w:pPr>
      <w:r>
        <w:t xml:space="preserve">H.2 Extended Future-Work Roadmap Detail</w:t>
      </w:r>
    </w:p>
    <w:p>
      <w:pPr>
        <w:pStyle w:val="FirstParagraph"/>
      </w:pPr>
      <w:r>
        <w:t xml:space="preserve">In order of priority (see §7.3 for concrete verification attempts</w:t>
      </w:r>
      <w:r>
        <w:t xml:space="preserve"> </w:t>
      </w:r>
      <w:r>
        <w:t xml:space="preserve">already undertaken): (i) Expand the verified primary-source crisis</w:t>
      </w:r>
      <w:r>
        <w:t xml:space="preserve"> </w:t>
      </w:r>
      <w:r>
        <w:t xml:space="preserve">panel. The conventional-power target for the verified-only stratum to</w:t>
      </w:r>
      <w:r>
        <w:t xml:space="preserve"> </w:t>
      </w:r>
      <w:r>
        <w:t xml:space="preserve">stand on its own is now n≈ 2,650 (Appendix E.5, revised after</w:t>
      </w:r>
      <w:r>
        <w:t xml:space="preserve"> </w:t>
      </w:r>
      <w:r>
        <w:t xml:space="preserve">landsbanki), which is not achievable through primary-source acquisition</w:t>
      </w:r>
      <w:r>
        <w:t xml:space="preserve"> </w:t>
      </w:r>
      <w:r>
        <w:t xml:space="preserve">at any realistic scale; the roadmap below is therefore aimed at</w:t>
      </w:r>
      <w:r>
        <w:t xml:space="preserve"> </w:t>
      </w:r>
      <w:r>
        <w:t xml:space="preserve">narrowing the full-panel θ₂ confidence interval and strengthening the</w:t>
      </w:r>
      <w:r>
        <w:t xml:space="preserve"> </w:t>
      </w:r>
      <w:r>
        <w:t xml:space="preserve">Appendix E.7 heterogeneity test, not at making the verified-only stratum</w:t>
      </w:r>
      <w:r>
        <w:t xml:space="preserve"> </w:t>
      </w:r>
      <w:r>
        <w:t xml:space="preserve">self-sufficient. Closing this gap does not depend on primary-source data</w:t>
      </w:r>
      <w:r>
        <w:t xml:space="preserve"> </w:t>
      </w:r>
      <w:r>
        <w:t xml:space="preserve">collection alone. Three complementary identification strategies do not</w:t>
      </w:r>
      <w:r>
        <w:t xml:space="preserve"> </w:t>
      </w:r>
      <w:r>
        <w:t xml:space="preserve">require expanding the verified panel to n≈ 2,650 and are pursued</w:t>
      </w:r>
      <w:r>
        <w:t xml:space="preserve"> </w:t>
      </w:r>
      <w:r>
        <w:t xml:space="preserve">alongside the data roadmap below: quasi-experimental variation from</w:t>
      </w:r>
      <w:r>
        <w:t xml:space="preserve"> </w:t>
      </w:r>
      <w:r>
        <w:t xml:space="preserve">staggered CBDC pilot launches across countries, which would let</w:t>
      </w:r>
      <w:r>
        <w:t xml:space="preserve"> </w:t>
      </w:r>
      <w:r>
        <w:t xml:space="preserve">concentration×shock effects be estimated from policy-timing</w:t>
      </w:r>
      <w:r>
        <w:t xml:space="preserve"> </w:t>
      </w:r>
      <w:r>
        <w:t xml:space="preserve">discontinuities rather than from the historical crisis panel alone;</w:t>
      </w:r>
      <w:r>
        <w:t xml:space="preserve"> </w:t>
      </w:r>
      <w:r>
        <w:t xml:space="preserve">matching verified episodes to independent supervisory stress-test</w:t>
      </w:r>
      <w:r>
        <w:t xml:space="preserve"> </w:t>
      </w:r>
      <w:r>
        <w:t xml:space="preserve">outcomes (where available) as an out-of-panel check on the channel’s</w:t>
      </w:r>
      <w:r>
        <w:t xml:space="preserve"> </w:t>
      </w:r>
      <w:r>
        <w:t xml:space="preserve">sign and rough magnitude; and structural cross-validation against the</w:t>
      </w:r>
      <w:r>
        <w:t xml:space="preserve"> </w:t>
      </w:r>
      <w:r>
        <w:t xml:space="preserve">five-country Pareto results in Section 6, which were calibrated</w:t>
      </w:r>
      <w:r>
        <w:t xml:space="preserve"> </w:t>
      </w:r>
      <w:r>
        <w:t xml:space="preserve">independently of the U.S.-heavy historical panel and would corroborate</w:t>
      </w:r>
      <w:r>
        <w:t xml:space="preserve"> </w:t>
      </w:r>
      <w:r>
        <w:t xml:space="preserve">the channel if their implied sensitivities agree. None of these fully</w:t>
      </w:r>
      <w:r>
        <w:t xml:space="preserve"> </w:t>
      </w:r>
      <w:r>
        <w:t xml:space="preserve">substitutes for primary-source verification, but together they offer a</w:t>
      </w:r>
      <w:r>
        <w:t xml:space="preserve"> </w:t>
      </w:r>
      <w:r>
        <w:t xml:space="preserve">path to strengthening confidence in the channel that does not wait on an</w:t>
      </w:r>
      <w:r>
        <w:t xml:space="preserve"> </w:t>
      </w:r>
      <w:r>
        <w:t xml:space="preserve">unrealistic expansion of the verified crisis-episode count. This remains</w:t>
      </w:r>
      <w:r>
        <w:t xml:space="preserve"> </w:t>
      </w:r>
      <w:r>
        <w:t xml:space="preserve">the highest-leverage direction for improving data provenance overall,</w:t>
      </w:r>
      <w:r>
        <w:t xml:space="preserve"> </w:t>
      </w:r>
      <w:r>
        <w:t xml:space="preserve">and — contingent on the outflow-granularity of the sources below,</w:t>
      </w:r>
      <w:r>
        <w:t xml:space="preserve"> </w:t>
      </w:r>
      <w:r>
        <w:t xml:space="preserve">which is confirmed for none of the three and ruled out for one — for</w:t>
      </w:r>
      <w:r>
        <w:t xml:space="preserve"> </w:t>
      </w:r>
      <w:r>
        <w:t xml:space="preserve">narrowing the θ₂ confidence interval specifically. A concrete roadmap,</w:t>
      </w:r>
      <w:r>
        <w:t xml:space="preserve"> </w:t>
      </w:r>
      <w:r>
        <w:t xml:space="preserve">now updated with the item (14) findings: (a) BIS: there is no publicly</w:t>
      </w:r>
      <w:r>
        <w:t xml:space="preserve"> </w:t>
      </w:r>
      <w:r>
        <w:t xml:space="preserve">queryable "BIS Crisis Management Database" of individual failure</w:t>
      </w:r>
      <w:r>
        <w:t xml:space="preserve"> </w:t>
      </w:r>
      <w:r>
        <w:t xml:space="preserve">records — the ~150-failure figure cited in earlier drafts of this</w:t>
      </w:r>
      <w:r>
        <w:t xml:space="preserve"> </w:t>
      </w:r>
      <w:r>
        <w:t xml:space="preserve">roadmap referred to aggregate BIS/FSI policy commentary, not an</w:t>
      </w:r>
      <w:r>
        <w:t xml:space="preserve"> </w:t>
      </w:r>
      <w:r>
        <w:t xml:space="preserve">accessible case-level database, and this line item is therefore retired.</w:t>
      </w:r>
      <w:r>
        <w:t xml:space="preserve"> </w:t>
      </w:r>
      <w:r>
        <w:t xml:space="preserve">In its place, a genuine BIS-adjacent source was located: the Basel</w:t>
      </w:r>
      <w:r>
        <w:t xml:space="preserve"> </w:t>
      </w:r>
      <w:r>
        <w:t xml:space="preserve">Committee’s October 2024 G20 progress report (BCBS 2024), whose Table</w:t>
      </w:r>
      <w:r>
        <w:t xml:space="preserve"> </w:t>
      </w:r>
      <w:r>
        <w:t xml:space="preserve">A.1 directly supplies dated, sourced, acute-window outflow figures for</w:t>
      </w:r>
      <w:r>
        <w:t xml:space="preserve"> </w:t>
      </w:r>
      <w:r>
        <w:t xml:space="preserve">four episodes not currently in this panel (Northern Rock, Credit Suisse,</w:t>
      </w:r>
      <w:r>
        <w:t xml:space="preserve"> </w:t>
      </w:r>
      <w:r>
        <w:t xml:space="preserve">Signature Bank of New York, First Republic Bank) plus cross-validating</w:t>
      </w:r>
      <w:r>
        <w:t xml:space="preserve"> </w:t>
      </w:r>
      <w:r>
        <w:t xml:space="preserve">citations for washington_mutual and indymac — see §7.3, item 14, for</w:t>
      </w:r>
      <w:r>
        <w:t xml:space="preserve"> </w:t>
      </w:r>
      <w:r>
        <w:t xml:space="preserve">the full figures and sources. (b) FDIC Historical Statistics on Banking:</w:t>
      </w:r>
      <w:r>
        <w:t xml:space="preserve"> </w:t>
      </w:r>
      <w:r>
        <w:t xml:space="preserve">as Section 7.2 (L2) documents directly, FDIC public sources (quarterly</w:t>
      </w:r>
      <w:r>
        <w:t xml:space="preserve"> </w:t>
      </w:r>
      <w:r>
        <w:t xml:space="preserve">Call Reports; OIG Material Loss Reviews) reliably confirm deposit</w:t>
      </w:r>
      <w:r>
        <w:t xml:space="preserve"> </w:t>
      </w:r>
      <w:r>
        <w:t xml:space="preserve">levels, institution identity, and failure dates, but do not include</w:t>
      </w:r>
      <w:r>
        <w:t xml:space="preserve"> </w:t>
      </w:r>
      <w:r>
        <w:t xml:space="preserve">standardised sub-quarterly outflow proxies for short-window failures —</w:t>
      </w:r>
      <w:r>
        <w:t xml:space="preserve"> </w:t>
      </w:r>
      <w:r>
        <w:t xml:space="preserve">verifying peak_outflow for the currently estimated 1988–1992 S&amp;L</w:t>
      </w:r>
      <w:r>
        <w:t xml:space="preserve"> </w:t>
      </w:r>
      <w:r>
        <w:t xml:space="preserve">episodes (n≈12) would likely face the same resolution and document-type</w:t>
      </w:r>
      <w:r>
        <w:t xml:space="preserve"> </w:t>
      </w:r>
      <w:r>
        <w:t xml:space="preserve">mismatches identified for the 2008–2010 FDIC/hist subgroup, and should</w:t>
      </w:r>
      <w:r>
        <w:t xml:space="preserve"> </w:t>
      </w:r>
      <w:r>
        <w:t xml:space="preserve">not be assumed tractable without first checking whether RTC-era</w:t>
      </w:r>
      <w:r>
        <w:t xml:space="preserve"> </w:t>
      </w:r>
      <w:r>
        <w:t xml:space="preserve">resolution case files (rather than Call Reports or MLRs) contain the</w:t>
      </w:r>
      <w:r>
        <w:t xml:space="preserve"> </w:t>
      </w:r>
      <w:r>
        <w:t xml:space="preserve">necessary granularity. (c) ECB Supervisory Banking Statistics: this line</w:t>
      </w:r>
      <w:r>
        <w:t xml:space="preserve"> </w:t>
      </w:r>
      <w:r>
        <w:t xml:space="preserve">item is also retired following item (14)’s finding that the ECB’s</w:t>
      </w:r>
      <w:r>
        <w:t xml:space="preserve"> </w:t>
      </w:r>
      <w:r>
        <w:t xml:space="preserve">published Supervisory Banking Statistics report only system-wide</w:t>
      </w:r>
      <w:r>
        <w:t xml:space="preserve"> </w:t>
      </w:r>
      <w:r>
        <w:t xml:space="preserve">aggregate flows across all significant institutions per quarter, not</w:t>
      </w:r>
      <w:r>
        <w:t xml:space="preserve"> </w:t>
      </w:r>
      <w:r>
        <w:t xml:space="preserve">bank-specific outflow figures, and therefore cannot verify individual</w:t>
      </w:r>
      <w:r>
        <w:t xml:space="preserve"> </w:t>
      </w:r>
      <w:r>
        <w:t xml:space="preserve">episodes; extending the digital-regime cluster to European CBDC-adjacent</w:t>
      </w:r>
      <w:r>
        <w:t xml:space="preserve"> </w:t>
      </w:r>
      <w:r>
        <w:t xml:space="preserve">stress events (Credit Suisse, now identified via BCBS 2024 instead)</w:t>
      </w:r>
      <w:r>
        <w:t xml:space="preserve"> </w:t>
      </w:r>
      <w:r>
        <w:t xml:space="preserve">remains a goal, but not one this particular ECB publication can serve.</w:t>
      </w:r>
      <w:r>
        <w:t xml:space="preserve"> </w:t>
      </w:r>
      <w:r>
        <w:t xml:space="preserve">Standing procedure: every future revision that adds, removes, or</w:t>
      </w:r>
      <w:r>
        <w:t xml:space="preserve"> </w:t>
      </w:r>
      <w:r>
        <w:t xml:space="preserve">reclassifies a verified episode must re-run</w:t>
      </w:r>
      <w:r>
        <w:t xml:space="preserve"> </w:t>
      </w:r>
      <w:r>
        <w:t xml:space="preserve">engines/ols_calibration.py::heterogeneity_test() (Appendix E.7) and</w:t>
      </w:r>
      <w:r>
        <w:t xml:space="preserve"> </w:t>
      </w:r>
      <w:r>
        <w:t xml:space="preserve">report the updated interaction p-value alongside the updated</w:t>
      </w:r>
      <w:r>
        <w:t xml:space="preserve"> </w:t>
      </w:r>
      <w:r>
        <w:t xml:space="preserve">verified-only point estimate, rather than reporting the point estimate</w:t>
      </w:r>
      <w:r>
        <w:t xml:space="preserve"> </w:t>
      </w:r>
      <w:r>
        <w:t xml:space="preserve">alone. This is now standard practice for this panel, adopted after the</w:t>
      </w:r>
      <w:r>
        <w:t xml:space="preserve"> </w:t>
      </w:r>
      <w:r>
        <w:t xml:space="preserve">landsbanki promotion (§7.3, item 12) demonstrated that a single new</w:t>
      </w:r>
      <w:r>
        <w:t xml:space="preserve"> </w:t>
      </w:r>
      <w:r>
        <w:t xml:space="preserve">verified episode can move the verified-only point estimate by a large</w:t>
      </w:r>
      <w:r>
        <w:t xml:space="preserve"> </w:t>
      </w:r>
      <w:r>
        <w:t xml:space="preserve">amount (0.313→0.054) while leaving the formal heterogeneity test result</w:t>
      </w:r>
      <w:r>
        <w:t xml:space="preserve"> </w:t>
      </w:r>
      <w:r>
        <w:t xml:space="preserve">essentially unchanged (p=0.208); reporting the point estimate without</w:t>
      </w:r>
      <w:r>
        <w:t xml:space="preserve"> </w:t>
      </w:r>
      <w:r>
        <w:t xml:space="preserve">the test would have been misleading on its own. The two fully-specified</w:t>
      </w:r>
      <w:r>
        <w:t xml:space="preserve"> </w:t>
      </w:r>
      <w:r>
        <w:t xml:space="preserve">additions identified in §7.3, item 13 — Bank of New England (a</w:t>
      </w:r>
      <w:r>
        <w:t xml:space="preserve"> </w:t>
      </w:r>
      <w:r>
        <w:t xml:space="preserve">documented $1bn acute outflow, 2–6 January 1991, FDIC board records)</w:t>
      </w:r>
      <w:r>
        <w:t xml:space="preserve"> </w:t>
      </w:r>
      <w:r>
        <w:t xml:space="preserve">and Countrywide Financial (a documented $8bn single-day outflow,</w:t>
      </w:r>
      <w:r>
        <w:t xml:space="preserve"> </w:t>
      </w:r>
      <w:r>
        <w:t xml:space="preserve">15 August 2007, Federal Reserve Board staff memorandum) — have been</w:t>
      </w:r>
      <w:r>
        <w:t xml:space="preserve"> </w:t>
      </w:r>
      <w:r>
        <w:t xml:space="preserve">executed in this revision (§7.4), expanding the panel from n=79 to n=81</w:t>
      </w:r>
      <w:r>
        <w:t xml:space="preserve"> </w:t>
      </w:r>
      <w:r>
        <w:t xml:space="preserve">and the verified count from 13 to 15. The Specification I estimate strengthens</w:t>
      </w:r>
      <w:r>
        <w:t xml:space="preserve"> </w:t>
      </w:r>
      <w:r>
        <w:t xml:space="preserve">under this expansion (θ₂=0.2466, p=0.0003), and the verified-only</w:t>
      </w:r>
      <w:r>
        <w:t xml:space="preserve"> </w:t>
      </w:r>
      <w:r>
        <w:t xml:space="preserve">stratum is now significant under Specification I</w:t>
      </w:r>
      <w:r>
        <w:t xml:space="preserve"> </w:t>
      </w:r>
      <w:r>
        <w:t xml:space="preserve">(θ₂=0.7451, p=0.0325), though not under Specification II</w:t>
      </w:r>
      <w:r>
        <w:t xml:space="preserve"> </w:t>
      </w:r>
      <w:r>
        <w:t xml:space="preserve">(θ₂=0.085, p=0.774). (ii) Higher-N direct Monte Carlo replication of the</w:t>
      </w:r>
      <w:r>
        <w:t xml:space="preserve"> </w:t>
      </w:r>
      <w:r>
        <w:t xml:space="preserve">full holding-limit surface (N≥1,000 per cap to narrow the Wilson 95%</w:t>
      </w:r>
      <w:r>
        <w:t xml:space="preserve"> </w:t>
      </w:r>
      <w:r>
        <w:t xml:space="preserve">CIs). (iii) Higher-N cross-country full-surface cap testing for all five</w:t>
      </w:r>
      <w:r>
        <w:t xml:space="preserve"> </w:t>
      </w:r>
      <w:r>
        <w:t xml:space="preserve">economies (Appendix G reports selected-cap N=300 only). (iv) Independent</w:t>
      </w:r>
      <w:r>
        <w:t xml:space="preserve"> </w:t>
      </w:r>
      <w:r>
        <w:t xml:space="preserve">code audit and fingerprint verification against reproduce.py.</w:t>
      </w:r>
      <w:r>
        <w:t xml:space="preserve"> </w:t>
      </w:r>
      <w:r>
        <w:t xml:space="preserve">(v) Additional verified digital-run episodes to enable a converged</w:t>
      </w:r>
      <w:r>
        <w:t xml:space="preserve"> </w:t>
      </w:r>
      <w:r>
        <w:t xml:space="preserve">free-assignment Gibbs sampler replacing Appendix C.3. (vi) Micro-founded</w:t>
      </w:r>
      <w:r>
        <w:t xml:space="preserve"> </w:t>
      </w:r>
      <w:r>
        <w:t xml:space="preserve">structural extension connecting the outflow channel to a</w:t>
      </w:r>
      <w:r>
        <w:t xml:space="preserve"> </w:t>
      </w:r>
      <w:r>
        <w:t xml:space="preserve">heterogeneous-agent GE framework (Fernández-Villaverde et al. 2021;</w:t>
      </w:r>
      <w:r>
        <w:t xml:space="preserve"> </w:t>
      </w:r>
      <w:r>
        <w:t xml:space="preserve">Keister and Monnet 2022) to address the Lucas critique (L8).</w:t>
      </w:r>
    </w:p>
    <w:bookmarkEnd w:id="42"/>
    <w:bookmarkEnd w:id="43"/>
    <w:sectPr w:rsidR="00535E2E">
      <w:pgSz w:h="16838" w:w="11906"/>
      <w:pgMar w:bottom="1008" w:footer="708" w:gutter="0" w:header="708" w:left="936" w:right="936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26C771E"/>
    <w:multiLevelType w:val="hybridMultilevel"/>
    <w:tmpl w:val="69AA1A00"/>
    <w:lvl w:ilvl="0" w:tplc="D5EA2696">
      <w:start w:val="1"/>
      <w:numFmt w:val="bullet"/>
      <w:lvlText w:val="●"/>
      <w:lvlJc w:val="left"/>
      <w:pPr>
        <w:ind w:hanging="360" w:left="720"/>
      </w:pPr>
    </w:lvl>
    <w:lvl w:ilvl="1" w:tplc="BA84DCE4">
      <w:start w:val="1"/>
      <w:numFmt w:val="bullet"/>
      <w:lvlText w:val="○"/>
      <w:lvlJc w:val="left"/>
      <w:pPr>
        <w:ind w:hanging="360" w:left="1440"/>
      </w:pPr>
    </w:lvl>
    <w:lvl w:ilvl="2" w:tplc="C004017A">
      <w:start w:val="1"/>
      <w:numFmt w:val="bullet"/>
      <w:lvlText w:val="■"/>
      <w:lvlJc w:val="left"/>
      <w:pPr>
        <w:ind w:hanging="360" w:left="2160"/>
      </w:pPr>
    </w:lvl>
    <w:lvl w:ilvl="3" w:tplc="E7F40774">
      <w:start w:val="1"/>
      <w:numFmt w:val="bullet"/>
      <w:lvlText w:val="●"/>
      <w:lvlJc w:val="left"/>
      <w:pPr>
        <w:ind w:hanging="360" w:left="2880"/>
      </w:pPr>
    </w:lvl>
    <w:lvl w:ilvl="4" w:tplc="28188906">
      <w:start w:val="1"/>
      <w:numFmt w:val="bullet"/>
      <w:lvlText w:val="○"/>
      <w:lvlJc w:val="left"/>
      <w:pPr>
        <w:ind w:hanging="360" w:left="3600"/>
      </w:pPr>
    </w:lvl>
    <w:lvl w:ilvl="5" w:tplc="259657B4">
      <w:start w:val="1"/>
      <w:numFmt w:val="bullet"/>
      <w:lvlText w:val="■"/>
      <w:lvlJc w:val="left"/>
      <w:pPr>
        <w:ind w:hanging="360" w:left="4320"/>
      </w:pPr>
    </w:lvl>
    <w:lvl w:ilvl="6" w:tplc="18A24718">
      <w:start w:val="1"/>
      <w:numFmt w:val="bullet"/>
      <w:lvlText w:val="●"/>
      <w:lvlJc w:val="left"/>
      <w:pPr>
        <w:ind w:hanging="360" w:left="5040"/>
      </w:pPr>
    </w:lvl>
    <w:lvl w:ilvl="7" w:tplc="C3FAE5FC">
      <w:start w:val="1"/>
      <w:numFmt w:val="bullet"/>
      <w:lvlText w:val="●"/>
      <w:lvlJc w:val="left"/>
      <w:pPr>
        <w:ind w:hanging="360" w:left="5760"/>
      </w:pPr>
    </w:lvl>
    <w:lvl w:ilvl="8" w:tplc="98D011D4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753356810" w:numId="1">
    <w:abstractNumId w:val="0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80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Theme="minorEastAsia" w:hAnsi="Times New Roman"/>
        <w:lang w:bidi="ar-SA" w:eastAsia="ko-KR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  <w:wordWrap w:val="0"/>
      <w:autoSpaceDE w:val="0"/>
      <w:autoSpaceDN w:val="0"/>
    </w:pPr>
  </w:style>
  <w:style w:styleId="1" w:type="paragraph">
    <w:name w:val="heading 1"/>
    <w:uiPriority w:val="9"/>
    <w:qFormat/>
    <w:pPr>
      <w:outlineLvl w:val="0"/>
    </w:pPr>
    <w:rPr>
      <w:color w:val="2E74B5"/>
      <w:sz w:val="32"/>
      <w:szCs w:val="32"/>
    </w:rPr>
  </w:style>
  <w:style w:styleId="2" w:type="paragraph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styleId="3" w:type="paragraph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styleId="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Title"/>
    <w:uiPriority w:val="10"/>
    <w:qFormat/>
    <w:rPr>
      <w:sz w:val="56"/>
      <w:szCs w:val="56"/>
    </w:rPr>
  </w:style>
  <w:style w:customStyle="1" w:styleId="10" w:type="paragraph">
    <w:name w:val="굵은 텍스트1"/>
    <w:qFormat/>
    <w:rPr>
      <w:b/>
      <w:bCs/>
    </w:rPr>
  </w:style>
  <w:style w:styleId="a4" w:type="paragraph">
    <w:name w:val="List Paragraph"/>
    <w:qFormat/>
  </w:style>
  <w:style w:styleId="a5" w:type="character">
    <w:name w:val="Hyperlink"/>
    <w:uiPriority w:val="99"/>
    <w:unhideWhenUsed/>
    <w:rPr>
      <w:color w:val="0563C1"/>
      <w:u w:val="single"/>
    </w:rPr>
  </w:style>
  <w:style w:styleId="a6" w:type="character">
    <w:name w:val="footnote reference"/>
    <w:uiPriority w:val="99"/>
    <w:semiHidden/>
    <w:unhideWhenUsed/>
    <w:rPr>
      <w:vertAlign w:val="superscript"/>
    </w:rPr>
  </w:style>
  <w:style w:styleId="a7" w:type="paragraph">
    <w:name w:val="footnote text"/>
    <w:link w:val="Char"/>
    <w:uiPriority w:val="99"/>
    <w:semiHidden/>
    <w:unhideWhenUsed/>
  </w:style>
  <w:style w:customStyle="1" w:styleId="Char" w:type="character">
    <w:name w:val="각주 텍스트 Char"/>
    <w:link w:val="a7"/>
    <w:uiPriority w:val="99"/>
    <w:semiHidden/>
    <w:unhideWhenUsed/>
    <w:rPr>
      <w:sz w:val="20"/>
      <w:szCs w:val="20"/>
    </w:rPr>
  </w:style>
  <w:style w:styleId="a8" w:type="character">
    <w:name w:val="endnote reference"/>
    <w:uiPriority w:val="99"/>
    <w:semiHidden/>
    <w:unhideWhenUsed/>
    <w:rPr>
      <w:vertAlign w:val="superscript"/>
    </w:rPr>
  </w:style>
  <w:style w:styleId="a9" w:type="paragraph">
    <w:name w:val="endnote text"/>
    <w:link w:val="Char0"/>
    <w:uiPriority w:val="99"/>
    <w:semiHidden/>
    <w:unhideWhenUsed/>
  </w:style>
  <w:style w:customStyle="1" w:styleId="Char0" w:type="character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69</Pages>
  <Words>21446</Words>
  <Characters>122244</Characters>
  <Application>Microsoft Office Word</Application>
  <DocSecurity>0</DocSecurity>
  <Lines>1018</Lines>
  <Paragraphs>286</Paragraphs>
  <ScaleCrop>false</ScaleCrop>
  <Company/>
  <LinksUpToDate>false</LinksUpToDate>
  <CharactersWithSpaces>143404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2026-07-22T07:16:44Z</dcterms:created>
  <dcterms:modified xsi:type="dcterms:W3CDTF">2026-07-22T07:16:44Z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