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0.4</w:t>
        <w:br/>
        <w:t>Status: Draft — accepted authoritative demonstrator-design baseline through DC-005</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p>
      <w:pPr>
        <w:pStyle w:val="Heading1"/>
      </w:pPr>
      <w:r>
        <w:t>37. Accepted Controlled Amendment — DC-005 Suspension Assurance Design</w:t>
      </w:r>
    </w:p>
    <w:p>
      <w:pPr/>
      <w:r>
        <w:t>This accepted amendment translates the Validation Plan DC-005 contract into a bounded application design. It adds no electrical, operational or event behaviour and does not implement the change. ValidationSuspensionRecord is a validation-assurance record owned by Validation/Evidence, never an operational event or substitute for an expected operational BLOCKED result.</w:t>
      </w:r>
    </w:p>
    <w:p>
      <w:pPr>
        <w:pStyle w:val="Heading2"/>
      </w:pPr>
      <w:r>
        <w:t>37.1 Data Structures and Relationships</w:t>
      </w:r>
    </w:p>
    <w:tbl>
      <w:tblPr>
        <w:tblW w:type="dxa" w:w="9360"/>
        <w:tblLayout w:type="fixed"/>
        <w:tblLook w:firstColumn="1" w:firstRow="1" w:lastColumn="0" w:lastRow="0" w:noHBand="0" w:noVBand="1" w:val="04A0"/>
        <w:jc w:val="left"/>
        <w:tblInd w:type="dxa" w:w="120"/>
      </w:tblPr>
      <w:tblGrid>
        <w:gridCol w:w="3370"/>
        <w:gridCol w:w="5990"/>
      </w:tblGrid>
      <w:tr>
        <w:trPr>
          <w:tblHeader w:val="true"/>
        </w:trPr>
        <w:tc>
          <w:tcPr>
            <w:tcW w:type="dxa" w:w="3370"/>
            <w:vAlign w:val="center"/>
            <w:tcMar>
              <w:top w:w="80" w:type="dxa"/>
              <w:start w:w="120" w:type="dxa"/>
              <w:bottom w:w="80" w:type="dxa"/>
              <w:end w:w="120" w:type="dxa"/>
            </w:tcMar>
            <w:shd w:fill="E7E7E7"/>
          </w:tcPr>
          <w:p>
            <w:r>
              <w:rPr>
                <w:b/>
              </w:rPr>
              <w:t>Structure</w:t>
            </w:r>
          </w:p>
        </w:tc>
        <w:tc>
          <w:tcPr>
            <w:tcW w:type="dxa" w:w="5990"/>
            <w:vAlign w:val="center"/>
            <w:tcMar>
              <w:top w:w="80" w:type="dxa"/>
              <w:start w:w="120" w:type="dxa"/>
              <w:bottom w:w="80" w:type="dxa"/>
              <w:end w:w="120" w:type="dxa"/>
            </w:tcMar>
            <w:shd w:fill="E7E7E7"/>
          </w:tcPr>
          <w:p>
            <w:r>
              <w:rPr>
                <w:b/>
              </w:rPr>
              <w:t>Ownership and controlled relationship</w:t>
            </w:r>
          </w:p>
        </w:tc>
      </w:tr>
      <w:tr>
        <w:trPr/>
        <w:tc>
          <w:tcPr>
            <w:tcW w:type="dxa" w:w="3370"/>
            <w:vAlign w:val="center"/>
            <w:tcMar>
              <w:top w:w="80" w:type="dxa"/>
              <w:start w:w="120" w:type="dxa"/>
              <w:bottom w:w="80" w:type="dxa"/>
              <w:end w:w="120" w:type="dxa"/>
            </w:tcMar>
          </w:tcPr>
          <w:p>
            <w:r>
              <w:t>ValidationSuspensionCondition</w:t>
            </w:r>
          </w:p>
        </w:tc>
        <w:tc>
          <w:tcPr>
            <w:tcW w:type="dxa" w:w="5990"/>
            <w:vAlign w:val="center"/>
            <w:tcMar>
              <w:top w:w="80" w:type="dxa"/>
              <w:start w:w="120" w:type="dxa"/>
              <w:bottom w:w="80" w:type="dxa"/>
              <w:end w:w="120" w:type="dxa"/>
            </w:tcMar>
          </w:tcPr>
          <w:p>
            <w:r>
              <w:t>Immutable registry for exactly VSC-001–VSC-005 plus versioned non-overlapping classifier gates, authority mode, evidence contract and deterministic reason template.</w:t>
            </w:r>
          </w:p>
        </w:tc>
      </w:tr>
      <w:tr>
        <w:trPr/>
        <w:tc>
          <w:tcPr>
            <w:tcW w:type="dxa" w:w="3370"/>
            <w:vAlign w:val="center"/>
            <w:tcMar>
              <w:top w:w="80" w:type="dxa"/>
              <w:start w:w="120" w:type="dxa"/>
              <w:bottom w:w="80" w:type="dxa"/>
              <w:end w:w="120" w:type="dxa"/>
            </w:tcMar>
          </w:tcPr>
          <w:p>
            <w:r>
              <w:t>ValidationSuspensionRecord</w:t>
            </w:r>
          </w:p>
        </w:tc>
        <w:tc>
          <w:tcPr>
            <w:tcW w:type="dxa" w:w="5990"/>
            <w:vAlign w:val="center"/>
            <w:tcMar>
              <w:top w:w="80" w:type="dxa"/>
              <w:start w:w="120" w:type="dxa"/>
              <w:bottom w:w="80" w:type="dxa"/>
              <w:end w:w="120" w:type="dxa"/>
            </w:tcMar>
          </w:tcPr>
          <w:p>
            <w:r>
              <w:t>UUID assurance record binding validation attempt, trusted target selection, resolved sources, failed-input evidence, distinct target/verifier builds, one classifier result, optional actual run/execution, authority, immutable evidence and reason.</w:t>
            </w:r>
          </w:p>
        </w:tc>
      </w:tr>
      <w:tr>
        <w:trPr/>
        <w:tc>
          <w:tcPr>
            <w:tcW w:type="dxa" w:w="3370"/>
            <w:vAlign w:val="center"/>
            <w:tcMar>
              <w:top w:w="80" w:type="dxa"/>
              <w:start w:w="120" w:type="dxa"/>
              <w:bottom w:w="80" w:type="dxa"/>
              <w:end w:w="120" w:type="dxa"/>
            </w:tcMar>
          </w:tcPr>
          <w:p>
            <w:r>
              <w:t>SuspensionEvidenceRecord</w:t>
            </w:r>
          </w:p>
        </w:tc>
        <w:tc>
          <w:tcPr>
            <w:tcW w:type="dxa" w:w="5990"/>
            <w:vAlign w:val="center"/>
            <w:tcMar>
              <w:top w:w="80" w:type="dxa"/>
              <w:start w:w="120" w:type="dxa"/>
              <w:bottom w:w="80" w:type="dxa"/>
              <w:end w:w="120" w:type="dxa"/>
            </w:tcMar>
          </w:tcPr>
          <w:p>
            <w:r>
              <w:t>Typed condition-specific evidence with common provenance envelope and canonical payload hash; cannot be attached across incompatible ownership identities.</w:t>
            </w:r>
          </w:p>
        </w:tc>
      </w:tr>
      <w:tr>
        <w:trPr/>
        <w:tc>
          <w:tcPr>
            <w:tcW w:type="dxa" w:w="3370"/>
            <w:vAlign w:val="center"/>
            <w:tcMar>
              <w:top w:w="80" w:type="dxa"/>
              <w:start w:w="120" w:type="dxa"/>
              <w:bottom w:w="80" w:type="dxa"/>
              <w:end w:w="120" w:type="dxa"/>
            </w:tcMar>
          </w:tcPr>
          <w:p>
            <w:r>
              <w:t>ExecutedValidationResult</w:t>
            </w:r>
          </w:p>
        </w:tc>
        <w:tc>
          <w:tcPr>
            <w:tcW w:type="dxa" w:w="5990"/>
            <w:vAlign w:val="center"/>
            <w:tcMar>
              <w:top w:w="80" w:type="dxa"/>
              <w:start w:w="120" w:type="dxa"/>
              <w:bottom w:w="80" w:type="dxa"/>
              <w:end w:w="120" w:type="dxa"/>
            </w:tcMar>
          </w:tcPr>
          <w:p>
            <w:r>
              <w:t>Created only after valid expected-versus-observed comparison; stores observed result, sufficient supporting evidence and exactly PASS or FAIL. A suspended attempt has no ExecutedValidationResult.</w:t>
            </w:r>
          </w:p>
        </w:tc>
      </w:tr>
      <w:tr>
        <w:trPr/>
        <w:tc>
          <w:tcPr>
            <w:tcW w:type="dxa" w:w="3370"/>
            <w:vAlign w:val="center"/>
            <w:tcMar>
              <w:top w:w="80" w:type="dxa"/>
              <w:start w:w="120" w:type="dxa"/>
              <w:bottom w:w="80" w:type="dxa"/>
              <w:end w:w="120" w:type="dxa"/>
            </w:tcMar>
          </w:tcPr>
          <w:p>
            <w:r>
              <w:t>CompositeConstituentLink</w:t>
            </w:r>
          </w:p>
        </w:tc>
        <w:tc>
          <w:tcPr>
            <w:tcW w:type="dxa" w:w="5990"/>
            <w:vAlign w:val="center"/>
            <w:tcMar>
              <w:top w:w="80" w:type="dxa"/>
              <w:start w:w="120" w:type="dxa"/>
              <w:bottom w:w="80" w:type="dxa"/>
              <w:end w:w="120" w:type="dxa"/>
            </w:tcMar>
          </w:tcPr>
          <w:p>
            <w:r>
              <w:t>Controlled union of EXECUTION_RESULT (PASS/FAIL) or SUSPENSION_RESULT (BLOCKED-TEST). Suspension must resolve a trusted target-selection anchor to the exact required case; client case_id text is insufficient.</w:t>
            </w:r>
          </w:p>
        </w:tc>
      </w:tr>
      <w:tr>
        <w:tc>
          <w:tcPr>
            <w:tcW w:type="dxa" w:w="3370"/>
          </w:tcPr>
          <w:p>
            <w:r>
              <w:t>ValidationAttempt / ValidationTargetSelection</w:t>
            </w:r>
          </w:p>
        </w:tc>
        <w:tc>
          <w:tcPr>
            <w:tcW w:type="dxa" w:w="5990"/>
          </w:tcPr>
          <w:p>
            <w:r>
              <w:t>Attempt lifecycle plus immutable campaign/test-selection authority, intended test/case/input identities and canonical selection hash; the anchor exists before entry and is separate from successfully resolved source identities.</w:t>
            </w:r>
          </w:p>
        </w:tc>
      </w:tr>
    </w:tbl>
    <w:p/>
    <w:p>
      <w:pPr>
        <w:pStyle w:val="Heading2"/>
      </w:pPr>
      <w:r>
        <w:t>37.2 Module, API and Authority Boundaries</w:t>
      </w:r>
    </w:p>
    <w:p>
      <w:pPr/>
      <w:r>
        <w:t>A trusted campaign/test-selection resolver creates the immutable ValidationTargetSelection and intended target before entry. The validation-assurance service resolves available source identities, keeps target application and assurance-verifier builds separate, evaluates the versioned single-condition classifier, validates evidence/authority, generates the reason, finalises suspension and supplies DC-004 linkage. Scenario/topology/outage/restoration modules provide preserved facts only. Export packages finalised records without reconstruction.</w:t>
      </w:r>
    </w:p>
    <w:p>
      <w:pPr/>
      <w:r>
        <w:t>The API accepts an evaluation against an existing trusted target_selection_id plus evidence references, not a client-authoritative case ID, verdict or reason. V1 machine-enforces controlled local actor_id/role eligibility, distinct proposal/finalisation actor IDs, audit linkage and immutable finalisation for judgement-based conditions; independent engineering review, not cryptography, asserts real human independence. Backend conditions use resolver/verifier facts the client cannot override.</w:t>
      </w:r>
    </w:p>
    <w:p>
      <w:pPr>
        <w:pStyle w:val="Heading2"/>
      </w:pPr>
      <w:r>
        <w:t>37.3 Persistence and Atomic Immutability</w:t>
      </w:r>
    </w:p>
    <w:p>
      <w:pPr/>
      <w:r>
        <w:t>SQLite separates target selections, validation attempts, condition/classifier registry, suspension header, evidence membership and reviewer-authority audit. Finalisation atomically freezes the target anchor, evaluated classifier gates, selected condition, evidence membership and reason; an existing attempt/run context is terminally linked SUSPENDED while no ExecutedValidationResult is created. Triggers reject replacement, late membership or reclassification. Repeats create new identities; historical drafts are read-only.</w:t>
      </w:r>
    </w:p>
    <w:p>
      <w:pPr>
        <w:pStyle w:val="Heading2"/>
      </w:pPr>
      <w:r>
        <w:t>37.4 Review Presentation and Progress</w:t>
      </w:r>
    </w:p>
    <w:p>
      <w:pPr/>
      <w:r>
        <w:t>Validation/Evidence shows target-selection authority/hash, intended test/case/input, resolved source identities, failed input role/presented evidence, target application build separately from assurance-verifier build, classifier version/gates/selected condition, actual run/execution where present, actor controls, evidence checklist and reason fingerprint. PRE_EXECUTION_ENTRY never displays a fabricated run or implies an ExecutedValidationResult. Optional notes remain subordinate.</w:t>
      </w:r>
    </w:p>
    <w:p>
      <w:pPr/>
      <w:r>
        <w:t>The UI offers no BLOCKED-TEST selector. It presents backend-owned eligibility/finalisation actions. FORMAL BLOCKED-TEST totals use finalised FORMAL suspension determinations, while execution totals increase only for real executions. EXPLORATORY suspension/composite records cannot affect FORMAL progress, preserving QA-034.</w:t>
      </w:r>
    </w:p>
    <w:p>
      <w:pPr>
        <w:pStyle w:val="Heading2"/>
      </w:pPr>
      <w:r>
        <w:t>37.5 DC-004 Composite and Export Treatment</w:t>
      </w:r>
    </w:p>
    <w:p>
      <w:pPr/>
      <w:r>
        <w:t>The composite read model exposes each case source kind. EXECUTION_RESULT requires immutable ExecutedValidationResult/run/evidence and PASS/FAIL. SUSPENSION_RESULT requires a finalised suspension whose trusted target selection resolves to the exact required case; it never trusts client case_id text or a stored enum. Actual run/execution identities remain visible when present. Missing, unanchored or invalid sources remain INCOMPLETE.</w:t>
      </w:r>
    </w:p>
    <w:p>
      <w:pPr/>
      <w:r>
        <w:t>Per-source and composite packages include suspension registry/record/evidence/authority/reason data, linked execution/run where applicable, original catalogue/test/case/build provenance and separate generation build. Package integrity and append-only identity controls remain those accepted under I8/DC-004. No operational event type is added.</w:t>
      </w:r>
    </w:p>
    <w:p>
      <w:pPr>
        <w:pStyle w:val="Heading2"/>
      </w:pPr>
      <w:r>
        <w:t>37.6 Implementation Impact, Prohibitions and Gate</w:t>
      </w:r>
    </w:p>
    <w:tbl>
      <w:tblPr>
        <w:tblW w:type="dxa" w:w="9360"/>
        <w:tblLayout w:type="fixed"/>
        <w:tblLook w:firstColumn="1" w:firstRow="1" w:lastColumn="0" w:lastRow="0" w:noHBand="0" w:noVBand="1" w:val="04A0"/>
        <w:jc w:val="left"/>
        <w:tblInd w:type="dxa" w:w="120"/>
      </w:tblPr>
      <w:tblGrid>
        <w:gridCol w:w="4493"/>
        <w:gridCol w:w="4867"/>
      </w:tblGrid>
      <w:tr>
        <w:trPr>
          <w:tblHeader w:val="true"/>
        </w:trPr>
        <w:tc>
          <w:tcPr>
            <w:tcW w:type="dxa" w:w="4493"/>
            <w:vAlign w:val="center"/>
            <w:tcMar>
              <w:top w:w="80" w:type="dxa"/>
              <w:start w:w="120" w:type="dxa"/>
              <w:bottom w:w="80" w:type="dxa"/>
              <w:end w:w="120" w:type="dxa"/>
            </w:tcMar>
            <w:shd w:fill="E7E7E7"/>
          </w:tcPr>
          <w:p>
            <w:r>
              <w:rPr>
                <w:b/>
              </w:rPr>
              <w:t>Permitted future application impact</w:t>
            </w:r>
          </w:p>
        </w:tc>
        <w:tc>
          <w:tcPr>
            <w:tcW w:type="dxa" w:w="4867"/>
            <w:vAlign w:val="center"/>
            <w:tcMar>
              <w:top w:w="80" w:type="dxa"/>
              <w:start w:w="120" w:type="dxa"/>
              <w:bottom w:w="80" w:type="dxa"/>
              <w:end w:w="120" w:type="dxa"/>
            </w:tcMar>
            <w:shd w:fill="E7E7E7"/>
          </w:tcPr>
          <w:p>
            <w:r>
              <w:rPr>
                <w:b/>
              </w:rPr>
              <w:t>Explicitly prohibited</w:t>
            </w:r>
          </w:p>
        </w:tc>
      </w:tr>
      <w:tr>
        <w:trPr/>
        <w:tc>
          <w:tcPr>
            <w:tcW w:type="dxa" w:w="4493"/>
            <w:vAlign w:val="center"/>
            <w:tcMar>
              <w:top w:w="80" w:type="dxa"/>
              <w:start w:w="120" w:type="dxa"/>
              <w:bottom w:w="80" w:type="dxa"/>
              <w:end w:w="120" w:type="dxa"/>
            </w:tcMar>
          </w:tcPr>
          <w:p>
            <w:r>
              <w:t>Validation enums/contracts; suspension repository/migration/service; execution terminal relationship; composite union/link validation; API/read model; review UI; export; focused tests.</w:t>
            </w:r>
          </w:p>
        </w:tc>
        <w:tc>
          <w:tcPr>
            <w:tcW w:type="dxa" w:w="4867"/>
            <w:vAlign w:val="center"/>
            <w:tcMar>
              <w:top w:w="80" w:type="dxa"/>
              <w:start w:w="120" w:type="dxa"/>
              <w:bottom w:w="80" w:type="dxa"/>
              <w:end w:w="120" w:type="dxa"/>
            </w:tcMar>
          </w:tcPr>
          <w:p>
            <w:r>
              <w:t>Client-selected verdict/reason; arbitrary free-text suspension; unrelated evidence; fictional runs; case-specific verdict rules; operational-event type 16; topology/outage/restoration/DC-003 change; I9 work.</w:t>
            </w:r>
          </w:p>
        </w:tc>
      </w:tr>
    </w:tbl>
    <w:p/>
    <w:p>
      <w:pPr/>
      <w:r>
        <w:t>Future verification is the exact matrix in Validation Plan Section 20.7 and DC-005 Section 15, including clarified attempt/result semantics, deterministic non-overlap, trusted target anchor, target/verifier build separation, actor-control boundary, every evidence/authority negative, composite precedence, immutability, history/export, FORMAL separation and unchanged controlled counts/hashes.</w:t>
      </w:r>
    </w:p>
    <w:p>
      <w:pPr/>
      <w:r>
        <w:t>DC-005 and Section 37 are accepted as the authoritative suspension-assurance design, and Demonstrator Design v0.4 supersedes v0.3 as the current demonstrator-design baseline. This design acceptance does not modify PR #10, apply QA-041/QA-042 or resume I9; application requires separate authorisation and independent review.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