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spacing w:before="480" w:after="0"/>
      </w:pPr>
      <w:r>
        <w:rPr>
          <w:b/>
          <w:sz w:val="46"/>
        </w:rPr>
        <w:t>Step 8 — Demonstrator Design</w:t>
      </w:r>
    </w:p>
    <w:p>
      <w:pPr>
        <w:spacing w:before="240" w:after="240"/>
      </w:pPr>
      <w:r>
        <w:t>Operational Technology Graduate Demonstration Project</w:t>
        <w:br/>
        <w:t>Document: OT Project Demonstrator Design</w:t>
        <w:br/>
        <w:t>Version: 0.5</w:t>
        <w:br/>
        <w:t>Status: Draft — accepted authoritative demonstrator-design baseline through DC-006; supersedes v0.4; machine/catalogue application pending separate authorisation; I9 stopped</w:t>
      </w:r>
    </w:p>
    <w:p>
      <w:pPr>
        <w:spacing w:before="200" w:after="320"/>
        <w:pBdr>
          <w:bottom w:val="single" w:sz="10" w:color="A6A6A6"/>
        </w:pBdr>
      </w:pPr>
    </w:p>
    <w:p>
      <w:pPr>
        <w:pStyle w:val="Heading1"/>
        <w:keepNext/>
      </w:pPr>
      <w:r>
        <w:t>1. Purpose</w:t>
      </w:r>
    </w:p>
    <w:p>
      <w:pPr>
        <w:spacing w:before="120" w:after="120"/>
      </w:pPr>
      <w:r>
        <w:rPr>
          <w:b w:val="0"/>
          <w:i w:val="0"/>
        </w:rPr>
        <w:t>This document defines the practical V1 demonstrator design for the Operational Technology Graduate Demonstration Project. It translates the approved Simplified Network Model, System Architecture and Workflow Design into a buildable local application structure without changing their engineering behaviour, operational rules, network assumptions, workflow gates, expected results or evidence distinctions.</w:t>
      </w:r>
    </w:p>
    <w:p>
      <w:pPr>
        <w:spacing w:before="120" w:after="120"/>
      </w:pPr>
      <w:r>
        <w:rPr>
          <w:b w:val="0"/>
          <w:i w:val="0"/>
        </w:rPr>
        <w:t>The Demonstrator Design resolves the implementation-facing choices deliberately deferred by Steps 6 and 7: module and API boundaries, storage and identifier formats, screen and navigation structure, presentation of action availability, Exploration Mode handling, validation and defect-investigation presentation, evidence export and the local technology stack. It remains a graduate OT engineering work package. It is not a commercial SCADA, ADMS, OMS or GIS product design and does not claim production operational authority.</w:t>
      </w:r>
    </w:p>
    <w:p>
      <w:pPr>
        <w:spacing w:before="120" w:after="120"/>
      </w:pPr>
      <w:r>
        <w:rPr>
          <w:b w:val="0"/>
          <w:i w:val="0"/>
        </w:rPr>
        <w:t>The document is an implementation contract. Code may select language-level techniques within these boundaries, but it shall not introduce a new source-path rule, restoration criterion, switching permission, outage calculation, validation interpretation or defect shortcut. If implementation encounters such a choice, work stops at that boundary and the matter returns to engineering design or controlled change.</w:t>
      </w:r>
    </w:p>
    <w:p>
      <w:pPr>
        <w:pStyle w:val="Heading2"/>
        <w:keepNext/>
      </w:pPr>
      <w:r>
        <w:t>1.1 Position in the Engineering Lifecycle</w:t>
      </w:r>
    </w:p>
    <w:p>
      <w:pPr>
        <w:spacing w:before="120" w:after="120"/>
      </w:pPr>
      <w:r>
        <w:rPr>
          <w:b w:val="0"/>
          <w:i w:val="0"/>
        </w:rPr>
        <w:t>Step 5 remains the concrete network answer key, including N0–N5 and the v1.0/v1.1 configuration difference. Step 6 remains authoritative for logical ownership and interface boundaries. Step 7 remains authoritative for actors, command gates, deterministic transaction order, workflow sequence and evidence meaning. Step 8 defines how one local application will execute and present those approved artefacts. The next stage may scaffold and implement the demonstrator against this contract and the corresponding formal requirements.</w:t>
      </w:r>
    </w:p>
    <w:p>
      <w:pPr>
        <w:pStyle w:val="Heading2"/>
        <w:keepNext/>
      </w:pPr>
      <w:r>
        <w:t>1.2 Governing Authority and Change Boundary</w:t>
      </w:r>
    </w:p>
    <w:p>
      <w:pPr>
        <w:spacing w:before="120" w:after="120"/>
      </w:pPr>
      <w:r>
        <w:rPr>
          <w:b w:val="0"/>
          <w:i w:val="0"/>
        </w:rPr>
        <w:t>The authority hierarchy is unchanged: governance documents; detailed engineering source documents; accepted design changes; derived navigation aids; then implementation. This document may choose technology and presentation mechanisms, but it cannot override the Requirements Specification or simplify the detailed documents into a new answer key. DC-001 and DC-002 remain accepted and require no further change for this design.</w:t>
      </w:r>
    </w:p>
    <w:p>
      <w:pPr>
        <w:pStyle w:val="Heading1"/>
        <w:keepNext/>
      </w:pPr>
      <w:r>
        <w:t>2. Scope and Boundary</w:t>
      </w:r>
    </w:p>
    <w:p>
      <w:pPr>
        <w:pStyle w:val="Heading2"/>
        <w:keepNext/>
      </w:pPr>
      <w:r>
        <w:t>2.1 Included Demonstrator Capabilities</w:t>
      </w:r>
    </w:p>
    <w:p>
      <w:pPr>
        <w:spacing w:before="0" w:after="40"/>
        <w:ind w:left="720" w:hanging="360"/>
      </w:pPr>
      <w:r>
        <w:rPr>
          <w:b/>
        </w:rPr>
        <w:t>•</w:t>
      </w:r>
      <w:r>
        <w:tab/>
        <w:t>one local modular application capable of loading the controlled v1.0 and v1.1 network configurations;</w:t>
      </w:r>
    </w:p>
    <w:p>
      <w:pPr>
        <w:spacing w:before="0" w:after="40"/>
        <w:ind w:left="720" w:hanging="360"/>
      </w:pPr>
      <w:r>
        <w:rPr>
          <w:b/>
        </w:rPr>
        <w:t>•</w:t>
      </w:r>
      <w:r>
        <w:tab/>
        <w:t>formal test initialisation and the approved SEC-A2 workflows, including the N0–N5 baseline and VT-TOP-DEF-001;</w:t>
      </w:r>
    </w:p>
    <w:p>
      <w:pPr>
        <w:spacing w:before="0" w:after="40"/>
        <w:ind w:left="720" w:hanging="360"/>
      </w:pPr>
      <w:r>
        <w:rPr>
          <w:b/>
        </w:rPr>
        <w:t>•</w:t>
      </w:r>
      <w:r>
        <w:tab/>
        <w:t>generic configuration-driven topology, energisation, outage, restoration and customer-impact processing;</w:t>
      </w:r>
    </w:p>
    <w:p>
      <w:pPr>
        <w:spacing w:before="0" w:after="40"/>
        <w:ind w:left="720" w:hanging="360"/>
      </w:pPr>
      <w:r>
        <w:rPr>
          <w:b/>
        </w:rPr>
        <w:t>•</w:t>
      </w:r>
      <w:r>
        <w:tab/>
        <w:t>simulated telemetry, alarm acknowledgement, switching, controlled scenario time and deterministic command processing;</w:t>
      </w:r>
    </w:p>
    <w:p>
      <w:pPr>
        <w:spacing w:before="0" w:after="40"/>
        <w:ind w:left="720" w:hanging="360"/>
      </w:pPr>
      <w:r>
        <w:rPr>
          <w:b/>
        </w:rPr>
        <w:t>•</w:t>
      </w:r>
      <w:r>
        <w:tab/>
        <w:t>reviewer-selected Exploration Mode using corrected v1.1 and any represented distribution section;</w:t>
      </w:r>
    </w:p>
    <w:p>
      <w:pPr>
        <w:spacing w:before="0" w:after="40"/>
        <w:ind w:left="720" w:hanging="360"/>
      </w:pPr>
      <w:r>
        <w:rPr>
          <w:b/>
        </w:rPr>
        <w:t>•</w:t>
      </w:r>
      <w:r>
        <w:tab/>
        <w:t>immutable formal validation executions, checkpoints, evidence snapshots, defects, corrections and linked repeats;</w:t>
      </w:r>
    </w:p>
    <w:p>
      <w:pPr>
        <w:spacing w:before="0" w:after="40"/>
        <w:ind w:left="720" w:hanging="360"/>
      </w:pPr>
      <w:r>
        <w:rPr>
          <w:b/>
        </w:rPr>
        <w:t>•</w:t>
      </w:r>
      <w:r>
        <w:tab/>
        <w:t>read-only operational event history separate from engineering judgement records;</w:t>
      </w:r>
    </w:p>
    <w:p>
      <w:pPr>
        <w:spacing w:before="0" w:after="40"/>
        <w:ind w:left="720" w:hanging="360"/>
      </w:pPr>
      <w:r>
        <w:rPr>
          <w:b/>
        </w:rPr>
        <w:t>•</w:t>
      </w:r>
      <w:r>
        <w:tab/>
        <w:t>a consequence-to-source DEF-001 investigation and explicit v1.0/v1.1 configuration comparison; and</w:t>
      </w:r>
    </w:p>
    <w:p>
      <w:pPr>
        <w:spacing w:before="0" w:after="40"/>
        <w:ind w:left="720" w:hanging="360"/>
      </w:pPr>
      <w:r>
        <w:rPr>
          <w:b/>
        </w:rPr>
        <w:t>•</w:t>
      </w:r>
      <w:r>
        <w:tab/>
        <w:t>a reviewable evidence export with stable identifiers, hashes and exact source-record payloads.</w:t>
      </w:r>
    </w:p>
    <w:p>
      <w:pPr>
        <w:pStyle w:val="Heading2"/>
        <w:keepNext/>
      </w:pPr>
      <w:r>
        <w:t>2.2 Excluded Demonstrator Capabilities</w:t>
      </w:r>
    </w:p>
    <w:p>
      <w:pPr>
        <w:spacing w:before="0" w:after="40"/>
        <w:ind w:left="720" w:hanging="360"/>
      </w:pPr>
      <w:r>
        <w:rPr>
          <w:b/>
        </w:rPr>
        <w:t>•</w:t>
      </w:r>
      <w:r>
        <w:tab/>
        <w:t>real equipment control or connection to live SCADA, ADMS, OMS, GIS, protection or utility systems;</w:t>
      </w:r>
    </w:p>
    <w:p>
      <w:pPr>
        <w:spacing w:before="0" w:after="40"/>
        <w:ind w:left="720" w:hanging="360"/>
      </w:pPr>
      <w:r>
        <w:rPr>
          <w:b/>
        </w:rPr>
        <w:t>•</w:t>
      </w:r>
      <w:r>
        <w:tab/>
        <w:t>production authentication, multi-user concurrency, high availability, distributed services or cyber-security certification;</w:t>
      </w:r>
    </w:p>
    <w:p>
      <w:pPr>
        <w:spacing w:before="0" w:after="40"/>
        <w:ind w:left="720" w:hanging="360"/>
      </w:pPr>
      <w:r>
        <w:rPr>
          <w:b/>
        </w:rPr>
        <w:t>•</w:t>
      </w:r>
      <w:r>
        <w:tab/>
        <w:t>load flow, voltage, fault-current or protection-coordination studies;</w:t>
      </w:r>
    </w:p>
    <w:p>
      <w:pPr>
        <w:spacing w:before="0" w:after="40"/>
        <w:ind w:left="720" w:hanging="360"/>
      </w:pPr>
      <w:r>
        <w:rPr>
          <w:b/>
        </w:rPr>
        <w:t>•</w:t>
      </w:r>
      <w:r>
        <w:tab/>
        <w:t>autonomous switching, optimisation or manual override of a blocked/rejected restoration assessment;</w:t>
      </w:r>
    </w:p>
    <w:p>
      <w:pPr>
        <w:spacing w:before="0" w:after="40"/>
        <w:ind w:left="720" w:hanging="360"/>
      </w:pPr>
      <w:r>
        <w:rPr>
          <w:b/>
        </w:rPr>
        <w:t>•</w:t>
      </w:r>
      <w:r>
        <w:tab/>
        <w:t>free-form network-topology editing, customer editing or expected-result editing during an execution;</w:t>
      </w:r>
    </w:p>
    <w:p>
      <w:pPr>
        <w:spacing w:before="0" w:after="40"/>
        <w:ind w:left="720" w:hanging="360"/>
      </w:pPr>
      <w:r>
        <w:rPr>
          <w:b/>
        </w:rPr>
        <w:t>•</w:t>
      </w:r>
      <w:r>
        <w:tab/>
        <w:t>commercial control-room mimicry or reproduction of a proprietary vendor interface;</w:t>
      </w:r>
    </w:p>
    <w:p>
      <w:pPr>
        <w:spacing w:before="0" w:after="40"/>
        <w:ind w:left="720" w:hanging="360"/>
      </w:pPr>
      <w:r>
        <w:rPr>
          <w:b/>
        </w:rPr>
        <w:t>•</w:t>
      </w:r>
      <w:r>
        <w:tab/>
        <w:t>AI-assisted or automated engineering assurance in V1; and</w:t>
      </w:r>
    </w:p>
    <w:p>
      <w:pPr>
        <w:spacing w:before="0" w:after="40"/>
        <w:ind w:left="720" w:hanging="360"/>
      </w:pPr>
      <w:r>
        <w:rPr>
          <w:b/>
        </w:rPr>
        <w:t>•</w:t>
      </w:r>
      <w:r>
        <w:tab/>
        <w:t>conversion of exploratory records into formal validation evidence.</w:t>
      </w:r>
    </w:p>
    <w:p>
      <w:pPr>
        <w:pStyle w:val="Heading2"/>
        <w:keepNext/>
      </w:pPr>
      <w:r>
        <w:t>2.3 Design Decisions Versus Engineering Decisions</w:t>
      </w:r>
    </w:p>
    <w:p>
      <w:pPr>
        <w:spacing w:before="120" w:after="120"/>
      </w:pPr>
      <w:r>
        <w:rPr>
          <w:b w:val="0"/>
          <w:i w:val="0"/>
        </w:rPr>
        <w:t>Choices in this document are labelled Demonstrator Design decisions when they concern software structure, storage, identifiers, navigation, display, export or development tooling. They do not become engineering rules merely because code implements them. Conversely, code shall not use a display convention or database relationship to decide engineering state; domain results remain outputs of the approved topology, outage and restoration logic.</w:t>
      </w:r>
    </w:p>
    <w:p>
      <w:pPr>
        <w:pStyle w:val="Heading1"/>
        <w:keepNext/>
      </w:pPr>
      <w:r>
        <w:t>3. Demonstrator Design Principles</w:t>
      </w:r>
    </w:p>
    <w:p>
      <w:pPr>
        <w:keepNext/>
        <w:spacing w:before="240" w:after="80"/>
      </w:pPr>
      <w:r>
        <w:rPr>
          <w:rFonts w:ascii="Roboto Mono" w:hAnsi="Roboto Mono" w:eastAsia="Roboto Mono"/>
          <w:b/>
          <w:color w:val="188038"/>
        </w:rPr>
        <w:t>DD-P01</w:t>
      </w:r>
      <w:r>
        <w:rPr>
          <w:b/>
        </w:rPr>
        <w:t xml:space="preserve"> — Engineering baseline before software convenience</w:t>
      </w:r>
    </w:p>
    <w:p>
      <w:pPr>
        <w:spacing w:before="0" w:after="120"/>
      </w:pPr>
      <w:r>
        <w:rPr>
          <w:b w:val="0"/>
          <w:i w:val="0"/>
        </w:rPr>
        <w:t>The application implements approved engineering records and workflow gates. A framework default, database shortcut or visual convention cannot replace a requirement, calculation or state rule.</w:t>
      </w:r>
    </w:p>
    <w:p>
      <w:pPr>
        <w:keepNext/>
        <w:spacing w:before="240" w:after="80"/>
      </w:pPr>
      <w:r>
        <w:rPr>
          <w:rFonts w:ascii="Roboto Mono" w:hAnsi="Roboto Mono" w:eastAsia="Roboto Mono"/>
          <w:b/>
          <w:color w:val="188038"/>
        </w:rPr>
        <w:t>DD-P02</w:t>
      </w:r>
      <w:r>
        <w:rPr>
          <w:b/>
        </w:rPr>
        <w:t xml:space="preserve"> — One local product, explicit internal ownership</w:t>
      </w:r>
    </w:p>
    <w:p>
      <w:pPr>
        <w:spacing w:before="0" w:after="120"/>
      </w:pPr>
      <w:r>
        <w:rPr>
          <w:b w:val="0"/>
          <w:i w:val="0"/>
        </w:rPr>
        <w:t>V1 is one locally executed modular web application. The nine logical components remain visible as code and data-ownership boundaries even though they are not separately deployed services.</w:t>
      </w:r>
    </w:p>
    <w:p>
      <w:pPr>
        <w:keepNext/>
        <w:spacing w:before="240" w:after="80"/>
      </w:pPr>
      <w:r>
        <w:rPr>
          <w:rFonts w:ascii="Roboto Mono" w:hAnsi="Roboto Mono" w:eastAsia="Roboto Mono"/>
          <w:b/>
          <w:color w:val="188038"/>
        </w:rPr>
        <w:t>DD-P03</w:t>
      </w:r>
      <w:r>
        <w:rPr>
          <w:b/>
        </w:rPr>
        <w:t xml:space="preserve"> — Server-authoritative engineering behaviour</w:t>
      </w:r>
    </w:p>
    <w:p>
      <w:pPr>
        <w:spacing w:before="0" w:after="120"/>
      </w:pPr>
      <w:r>
        <w:rPr>
          <w:b w:val="0"/>
          <w:i w:val="0"/>
        </w:rPr>
        <w:t>All command availability, topology, source attribution, outage, customer, restoration and validation results are determined by backend domain modules. The browser presents returned projections and never calculates an engineering outcome independently.</w:t>
      </w:r>
    </w:p>
    <w:p>
      <w:pPr>
        <w:keepNext/>
        <w:spacing w:before="240" w:after="80"/>
      </w:pPr>
      <w:r>
        <w:rPr>
          <w:rFonts w:ascii="Roboto Mono" w:hAnsi="Roboto Mono" w:eastAsia="Roboto Mono"/>
          <w:b/>
          <w:color w:val="188038"/>
        </w:rPr>
        <w:t>DD-P04</w:t>
      </w:r>
      <w:r>
        <w:rPr>
          <w:b/>
        </w:rPr>
        <w:t xml:space="preserve"> — Information classes remain separate</w:t>
      </w:r>
    </w:p>
    <w:p>
      <w:pPr>
        <w:spacing w:before="0" w:after="120"/>
      </w:pPr>
      <w:r>
        <w:rPr>
          <w:b w:val="0"/>
          <w:i w:val="0"/>
        </w:rPr>
        <w:t>Persistent configuration, observed operational state, transient scenario state, derived operational state, operational events and engineering validation/evidence are separate records with explicit links. A screen may align them for review without merging their ownership.</w:t>
      </w:r>
    </w:p>
    <w:p>
      <w:pPr>
        <w:keepNext/>
        <w:spacing w:before="240" w:after="80"/>
      </w:pPr>
      <w:r>
        <w:rPr>
          <w:rFonts w:ascii="Roboto Mono" w:hAnsi="Roboto Mono" w:eastAsia="Roboto Mono"/>
          <w:b/>
          <w:color w:val="188038"/>
        </w:rPr>
        <w:t>DD-P05</w:t>
      </w:r>
      <w:r>
        <w:rPr>
          <w:b/>
        </w:rPr>
        <w:t xml:space="preserve"> — Configuration drives both defect and correction</w:t>
      </w:r>
    </w:p>
    <w:p>
      <w:pPr>
        <w:spacing w:before="0" w:after="120"/>
      </w:pPr>
      <w:r>
        <w:rPr>
          <w:b w:val="0"/>
          <w:i w:val="0"/>
        </w:rPr>
        <w:t>v1.0 and v1.1 pass through identical code. The only controlled topology difference is the approved SW-A23 endpoint relationship; no defect-specific result branch or canned customer count is permitted.</w:t>
      </w:r>
    </w:p>
    <w:p>
      <w:pPr>
        <w:keepNext/>
        <w:spacing w:before="240" w:after="80"/>
      </w:pPr>
      <w:r>
        <w:rPr>
          <w:rFonts w:ascii="Roboto Mono" w:hAnsi="Roboto Mono" w:eastAsia="Roboto Mono"/>
          <w:b/>
          <w:color w:val="188038"/>
        </w:rPr>
        <w:t>DD-P06</w:t>
      </w:r>
      <w:r>
        <w:rPr>
          <w:b/>
        </w:rPr>
        <w:t xml:space="preserve"> — The current revision controls action</w:t>
      </w:r>
    </w:p>
    <w:p>
      <w:pPr>
        <w:spacing w:before="0" w:after="120"/>
      </w:pPr>
      <w:r>
        <w:rPr>
          <w:b w:val="0"/>
          <w:i w:val="0"/>
        </w:rPr>
        <w:t>Commands carry run identity, expected state revision and command identity. The backend exposes action availability with engineering-readable reasons and rejects stale or unavailable actions before mutation.</w:t>
      </w:r>
    </w:p>
    <w:p>
      <w:pPr>
        <w:keepNext/>
        <w:spacing w:before="240" w:after="80"/>
      </w:pPr>
      <w:r>
        <w:rPr>
          <w:rFonts w:ascii="Roboto Mono" w:hAnsi="Roboto Mono" w:eastAsia="Roboto Mono"/>
          <w:b/>
          <w:color w:val="188038"/>
        </w:rPr>
        <w:t>DD-P07</w:t>
      </w:r>
      <w:r>
        <w:rPr>
          <w:b/>
        </w:rPr>
        <w:t xml:space="preserve"> — Screens are projections, not network states</w:t>
      </w:r>
    </w:p>
    <w:p>
      <w:pPr>
        <w:spacing w:before="0" w:after="120"/>
      </w:pPr>
      <w:r>
        <w:rPr>
          <w:b w:val="0"/>
          <w:i w:val="0"/>
        </w:rPr>
        <w:t>Routes and panels organise work; they do not encode N0–N5. N4 is presented from a current assessment attached to the unchanged N3 physical topology revision.</w:t>
      </w:r>
    </w:p>
    <w:p>
      <w:pPr>
        <w:keepNext/>
        <w:spacing w:before="240" w:after="80"/>
      </w:pPr>
      <w:r>
        <w:rPr>
          <w:rFonts w:ascii="Roboto Mono" w:hAnsi="Roboto Mono" w:eastAsia="Roboto Mono"/>
          <w:b/>
          <w:color w:val="188038"/>
        </w:rPr>
        <w:t>DD-P08</w:t>
      </w:r>
      <w:r>
        <w:rPr>
          <w:b/>
        </w:rPr>
        <w:t xml:space="preserve"> — Evidence is captured, not reconstructed</w:t>
      </w:r>
    </w:p>
    <w:p>
      <w:pPr>
        <w:spacing w:before="0" w:after="120"/>
      </w:pPr>
      <w:r>
        <w:rPr>
          <w:b w:val="0"/>
          <w:i w:val="0"/>
        </w:rPr>
        <w:t>A formal checkpoint references immutable configuration, telemetry, derived state, events and assessments at the exact run revision. Later screen state cannot replace that snapshot.</w:t>
      </w:r>
    </w:p>
    <w:p>
      <w:pPr>
        <w:keepNext/>
        <w:spacing w:before="240" w:after="80"/>
      </w:pPr>
      <w:r>
        <w:rPr>
          <w:rFonts w:ascii="Roboto Mono" w:hAnsi="Roboto Mono" w:eastAsia="Roboto Mono"/>
          <w:b/>
          <w:color w:val="188038"/>
        </w:rPr>
        <w:t>DD-P09</w:t>
      </w:r>
      <w:r>
        <w:rPr>
          <w:b/>
        </w:rPr>
        <w:t xml:space="preserve"> — Exploration remains visibly non-formal</w:t>
      </w:r>
    </w:p>
    <w:p>
      <w:pPr>
        <w:spacing w:before="0" w:after="120"/>
      </w:pPr>
      <w:r>
        <w:rPr>
          <w:b w:val="0"/>
          <w:i w:val="0"/>
        </w:rPr>
        <w:t>Exploration uses the common engine and corrected v1.1 but is permanently labelled EXPLORATORY. Its selected fault is run state and never rewrites network configuration.</w:t>
      </w:r>
    </w:p>
    <w:p>
      <w:pPr>
        <w:keepNext/>
        <w:spacing w:before="240" w:after="80"/>
      </w:pPr>
      <w:r>
        <w:rPr>
          <w:rFonts w:ascii="Roboto Mono" w:hAnsi="Roboto Mono" w:eastAsia="Roboto Mono"/>
          <w:b/>
          <w:color w:val="188038"/>
        </w:rPr>
        <w:t>DD-P10</w:t>
      </w:r>
      <w:r>
        <w:rPr>
          <w:b/>
        </w:rPr>
        <w:t xml:space="preserve"> — The defect is investigated, not announced</w:t>
      </w:r>
    </w:p>
    <w:p>
      <w:pPr>
        <w:spacing w:before="0" w:after="120"/>
      </w:pPr>
      <w:r>
        <w:rPr>
          <w:b w:val="0"/>
          <w:i w:val="0"/>
        </w:rPr>
        <w:t>The normal operational workspace shows the unexpected consequence and source attribution without highlighting the incorrect v1.0 endpoint. Detailed connectivity comparison appears in the controlled investigation path after the failed execution.</w:t>
      </w:r>
    </w:p>
    <w:p>
      <w:pPr>
        <w:keepNext/>
        <w:spacing w:before="240" w:after="80"/>
      </w:pPr>
      <w:r>
        <w:rPr>
          <w:rFonts w:ascii="Roboto Mono" w:hAnsi="Roboto Mono" w:eastAsia="Roboto Mono"/>
          <w:b/>
          <w:color w:val="188038"/>
        </w:rPr>
        <w:t>DD-P11</w:t>
      </w:r>
      <w:r>
        <w:rPr>
          <w:b/>
        </w:rPr>
        <w:t xml:space="preserve"> — Deterministic display and calculation</w:t>
      </w:r>
    </w:p>
    <w:p>
      <w:pPr>
        <w:spacing w:before="0" w:after="120"/>
      </w:pPr>
      <w:r>
        <w:rPr>
          <w:b w:val="0"/>
          <w:i w:val="0"/>
        </w:rPr>
        <w:t>Fixed presentation coordinates, stable ordering, controlled time, integer engineering quantities and recorded dependency/build identities make results repeatable. Browser refresh timing and visual layout do not affect engineering output.</w:t>
      </w:r>
    </w:p>
    <w:p>
      <w:pPr>
        <w:keepNext/>
        <w:spacing w:before="240" w:after="80"/>
      </w:pPr>
      <w:r>
        <w:rPr>
          <w:rFonts w:ascii="Roboto Mono" w:hAnsi="Roboto Mono" w:eastAsia="Roboto Mono"/>
          <w:b/>
          <w:color w:val="188038"/>
        </w:rPr>
        <w:t>DD-P12</w:t>
      </w:r>
      <w:r>
        <w:rPr>
          <w:b/>
        </w:rPr>
        <w:t xml:space="preserve"> — Graduate work-package clarity</w:t>
      </w:r>
    </w:p>
    <w:p>
      <w:pPr>
        <w:spacing w:before="0" w:after="120"/>
      </w:pPr>
      <w:r>
        <w:rPr>
          <w:b w:val="0"/>
          <w:i w:val="0"/>
        </w:rPr>
        <w:t>The interface favours traceable engineering reasoning, evidence and review over product breadth. Every major view explains what information it owns, what is derived and why an action is or is not available.</w:t>
      </w:r>
    </w:p>
    <w:p>
      <w:pPr>
        <w:pStyle w:val="Heading1"/>
        <w:keepNext/>
      </w:pPr>
      <w:r>
        <w:t>4. Deployment Shape and Application Context</w:t>
      </w:r>
    </w:p>
    <w:p>
      <w:pPr>
        <w:spacing w:before="120" w:after="120"/>
      </w:pPr>
      <w:r>
        <w:rPr>
          <w:b w:val="0"/>
          <w:i w:val="0"/>
        </w:rPr>
        <w:t>The selected V1 deployment is a local modular web application. During development the frontend development server and backend API may run as two local processes for efficient editing. The reviewable build compiles the frontend into static assets served by the backend so the demonstrator starts as one local application and binds only to the loopback interface. No cloud service, external queue, remote database or live OT connection is required.</w:t>
      </w:r>
    </w:p>
    <w:p>
      <w:pPr>
        <w:spacing w:before="120" w:after="120"/>
      </w:pPr>
      <w:r>
        <w:rPr>
          <w:b w:val="0"/>
          <w:i w:val="0"/>
        </w:rPr>
        <w:t>This deployment shape implements AD-SA-001 and the Step 7 atomic-transaction model without pretending that conceptual SCADA, ADMS, OMS and GIS functions are independent products. Their boundaries are code modules, typed contracts and owned tables. The application coordinator invokes them in the approved deterministic order inside one local database transaction.</w:t>
      </w:r>
    </w:p>
    <w:p>
      <w:r>
        <w:drawing>
          <wp:inline>
            <wp:extent cx="5897880" cy="3669792"/>
            <wp:docPr id="1" name="Picture 1" title="V1 local modular application" descr="Diagram of the React workspace, FastAPI application coordinator, nine logical ownership modules, versioned JSON inputs, SQLite storage and evidence export boundary."/>
            <wp:cNvGraphicFramePr>
              <a:graphicFrameLocks noChangeAspect="1"/>
            </wp:cNvGraphicFramePr>
            <a:graphic>
              <a:graphicData uri="http://schemas.openxmlformats.org/drawingml/2006/picture">
                <pic:pic>
                  <pic:nvPicPr>
                    <pic:cNvPr id="0" name="figure-1-local-modular-application.png"/>
                    <pic:cNvPicPr/>
                  </pic:nvPicPr>
                  <pic:blipFill>
                    <a:blip r:embed="rId8"/>
                    <a:stretch>
                      <a:fillRect/>
                    </a:stretch>
                  </pic:blipFill>
                  <pic:spPr>
                    <a:xfrm>
                      <a:off x="0" y="0"/>
                      <a:ext cx="5897880" cy="3669792"/>
                    </a:xfrm>
                    <a:prstGeom prst="rect"/>
                  </pic:spPr>
                </pic:pic>
              </a:graphicData>
            </a:graphic>
          </wp:inline>
        </w:drawing>
      </w:r>
    </w:p>
    <w:p>
      <w:pPr>
        <w:spacing w:before="80" w:after="200"/>
        <w:jc w:val="center"/>
      </w:pPr>
      <w:r>
        <w:rPr>
          <w:i/>
          <w:color w:val="434343"/>
        </w:rPr>
        <w:t>Figure 1 — V1 local modular application, logical ownership modules and storage boundaries</w:t>
      </w:r>
    </w:p>
    <w:p>
      <w:pPr>
        <w:pStyle w:val="Heading2"/>
        <w:keepNext/>
      </w:pPr>
      <w:r>
        <w:t>4.1 Runtime Processes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088"/>
            <w:shd w:fill="E7E7E7"/>
            <w:tcMar>
              <w:top w:w="80" w:type="dxa"/>
              <w:start w:w="100" w:type="dxa"/>
              <w:bottom w:w="80" w:type="dxa"/>
              <w:end w:w="100" w:type="dxa"/>
            </w:tcMar>
            <w:vAlign w:val="center"/>
          </w:tcPr>
          <w:p>
            <w:pPr>
              <w:spacing w:before="40" w:after="40"/>
              <w:jc w:val="center"/>
            </w:pPr>
            <w:r>
              <w:rPr>
                <w:b/>
                <w:sz w:val="19"/>
              </w:rPr>
              <w:t>Runtime element</w:t>
            </w:r>
          </w:p>
        </w:tc>
        <w:tc>
          <w:tcPr>
            <w:tcW w:type="dxa" w:w="4464"/>
            <w:shd w:fill="E7E7E7"/>
            <w:tcMar>
              <w:top w:w="80" w:type="dxa"/>
              <w:start w:w="100" w:type="dxa"/>
              <w:bottom w:w="80" w:type="dxa"/>
              <w:end w:w="100" w:type="dxa"/>
            </w:tcMar>
            <w:vAlign w:val="center"/>
          </w:tcPr>
          <w:p>
            <w:pPr>
              <w:spacing w:before="40" w:after="40"/>
              <w:jc w:val="center"/>
            </w:pPr>
            <w:r>
              <w:rPr>
                <w:b/>
                <w:sz w:val="19"/>
              </w:rPr>
              <w:t>Role</w:t>
            </w:r>
          </w:p>
        </w:tc>
        <w:tc>
          <w:tcPr>
            <w:tcW w:type="dxa" w:w="2808"/>
            <w:shd w:fill="E7E7E7"/>
            <w:tcMar>
              <w:top w:w="80" w:type="dxa"/>
              <w:start w:w="100" w:type="dxa"/>
              <w:bottom w:w="80" w:type="dxa"/>
              <w:end w:w="100" w:type="dxa"/>
            </w:tcMar>
            <w:vAlign w:val="center"/>
          </w:tcPr>
          <w:p>
            <w:pPr>
              <w:spacing w:before="40" w:after="40"/>
              <w:jc w:val="center"/>
            </w:pPr>
            <w:r>
              <w:rPr>
                <w:b/>
                <w:sz w:val="19"/>
              </w:rPr>
              <w:t>Boundary</w:t>
            </w:r>
          </w:p>
        </w:tc>
      </w:tr>
      <w:tr>
        <w:trPr>
          <w:cantSplit/>
        </w:trPr>
        <w:tc>
          <w:tcPr>
            <w:tcW w:type="dxa" w:w="2088"/>
            <w:tcMar>
              <w:top w:w="80" w:type="dxa"/>
              <w:start w:w="100" w:type="dxa"/>
              <w:bottom w:w="80" w:type="dxa"/>
              <w:end w:w="100" w:type="dxa"/>
            </w:tcMar>
            <w:vAlign w:val="center"/>
          </w:tcPr>
          <w:p>
            <w:pPr>
              <w:spacing w:before="20" w:after="20"/>
            </w:pPr>
            <w:r>
              <w:rPr>
                <w:sz w:val="19"/>
              </w:rPr>
              <w:t>Browser workspace</w:t>
            </w:r>
          </w:p>
        </w:tc>
        <w:tc>
          <w:tcPr>
            <w:tcW w:type="dxa" w:w="4464"/>
            <w:tcMar>
              <w:top w:w="80" w:type="dxa"/>
              <w:start w:w="100" w:type="dxa"/>
              <w:bottom w:w="80" w:type="dxa"/>
              <w:end w:w="100" w:type="dxa"/>
            </w:tcMar>
            <w:vAlign w:val="center"/>
          </w:tcPr>
          <w:p>
            <w:pPr>
              <w:spacing w:before="20" w:after="20"/>
            </w:pPr>
            <w:r>
              <w:rPr>
                <w:sz w:val="19"/>
              </w:rPr>
              <w:t>Renders the one-line network, records, reasons and actions returned by the API.</w:t>
            </w:r>
          </w:p>
        </w:tc>
        <w:tc>
          <w:tcPr>
            <w:tcW w:type="dxa" w:w="2808"/>
            <w:tcMar>
              <w:top w:w="80" w:type="dxa"/>
              <w:start w:w="100" w:type="dxa"/>
              <w:bottom w:w="80" w:type="dxa"/>
              <w:end w:w="100" w:type="dxa"/>
            </w:tcMar>
            <w:vAlign w:val="center"/>
          </w:tcPr>
          <w:p>
            <w:pPr>
              <w:spacing w:before="20" w:after="20"/>
            </w:pPr>
            <w:r>
              <w:rPr>
                <w:sz w:val="19"/>
              </w:rPr>
              <w:t>No engineering calculations and no direct database/file access.</w:t>
            </w:r>
          </w:p>
        </w:tc>
      </w:tr>
      <w:tr>
        <w:trPr>
          <w:cantSplit/>
        </w:trPr>
        <w:tc>
          <w:tcPr>
            <w:tcW w:type="dxa" w:w="2088"/>
            <w:tcMar>
              <w:top w:w="80" w:type="dxa"/>
              <w:start w:w="100" w:type="dxa"/>
              <w:bottom w:w="80" w:type="dxa"/>
              <w:end w:w="100" w:type="dxa"/>
            </w:tcMar>
            <w:vAlign w:val="center"/>
          </w:tcPr>
          <w:p>
            <w:pPr>
              <w:spacing w:before="20" w:after="20"/>
            </w:pPr>
            <w:r>
              <w:rPr>
                <w:sz w:val="19"/>
              </w:rPr>
              <w:t>Local backend</w:t>
            </w:r>
          </w:p>
        </w:tc>
        <w:tc>
          <w:tcPr>
            <w:tcW w:type="dxa" w:w="4464"/>
            <w:tcMar>
              <w:top w:w="80" w:type="dxa"/>
              <w:start w:w="100" w:type="dxa"/>
              <w:bottom w:w="80" w:type="dxa"/>
              <w:end w:w="100" w:type="dxa"/>
            </w:tcMar>
            <w:vAlign w:val="center"/>
          </w:tcPr>
          <w:p>
            <w:pPr>
              <w:spacing w:before="20" w:after="20"/>
            </w:pPr>
            <w:r>
              <w:rPr>
                <w:sz w:val="19"/>
              </w:rPr>
              <w:t>Owns commands, transactions, domain processing, persistence, evidence snapshots and export assembly.</w:t>
            </w:r>
          </w:p>
        </w:tc>
        <w:tc>
          <w:tcPr>
            <w:tcW w:type="dxa" w:w="2808"/>
            <w:tcMar>
              <w:top w:w="80" w:type="dxa"/>
              <w:start w:w="100" w:type="dxa"/>
              <w:bottom w:w="80" w:type="dxa"/>
              <w:end w:w="100" w:type="dxa"/>
            </w:tcMar>
            <w:vAlign w:val="center"/>
          </w:tcPr>
          <w:p>
            <w:pPr>
              <w:spacing w:before="20" w:after="20"/>
            </w:pPr>
            <w:r>
              <w:rPr>
                <w:sz w:val="19"/>
              </w:rPr>
              <w:t>Only process authorised to mutate run or engineering records.</w:t>
            </w:r>
          </w:p>
        </w:tc>
      </w:tr>
      <w:tr>
        <w:trPr>
          <w:cantSplit/>
        </w:trPr>
        <w:tc>
          <w:tcPr>
            <w:tcW w:type="dxa" w:w="2088"/>
            <w:tcMar>
              <w:top w:w="80" w:type="dxa"/>
              <w:start w:w="100" w:type="dxa"/>
              <w:bottom w:w="80" w:type="dxa"/>
              <w:end w:w="100" w:type="dxa"/>
            </w:tcMar>
            <w:vAlign w:val="center"/>
          </w:tcPr>
          <w:p>
            <w:pPr>
              <w:spacing w:before="20" w:after="20"/>
            </w:pPr>
            <w:r>
              <w:rPr>
                <w:sz w:val="19"/>
              </w:rPr>
              <w:t>SQLite file</w:t>
            </w:r>
          </w:p>
        </w:tc>
        <w:tc>
          <w:tcPr>
            <w:tcW w:type="dxa" w:w="4464"/>
            <w:tcMar>
              <w:top w:w="80" w:type="dxa"/>
              <w:start w:w="100" w:type="dxa"/>
              <w:bottom w:w="80" w:type="dxa"/>
              <w:end w:w="100" w:type="dxa"/>
            </w:tcMar>
            <w:vAlign w:val="center"/>
          </w:tcPr>
          <w:p>
            <w:pPr>
              <w:spacing w:before="20" w:after="20"/>
            </w:pPr>
            <w:r>
              <w:rPr>
                <w:sz w:val="19"/>
              </w:rPr>
              <w:t>Stores run-scoped and preserved records with relational links and transactions.</w:t>
            </w:r>
          </w:p>
        </w:tc>
        <w:tc>
          <w:tcPr>
            <w:tcW w:type="dxa" w:w="2808"/>
            <w:tcMar>
              <w:top w:w="80" w:type="dxa"/>
              <w:start w:w="100" w:type="dxa"/>
              <w:bottom w:w="80" w:type="dxa"/>
              <w:end w:w="100" w:type="dxa"/>
            </w:tcMar>
            <w:vAlign w:val="center"/>
          </w:tcPr>
          <w:p>
            <w:pPr>
              <w:spacing w:before="20" w:after="20"/>
            </w:pPr>
            <w:r>
              <w:rPr>
                <w:sz w:val="19"/>
              </w:rPr>
              <w:t>Not used as a single undifferentiated state blob.</w:t>
            </w:r>
          </w:p>
        </w:tc>
      </w:tr>
      <w:tr>
        <w:trPr>
          <w:cantSplit/>
        </w:trPr>
        <w:tc>
          <w:tcPr>
            <w:tcW w:type="dxa" w:w="2088"/>
            <w:tcMar>
              <w:top w:w="80" w:type="dxa"/>
              <w:start w:w="100" w:type="dxa"/>
              <w:bottom w:w="80" w:type="dxa"/>
              <w:end w:w="100" w:type="dxa"/>
            </w:tcMar>
            <w:vAlign w:val="center"/>
          </w:tcPr>
          <w:p>
            <w:pPr>
              <w:spacing w:before="20" w:after="20"/>
            </w:pPr>
            <w:r>
              <w:rPr>
                <w:sz w:val="19"/>
              </w:rPr>
              <w:t>Versioned input files</w:t>
            </w:r>
          </w:p>
        </w:tc>
        <w:tc>
          <w:tcPr>
            <w:tcW w:type="dxa" w:w="4464"/>
            <w:tcMar>
              <w:top w:w="80" w:type="dxa"/>
              <w:start w:w="100" w:type="dxa"/>
              <w:bottom w:w="80" w:type="dxa"/>
              <w:end w:w="100" w:type="dxa"/>
            </w:tcMar>
            <w:vAlign w:val="center"/>
          </w:tcPr>
          <w:p>
            <w:pPr>
              <w:spacing w:before="20" w:after="20"/>
            </w:pPr>
            <w:r>
              <w:rPr>
                <w:sz w:val="19"/>
              </w:rPr>
              <w:t>Hold controlled configurations, approved test definitions and display-layout metadata.</w:t>
            </w:r>
          </w:p>
        </w:tc>
        <w:tc>
          <w:tcPr>
            <w:tcW w:type="dxa" w:w="2808"/>
            <w:tcMar>
              <w:top w:w="80" w:type="dxa"/>
              <w:start w:w="100" w:type="dxa"/>
              <w:bottom w:w="80" w:type="dxa"/>
              <w:end w:w="100" w:type="dxa"/>
            </w:tcMar>
            <w:vAlign w:val="center"/>
          </w:tcPr>
          <w:p>
            <w:pPr>
              <w:spacing w:before="20" w:after="20"/>
            </w:pPr>
            <w:r>
              <w:rPr>
                <w:sz w:val="19"/>
              </w:rPr>
              <w:t>Read-only at runtime; identity and hash recorded.</w:t>
            </w:r>
          </w:p>
        </w:tc>
      </w:tr>
      <w:tr>
        <w:trPr>
          <w:cantSplit/>
        </w:trPr>
        <w:tc>
          <w:tcPr>
            <w:tcW w:type="dxa" w:w="2088"/>
            <w:tcMar>
              <w:top w:w="80" w:type="dxa"/>
              <w:start w:w="100" w:type="dxa"/>
              <w:bottom w:w="80" w:type="dxa"/>
              <w:end w:w="100" w:type="dxa"/>
            </w:tcMar>
            <w:vAlign w:val="center"/>
          </w:tcPr>
          <w:p>
            <w:pPr>
              <w:spacing w:before="20" w:after="20"/>
            </w:pPr>
            <w:r>
              <w:rPr>
                <w:sz w:val="19"/>
              </w:rPr>
              <w:t>Evidence export folder</w:t>
            </w:r>
          </w:p>
        </w:tc>
        <w:tc>
          <w:tcPr>
            <w:tcW w:type="dxa" w:w="4464"/>
            <w:tcMar>
              <w:top w:w="80" w:type="dxa"/>
              <w:start w:w="100" w:type="dxa"/>
              <w:bottom w:w="80" w:type="dxa"/>
              <w:end w:w="100" w:type="dxa"/>
            </w:tcMar>
            <w:vAlign w:val="center"/>
          </w:tcPr>
          <w:p>
            <w:pPr>
              <w:spacing w:before="20" w:after="20"/>
            </w:pPr>
            <w:r>
              <w:rPr>
                <w:sz w:val="19"/>
              </w:rPr>
              <w:t>Contains immutable review package generated from preserved records.</w:t>
            </w:r>
          </w:p>
        </w:tc>
        <w:tc>
          <w:tcPr>
            <w:tcW w:type="dxa" w:w="2808"/>
            <w:tcMar>
              <w:top w:w="80" w:type="dxa"/>
              <w:start w:w="100" w:type="dxa"/>
              <w:bottom w:w="80" w:type="dxa"/>
              <w:end w:w="100" w:type="dxa"/>
            </w:tcMar>
            <w:vAlign w:val="center"/>
          </w:tcPr>
          <w:p>
            <w:pPr>
              <w:spacing w:before="20" w:after="20"/>
            </w:pPr>
            <w:r>
              <w:rPr>
                <w:sz w:val="19"/>
              </w:rPr>
              <w:t>Export never modifies source records.</w:t>
            </w:r>
          </w:p>
        </w:tc>
      </w:tr>
    </w:tbl>
    <w:p>
      <w:pPr>
        <w:spacing w:after="0"/>
      </w:pPr>
    </w:p>
    <w:p>
      <w:pPr>
        <w:pStyle w:val="Heading1"/>
        <w:keepNext/>
      </w:pPr>
      <w:r>
        <w:t>5. Application and Module Boundaries</w:t>
      </w:r>
    </w:p>
    <w:p>
      <w:pPr>
        <w:spacing w:before="120" w:after="120"/>
      </w:pPr>
      <w:r>
        <w:rPr>
          <w:b w:val="0"/>
          <w:i w:val="0"/>
        </w:rPr>
        <w:t>The backend package structure mirrors SA-CMP-01 through SA-CMP-09. An application coordinator is an orchestration layer rather than a tenth engineering owner. Infrastructure adapters implement persistence, configuration-file loading and export; they do not decide domain results.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1440"/>
            <w:shd w:fill="E7E7E7"/>
            <w:tcMar>
              <w:top w:w="80" w:type="dxa"/>
              <w:start w:w="100" w:type="dxa"/>
              <w:bottom w:w="80" w:type="dxa"/>
              <w:end w:w="100" w:type="dxa"/>
            </w:tcMar>
            <w:vAlign w:val="center"/>
          </w:tcPr>
          <w:p>
            <w:pPr>
              <w:spacing w:before="40" w:after="40"/>
              <w:jc w:val="center"/>
            </w:pPr>
            <w:r>
              <w:rPr>
                <w:b/>
                <w:sz w:val="17"/>
              </w:rPr>
              <w:t>Module</w:t>
            </w:r>
          </w:p>
        </w:tc>
        <w:tc>
          <w:tcPr>
            <w:tcW w:type="dxa" w:w="2664"/>
            <w:shd w:fill="E7E7E7"/>
            <w:tcMar>
              <w:top w:w="80" w:type="dxa"/>
              <w:start w:w="100" w:type="dxa"/>
              <w:bottom w:w="80" w:type="dxa"/>
              <w:end w:w="100" w:type="dxa"/>
            </w:tcMar>
            <w:vAlign w:val="center"/>
          </w:tcPr>
          <w:p>
            <w:pPr>
              <w:spacing w:before="40" w:after="40"/>
              <w:jc w:val="center"/>
            </w:pPr>
            <w:r>
              <w:rPr>
                <w:b/>
                <w:sz w:val="17"/>
              </w:rPr>
              <w:t>Owns</w:t>
            </w:r>
          </w:p>
        </w:tc>
        <w:tc>
          <w:tcPr>
            <w:tcW w:type="dxa" w:w="3096"/>
            <w:shd w:fill="E7E7E7"/>
            <w:tcMar>
              <w:top w:w="80" w:type="dxa"/>
              <w:start w:w="100" w:type="dxa"/>
              <w:bottom w:w="80" w:type="dxa"/>
              <w:end w:w="100" w:type="dxa"/>
            </w:tcMar>
            <w:vAlign w:val="center"/>
          </w:tcPr>
          <w:p>
            <w:pPr>
              <w:spacing w:before="40" w:after="40"/>
              <w:jc w:val="center"/>
            </w:pPr>
            <w:r>
              <w:rPr>
                <w:b/>
                <w:sz w:val="17"/>
              </w:rPr>
              <w:t>Consumes / publishes</w:t>
            </w:r>
          </w:p>
        </w:tc>
        <w:tc>
          <w:tcPr>
            <w:tcW w:type="dxa" w:w="2160"/>
            <w:shd w:fill="E7E7E7"/>
            <w:tcMar>
              <w:top w:w="80" w:type="dxa"/>
              <w:start w:w="100" w:type="dxa"/>
              <w:bottom w:w="80" w:type="dxa"/>
              <w:end w:w="100" w:type="dxa"/>
            </w:tcMar>
            <w:vAlign w:val="center"/>
          </w:tcPr>
          <w:p>
            <w:pPr>
              <w:spacing w:before="40" w:after="40"/>
              <w:jc w:val="center"/>
            </w:pPr>
            <w:r>
              <w:rPr>
                <w:b/>
                <w:sz w:val="17"/>
              </w:rPr>
              <w:t>Shall not do</w:t>
            </w:r>
          </w:p>
        </w:tc>
      </w:tr>
      <w:tr>
        <w:trPr>
          <w:cantSplit/>
        </w:trPr>
        <w:tc>
          <w:tcPr>
            <w:tcW w:type="dxa" w:w="1440"/>
            <w:tcMar>
              <w:top w:w="80" w:type="dxa"/>
              <w:start w:w="100" w:type="dxa"/>
              <w:bottom w:w="80" w:type="dxa"/>
              <w:end w:w="100" w:type="dxa"/>
            </w:tcMar>
            <w:vAlign w:val="center"/>
          </w:tcPr>
          <w:p>
            <w:pPr>
              <w:spacing w:before="20" w:after="20"/>
            </w:pPr>
            <w:r>
              <w:rPr>
                <w:sz w:val="17"/>
              </w:rPr>
              <w:t>configuration</w:t>
            </w:r>
          </w:p>
        </w:tc>
        <w:tc>
          <w:tcPr>
            <w:tcW w:type="dxa" w:w="2664"/>
            <w:tcMar>
              <w:top w:w="80" w:type="dxa"/>
              <w:start w:w="100" w:type="dxa"/>
              <w:bottom w:w="80" w:type="dxa"/>
              <w:end w:w="100" w:type="dxa"/>
            </w:tcMar>
            <w:vAlign w:val="center"/>
          </w:tcPr>
          <w:p>
            <w:pPr>
              <w:spacing w:before="20" w:after="20"/>
            </w:pPr>
            <w:r>
              <w:rPr>
                <w:sz w:val="17"/>
              </w:rPr>
              <w:t>Configuration version metadata, assets, connectivity, loads, capacities and customer mappings.</w:t>
            </w:r>
          </w:p>
        </w:tc>
        <w:tc>
          <w:tcPr>
            <w:tcW w:type="dxa" w:w="3096"/>
            <w:tcMar>
              <w:top w:w="80" w:type="dxa"/>
              <w:start w:w="100" w:type="dxa"/>
              <w:bottom w:w="80" w:type="dxa"/>
              <w:end w:w="100" w:type="dxa"/>
            </w:tcMar>
            <w:vAlign w:val="center"/>
          </w:tcPr>
          <w:p>
            <w:pPr>
              <w:spacing w:before="20" w:after="20"/>
            </w:pPr>
            <w:r>
              <w:rPr>
                <w:sz w:val="17"/>
              </w:rPr>
              <w:t>Publishes immutable NetworkConfiguration to topology, outage and scenario modules.</w:t>
            </w:r>
          </w:p>
        </w:tc>
        <w:tc>
          <w:tcPr>
            <w:tcW w:type="dxa" w:w="2160"/>
            <w:tcMar>
              <w:top w:w="80" w:type="dxa"/>
              <w:start w:w="100" w:type="dxa"/>
              <w:bottom w:w="80" w:type="dxa"/>
              <w:end w:w="100" w:type="dxa"/>
            </w:tcMar>
            <w:vAlign w:val="center"/>
          </w:tcPr>
          <w:p>
            <w:pPr>
              <w:spacing w:before="20" w:after="20"/>
            </w:pPr>
            <w:r>
              <w:rPr>
                <w:sz w:val="17"/>
              </w:rPr>
              <w:t>Own observed device state or select the ‘correct’ topology in code.</w:t>
            </w:r>
          </w:p>
        </w:tc>
      </w:tr>
      <w:tr>
        <w:trPr>
          <w:cantSplit/>
        </w:trPr>
        <w:tc>
          <w:tcPr>
            <w:tcW w:type="dxa" w:w="1440"/>
            <w:tcMar>
              <w:top w:w="80" w:type="dxa"/>
              <w:start w:w="100" w:type="dxa"/>
              <w:bottom w:w="80" w:type="dxa"/>
              <w:end w:w="100" w:type="dxa"/>
            </w:tcMar>
            <w:vAlign w:val="center"/>
          </w:tcPr>
          <w:p>
            <w:pPr>
              <w:spacing w:before="20" w:after="20"/>
            </w:pPr>
            <w:r>
              <w:rPr>
                <w:sz w:val="17"/>
              </w:rPr>
              <w:t>telemetry</w:t>
            </w:r>
          </w:p>
        </w:tc>
        <w:tc>
          <w:tcPr>
            <w:tcW w:type="dxa" w:w="2664"/>
            <w:tcMar>
              <w:top w:w="80" w:type="dxa"/>
              <w:start w:w="100" w:type="dxa"/>
              <w:bottom w:w="80" w:type="dxa"/>
              <w:end w:w="100" w:type="dxa"/>
            </w:tcMar>
            <w:vAlign w:val="center"/>
          </w:tcPr>
          <w:p>
            <w:pPr>
              <w:spacing w:before="20" w:after="20"/>
            </w:pPr>
            <w:r>
              <w:rPr>
                <w:sz w:val="17"/>
              </w:rPr>
              <w:t>Monitored values, GOOD/UNCERTAIN/BAD quality, controlled timestamps, alarm and acknowledgement state.</w:t>
            </w:r>
          </w:p>
        </w:tc>
        <w:tc>
          <w:tcPr>
            <w:tcW w:type="dxa" w:w="3096"/>
            <w:tcMar>
              <w:top w:w="80" w:type="dxa"/>
              <w:start w:w="100" w:type="dxa"/>
              <w:bottom w:w="80" w:type="dxa"/>
              <w:end w:w="100" w:type="dxa"/>
            </w:tcMar>
            <w:vAlign w:val="center"/>
          </w:tcPr>
          <w:p>
            <w:pPr>
              <w:spacing w:before="20" w:after="20"/>
            </w:pPr>
            <w:r>
              <w:rPr>
                <w:sz w:val="17"/>
              </w:rPr>
              <w:t>Publishes observation snapshots and telemetry-validity inputs.</w:t>
            </w:r>
          </w:p>
        </w:tc>
        <w:tc>
          <w:tcPr>
            <w:tcW w:type="dxa" w:w="2160"/>
            <w:tcMar>
              <w:top w:w="80" w:type="dxa"/>
              <w:start w:w="100" w:type="dxa"/>
              <w:bottom w:w="80" w:type="dxa"/>
              <w:end w:w="100" w:type="dxa"/>
            </w:tcMar>
            <w:vAlign w:val="center"/>
          </w:tcPr>
          <w:p>
            <w:pPr>
              <w:spacing w:before="20" w:after="20"/>
            </w:pPr>
            <w:r>
              <w:rPr>
                <w:sz w:val="17"/>
              </w:rPr>
              <w:t>Decide energisation or own persistent connectivity.</w:t>
            </w:r>
          </w:p>
        </w:tc>
      </w:tr>
      <w:tr>
        <w:trPr>
          <w:cantSplit/>
        </w:trPr>
        <w:tc>
          <w:tcPr>
            <w:tcW w:type="dxa" w:w="1440"/>
            <w:tcMar>
              <w:top w:w="80" w:type="dxa"/>
              <w:start w:w="100" w:type="dxa"/>
              <w:bottom w:w="80" w:type="dxa"/>
              <w:end w:w="100" w:type="dxa"/>
            </w:tcMar>
            <w:vAlign w:val="center"/>
          </w:tcPr>
          <w:p>
            <w:pPr>
              <w:spacing w:before="20" w:after="20"/>
            </w:pPr>
            <w:r>
              <w:rPr>
                <w:sz w:val="17"/>
              </w:rPr>
              <w:t>topology</w:t>
            </w:r>
          </w:p>
        </w:tc>
        <w:tc>
          <w:tcPr>
            <w:tcW w:type="dxa" w:w="2664"/>
            <w:tcMar>
              <w:top w:w="80" w:type="dxa"/>
              <w:start w:w="100" w:type="dxa"/>
              <w:bottom w:w="80" w:type="dxa"/>
              <w:end w:w="100" w:type="dxa"/>
            </w:tcMar>
            <w:vAlign w:val="center"/>
          </w:tcPr>
          <w:p>
            <w:pPr>
              <w:spacing w:before="20" w:after="20"/>
            </w:pPr>
            <w:r>
              <w:rPr>
                <w:sz w:val="17"/>
              </w:rPr>
              <w:t>Active graph, source paths, source attribution, energisation, isolation and radiality derivations.</w:t>
            </w:r>
          </w:p>
        </w:tc>
        <w:tc>
          <w:tcPr>
            <w:tcW w:type="dxa" w:w="3096"/>
            <w:tcMar>
              <w:top w:w="80" w:type="dxa"/>
              <w:start w:w="100" w:type="dxa"/>
              <w:bottom w:w="80" w:type="dxa"/>
              <w:end w:w="100" w:type="dxa"/>
            </w:tcMar>
            <w:vAlign w:val="center"/>
          </w:tcPr>
          <w:p>
            <w:pPr>
              <w:spacing w:before="20" w:after="20"/>
            </w:pPr>
            <w:r>
              <w:rPr>
                <w:sz w:val="17"/>
              </w:rPr>
              <w:t>Consumes configuration plus observed states; publishes TopologySnapshot.</w:t>
            </w:r>
          </w:p>
        </w:tc>
        <w:tc>
          <w:tcPr>
            <w:tcW w:type="dxa" w:w="2160"/>
            <w:tcMar>
              <w:top w:w="80" w:type="dxa"/>
              <w:start w:w="100" w:type="dxa"/>
              <w:bottom w:w="80" w:type="dxa"/>
              <w:end w:w="100" w:type="dxa"/>
            </w:tcMar>
            <w:vAlign w:val="center"/>
          </w:tcPr>
          <w:p>
            <w:pPr>
              <w:spacing w:before="20" w:after="20"/>
            </w:pPr>
            <w:r>
              <w:rPr>
                <w:sz w:val="17"/>
              </w:rPr>
              <w:t>Use N-state labels or expected results as calculation inputs.</w:t>
            </w:r>
          </w:p>
        </w:tc>
      </w:tr>
      <w:tr>
        <w:trPr>
          <w:cantSplit/>
        </w:trPr>
        <w:tc>
          <w:tcPr>
            <w:tcW w:type="dxa" w:w="1440"/>
            <w:tcMar>
              <w:top w:w="80" w:type="dxa"/>
              <w:start w:w="100" w:type="dxa"/>
              <w:bottom w:w="80" w:type="dxa"/>
              <w:end w:w="100" w:type="dxa"/>
            </w:tcMar>
            <w:vAlign w:val="center"/>
          </w:tcPr>
          <w:p>
            <w:pPr>
              <w:spacing w:before="20" w:after="20"/>
            </w:pPr>
            <w:r>
              <w:rPr>
                <w:sz w:val="17"/>
              </w:rPr>
              <w:t>restoration</w:t>
            </w:r>
          </w:p>
        </w:tc>
        <w:tc>
          <w:tcPr>
            <w:tcW w:type="dxa" w:w="2664"/>
            <w:tcMar>
              <w:top w:w="80" w:type="dxa"/>
              <w:start w:w="100" w:type="dxa"/>
              <w:bottom w:w="80" w:type="dxa"/>
              <w:end w:w="100" w:type="dxa"/>
            </w:tcMar>
            <w:vAlign w:val="center"/>
          </w:tcPr>
          <w:p>
            <w:pPr>
              <w:spacing w:before="20" w:after="20"/>
            </w:pPr>
            <w:r>
              <w:rPr>
                <w:sz w:val="17"/>
              </w:rPr>
              <w:t>Candidate discovery, required evidence set, permissives, capacity calculation and assessment result.</w:t>
            </w:r>
          </w:p>
        </w:tc>
        <w:tc>
          <w:tcPr>
            <w:tcW w:type="dxa" w:w="3096"/>
            <w:tcMar>
              <w:top w:w="80" w:type="dxa"/>
              <w:start w:w="100" w:type="dxa"/>
              <w:bottom w:w="80" w:type="dxa"/>
              <w:end w:w="100" w:type="dxa"/>
            </w:tcMar>
            <w:vAlign w:val="center"/>
          </w:tcPr>
          <w:p>
            <w:pPr>
              <w:spacing w:before="20" w:after="20"/>
            </w:pPr>
            <w:r>
              <w:rPr>
                <w:sz w:val="17"/>
              </w:rPr>
              <w:t>Consumes topology, telemetry and configured load/capacity.</w:t>
            </w:r>
          </w:p>
        </w:tc>
        <w:tc>
          <w:tcPr>
            <w:tcW w:type="dxa" w:w="2160"/>
            <w:tcMar>
              <w:top w:w="80" w:type="dxa"/>
              <w:start w:w="100" w:type="dxa"/>
              <w:bottom w:w="80" w:type="dxa"/>
              <w:end w:w="100" w:type="dxa"/>
            </w:tcMar>
            <w:vAlign w:val="center"/>
          </w:tcPr>
          <w:p>
            <w:pPr>
              <w:spacing w:before="20" w:after="20"/>
            </w:pPr>
            <w:r>
              <w:rPr>
                <w:sz w:val="17"/>
              </w:rPr>
              <w:t>Operate devices, override outcomes or retain permission after invalidation.</w:t>
            </w:r>
          </w:p>
        </w:tc>
      </w:tr>
      <w:tr>
        <w:trPr>
          <w:cantSplit/>
        </w:trPr>
        <w:tc>
          <w:tcPr>
            <w:tcW w:type="dxa" w:w="1440"/>
            <w:tcMar>
              <w:top w:w="80" w:type="dxa"/>
              <w:start w:w="100" w:type="dxa"/>
              <w:bottom w:w="80" w:type="dxa"/>
              <w:end w:w="100" w:type="dxa"/>
            </w:tcMar>
            <w:vAlign w:val="center"/>
          </w:tcPr>
          <w:p>
            <w:pPr>
              <w:spacing w:before="20" w:after="20"/>
            </w:pPr>
            <w:r>
              <w:rPr>
                <w:sz w:val="17"/>
              </w:rPr>
              <w:t>outage</w:t>
            </w:r>
          </w:p>
        </w:tc>
        <w:tc>
          <w:tcPr>
            <w:tcW w:type="dxa" w:w="2664"/>
            <w:tcMar>
              <w:top w:w="80" w:type="dxa"/>
              <w:start w:w="100" w:type="dxa"/>
              <w:bottom w:w="80" w:type="dxa"/>
              <w:end w:w="100" w:type="dxa"/>
            </w:tcMar>
            <w:vAlign w:val="center"/>
          </w:tcPr>
          <w:p>
            <w:pPr>
              <w:spacing w:before="20" w:after="20"/>
            </w:pPr>
            <w:r>
              <w:rPr>
                <w:sz w:val="17"/>
              </w:rPr>
              <w:t>De-energised section set, customer-zone set, affected total and restored delta.</w:t>
            </w:r>
          </w:p>
        </w:tc>
        <w:tc>
          <w:tcPr>
            <w:tcW w:type="dxa" w:w="3096"/>
            <w:tcMar>
              <w:top w:w="80" w:type="dxa"/>
              <w:start w:w="100" w:type="dxa"/>
              <w:bottom w:w="80" w:type="dxa"/>
              <w:end w:w="100" w:type="dxa"/>
            </w:tcMar>
            <w:vAlign w:val="center"/>
          </w:tcPr>
          <w:p>
            <w:pPr>
              <w:spacing w:before="20" w:after="20"/>
            </w:pPr>
            <w:r>
              <w:rPr>
                <w:sz w:val="17"/>
              </w:rPr>
              <w:t>Consumes TopologySnapshot plus customer mappings.</w:t>
            </w:r>
          </w:p>
        </w:tc>
        <w:tc>
          <w:tcPr>
            <w:tcW w:type="dxa" w:w="2160"/>
            <w:tcMar>
              <w:top w:w="80" w:type="dxa"/>
              <w:start w:w="100" w:type="dxa"/>
              <w:bottom w:w="80" w:type="dxa"/>
              <w:end w:w="100" w:type="dxa"/>
            </w:tcMar>
            <w:vAlign w:val="center"/>
          </w:tcPr>
          <w:p>
            <w:pPr>
              <w:spacing w:before="20" w:after="20"/>
            </w:pPr>
            <w:r>
              <w:rPr>
                <w:sz w:val="17"/>
              </w:rPr>
              <w:t>Infer outage directly from fault label or expected answer.</w:t>
            </w:r>
          </w:p>
        </w:tc>
      </w:tr>
      <w:tr>
        <w:trPr>
          <w:cantSplit/>
        </w:trPr>
        <w:tc>
          <w:tcPr>
            <w:tcW w:type="dxa" w:w="1440"/>
            <w:tcMar>
              <w:top w:w="80" w:type="dxa"/>
              <w:start w:w="100" w:type="dxa"/>
              <w:bottom w:w="80" w:type="dxa"/>
              <w:end w:w="100" w:type="dxa"/>
            </w:tcMar>
            <w:vAlign w:val="center"/>
          </w:tcPr>
          <w:p>
            <w:pPr>
              <w:spacing w:before="20" w:after="20"/>
            </w:pPr>
            <w:r>
              <w:rPr>
                <w:sz w:val="17"/>
              </w:rPr>
              <w:t>events</w:t>
            </w:r>
          </w:p>
        </w:tc>
        <w:tc>
          <w:tcPr>
            <w:tcW w:type="dxa" w:w="2664"/>
            <w:tcMar>
              <w:top w:w="80" w:type="dxa"/>
              <w:start w:w="100" w:type="dxa"/>
              <w:bottom w:w="80" w:type="dxa"/>
              <w:end w:w="100" w:type="dxa"/>
            </w:tcMar>
            <w:vAlign w:val="center"/>
          </w:tcPr>
          <w:p>
            <w:pPr>
              <w:spacing w:before="20" w:after="20"/>
            </w:pPr>
            <w:r>
              <w:rPr>
                <w:sz w:val="17"/>
              </w:rPr>
              <w:t>Append-only 15-type operational event catalogue and per-run sequence.</w:t>
            </w:r>
          </w:p>
        </w:tc>
        <w:tc>
          <w:tcPr>
            <w:tcW w:type="dxa" w:w="3096"/>
            <w:tcMar>
              <w:top w:w="80" w:type="dxa"/>
              <w:start w:w="100" w:type="dxa"/>
              <w:bottom w:w="80" w:type="dxa"/>
              <w:end w:w="100" w:type="dxa"/>
            </w:tcMar>
            <w:vAlign w:val="center"/>
          </w:tcPr>
          <w:p>
            <w:pPr>
              <w:spacing w:before="20" w:after="20"/>
            </w:pPr>
            <w:r>
              <w:rPr>
                <w:sz w:val="17"/>
              </w:rPr>
              <w:t>Consumes typed event requests from domain modules.</w:t>
            </w:r>
          </w:p>
        </w:tc>
        <w:tc>
          <w:tcPr>
            <w:tcW w:type="dxa" w:w="2160"/>
            <w:tcMar>
              <w:top w:w="80" w:type="dxa"/>
              <w:start w:w="100" w:type="dxa"/>
              <w:bottom w:w="80" w:type="dxa"/>
              <w:end w:w="100" w:type="dxa"/>
            </w:tcMar>
            <w:vAlign w:val="center"/>
          </w:tcPr>
          <w:p>
            <w:pPr>
              <w:spacing w:before="20" w:after="20"/>
            </w:pPr>
            <w:r>
              <w:rPr>
                <w:sz w:val="17"/>
              </w:rPr>
              <w:t>Store PASS/FAIL, defect or correction judgement as an operational event.</w:t>
            </w:r>
          </w:p>
        </w:tc>
      </w:tr>
      <w:tr>
        <w:trPr>
          <w:cantSplit/>
        </w:trPr>
        <w:tc>
          <w:tcPr>
            <w:tcW w:type="dxa" w:w="1440"/>
            <w:tcMar>
              <w:top w:w="80" w:type="dxa"/>
              <w:start w:w="100" w:type="dxa"/>
              <w:bottom w:w="80" w:type="dxa"/>
              <w:end w:w="100" w:type="dxa"/>
            </w:tcMar>
            <w:vAlign w:val="center"/>
          </w:tcPr>
          <w:p>
            <w:pPr>
              <w:spacing w:before="20" w:after="20"/>
            </w:pPr>
            <w:r>
              <w:rPr>
                <w:sz w:val="17"/>
              </w:rPr>
              <w:t>scenario</w:t>
            </w:r>
          </w:p>
        </w:tc>
        <w:tc>
          <w:tcPr>
            <w:tcW w:type="dxa" w:w="2664"/>
            <w:tcMar>
              <w:top w:w="80" w:type="dxa"/>
              <w:start w:w="100" w:type="dxa"/>
              <w:bottom w:w="80" w:type="dxa"/>
              <w:end w:w="100" w:type="dxa"/>
            </w:tcMar>
            <w:vAlign w:val="center"/>
          </w:tcPr>
          <w:p>
            <w:pPr>
              <w:spacing w:before="20" w:after="20"/>
            </w:pPr>
            <w:r>
              <w:rPr>
                <w:sz w:val="17"/>
              </w:rPr>
              <w:t>Run context, mode, fault state, controlled clock, workflow stage, current revision and command availability.</w:t>
            </w:r>
          </w:p>
        </w:tc>
        <w:tc>
          <w:tcPr>
            <w:tcW w:type="dxa" w:w="3096"/>
            <w:tcMar>
              <w:top w:w="80" w:type="dxa"/>
              <w:start w:w="100" w:type="dxa"/>
              <w:bottom w:w="80" w:type="dxa"/>
              <w:end w:w="100" w:type="dxa"/>
            </w:tcMar>
            <w:vAlign w:val="center"/>
          </w:tcPr>
          <w:p>
            <w:pPr>
              <w:spacing w:before="20" w:after="20"/>
            </w:pPr>
            <w:r>
              <w:rPr>
                <w:sz w:val="17"/>
              </w:rPr>
              <w:t>Coordinates state-changing and assessment-only transactions.</w:t>
            </w:r>
          </w:p>
        </w:tc>
        <w:tc>
          <w:tcPr>
            <w:tcW w:type="dxa" w:w="2160"/>
            <w:tcMar>
              <w:top w:w="80" w:type="dxa"/>
              <w:start w:w="100" w:type="dxa"/>
              <w:bottom w:w="80" w:type="dxa"/>
              <w:end w:w="100" w:type="dxa"/>
            </w:tcMar>
            <w:vAlign w:val="center"/>
          </w:tcPr>
          <w:p>
            <w:pPr>
              <w:spacing w:before="20" w:after="20"/>
            </w:pPr>
            <w:r>
              <w:rPr>
                <w:sz w:val="17"/>
              </w:rPr>
              <w:t>Calculate topology, outage or restoration criteria itself.</w:t>
            </w:r>
          </w:p>
        </w:tc>
      </w:tr>
      <w:tr>
        <w:trPr>
          <w:cantSplit/>
        </w:trPr>
        <w:tc>
          <w:tcPr>
            <w:tcW w:type="dxa" w:w="1440"/>
            <w:tcMar>
              <w:top w:w="80" w:type="dxa"/>
              <w:start w:w="100" w:type="dxa"/>
              <w:bottom w:w="80" w:type="dxa"/>
              <w:end w:w="100" w:type="dxa"/>
            </w:tcMar>
            <w:vAlign w:val="center"/>
          </w:tcPr>
          <w:p>
            <w:pPr>
              <w:spacing w:before="20" w:after="20"/>
            </w:pPr>
            <w:r>
              <w:rPr>
                <w:sz w:val="17"/>
              </w:rPr>
              <w:t>validation</w:t>
            </w:r>
          </w:p>
        </w:tc>
        <w:tc>
          <w:tcPr>
            <w:tcW w:type="dxa" w:w="2664"/>
            <w:tcMar>
              <w:top w:w="80" w:type="dxa"/>
              <w:start w:w="100" w:type="dxa"/>
              <w:bottom w:w="80" w:type="dxa"/>
              <w:end w:w="100" w:type="dxa"/>
            </w:tcMar>
            <w:vAlign w:val="center"/>
          </w:tcPr>
          <w:p>
            <w:pPr>
              <w:spacing w:before="20" w:after="20"/>
            </w:pPr>
            <w:r>
              <w:rPr>
                <w:sz w:val="17"/>
              </w:rPr>
              <w:t>Test definitions, executions, checkpoints, comparisons, evidence, defects, corrections and repeats.</w:t>
            </w:r>
          </w:p>
        </w:tc>
        <w:tc>
          <w:tcPr>
            <w:tcW w:type="dxa" w:w="3096"/>
            <w:tcMar>
              <w:top w:w="80" w:type="dxa"/>
              <w:start w:w="100" w:type="dxa"/>
              <w:bottom w:w="80" w:type="dxa"/>
              <w:end w:w="100" w:type="dxa"/>
            </w:tcMar>
            <w:vAlign w:val="center"/>
          </w:tcPr>
          <w:p>
            <w:pPr>
              <w:spacing w:before="20" w:after="20"/>
            </w:pPr>
            <w:r>
              <w:rPr>
                <w:sz w:val="17"/>
              </w:rPr>
              <w:t>References immutable domain records by ID and snapshot.</w:t>
            </w:r>
          </w:p>
        </w:tc>
        <w:tc>
          <w:tcPr>
            <w:tcW w:type="dxa" w:w="2160"/>
            <w:tcMar>
              <w:top w:w="80" w:type="dxa"/>
              <w:start w:w="100" w:type="dxa"/>
              <w:bottom w:w="80" w:type="dxa"/>
              <w:end w:w="100" w:type="dxa"/>
            </w:tcMar>
            <w:vAlign w:val="center"/>
          </w:tcPr>
          <w:p>
            <w:pPr>
              <w:spacing w:before="20" w:after="20"/>
            </w:pPr>
            <w:r>
              <w:rPr>
                <w:sz w:val="17"/>
              </w:rPr>
              <w:t>Mutate operational state or rewrite expected results.</w:t>
            </w:r>
          </w:p>
        </w:tc>
      </w:tr>
      <w:tr>
        <w:trPr>
          <w:cantSplit/>
        </w:trPr>
        <w:tc>
          <w:tcPr>
            <w:tcW w:type="dxa" w:w="1440"/>
            <w:tcMar>
              <w:top w:w="80" w:type="dxa"/>
              <w:start w:w="100" w:type="dxa"/>
              <w:bottom w:w="80" w:type="dxa"/>
              <w:end w:w="100" w:type="dxa"/>
            </w:tcMar>
            <w:vAlign w:val="center"/>
          </w:tcPr>
          <w:p>
            <w:pPr>
              <w:spacing w:before="20" w:after="20"/>
            </w:pPr>
            <w:r>
              <w:rPr>
                <w:sz w:val="17"/>
              </w:rPr>
              <w:t>workspace</w:t>
            </w:r>
          </w:p>
        </w:tc>
        <w:tc>
          <w:tcPr>
            <w:tcW w:type="dxa" w:w="2664"/>
            <w:tcMar>
              <w:top w:w="80" w:type="dxa"/>
              <w:start w:w="100" w:type="dxa"/>
              <w:bottom w:w="80" w:type="dxa"/>
              <w:end w:w="100" w:type="dxa"/>
            </w:tcMar>
            <w:vAlign w:val="center"/>
          </w:tcPr>
          <w:p>
            <w:pPr>
              <w:spacing w:before="20" w:after="20"/>
            </w:pPr>
            <w:r>
              <w:rPr>
                <w:sz w:val="17"/>
              </w:rPr>
              <w:t>Read models, labels, navigation metadata and action descriptions.</w:t>
            </w:r>
          </w:p>
        </w:tc>
        <w:tc>
          <w:tcPr>
            <w:tcW w:type="dxa" w:w="3096"/>
            <w:tcMar>
              <w:top w:w="80" w:type="dxa"/>
              <w:start w:w="100" w:type="dxa"/>
              <w:bottom w:w="80" w:type="dxa"/>
              <w:end w:w="100" w:type="dxa"/>
            </w:tcMar>
            <w:vAlign w:val="center"/>
          </w:tcPr>
          <w:p>
            <w:pPr>
              <w:spacing w:before="20" w:after="20"/>
            </w:pPr>
            <w:r>
              <w:rPr>
                <w:sz w:val="17"/>
              </w:rPr>
              <w:t>Combines owned records into browser-safe projections.</w:t>
            </w:r>
          </w:p>
        </w:tc>
        <w:tc>
          <w:tcPr>
            <w:tcW w:type="dxa" w:w="2160"/>
            <w:tcMar>
              <w:top w:w="80" w:type="dxa"/>
              <w:start w:w="100" w:type="dxa"/>
              <w:bottom w:w="80" w:type="dxa"/>
              <w:end w:w="100" w:type="dxa"/>
            </w:tcMar>
            <w:vAlign w:val="center"/>
          </w:tcPr>
          <w:p>
            <w:pPr>
              <w:spacing w:before="20" w:after="20"/>
            </w:pPr>
            <w:r>
              <w:rPr>
                <w:sz w:val="17"/>
              </w:rPr>
              <w:t>Recalculate or override engineering results.</w:t>
            </w:r>
          </w:p>
        </w:tc>
      </w:tr>
    </w:tbl>
    <w:p>
      <w:pPr>
        <w:spacing w:after="0"/>
      </w:pPr>
    </w:p>
    <w:p>
      <w:pPr>
        <w:pStyle w:val="Heading2"/>
        <w:keepNext/>
      </w:pPr>
      <w:r>
        <w:t>5.1 Dependency Direction</w:t>
      </w:r>
    </w:p>
    <w:p>
      <w:pPr>
        <w:spacing w:before="0" w:after="40"/>
        <w:ind w:left="720" w:hanging="360"/>
      </w:pPr>
      <w:r>
        <w:rPr>
          <w:b/>
        </w:rPr>
        <w:t>•</w:t>
      </w:r>
      <w:r>
        <w:tab/>
        <w:t>domain modules depend on typed domain models and repository interfaces, not on React or HTTP;</w:t>
      </w:r>
    </w:p>
    <w:p>
      <w:pPr>
        <w:spacing w:before="0" w:after="40"/>
        <w:ind w:left="720" w:hanging="360"/>
      </w:pPr>
      <w:r>
        <w:rPr>
          <w:b/>
        </w:rPr>
        <w:t>•</w:t>
      </w:r>
      <w:r>
        <w:tab/>
        <w:t>the application coordinator depends on the nine module services and transaction/repository interfaces;</w:t>
      </w:r>
    </w:p>
    <w:p>
      <w:pPr>
        <w:spacing w:before="0" w:after="40"/>
        <w:ind w:left="720" w:hanging="360"/>
      </w:pPr>
      <w:r>
        <w:rPr>
          <w:b/>
        </w:rPr>
        <w:t>•</w:t>
      </w:r>
      <w:r>
        <w:tab/>
        <w:t>infrastructure implements repositories for SQLite, JSON input loading and evidence export;</w:t>
      </w:r>
    </w:p>
    <w:p>
      <w:pPr>
        <w:spacing w:before="0" w:after="40"/>
        <w:ind w:left="720" w:hanging="360"/>
      </w:pPr>
      <w:r>
        <w:rPr>
          <w:b/>
        </w:rPr>
        <w:t>•</w:t>
      </w:r>
      <w:r>
        <w:tab/>
        <w:t>the API maps typed requests to application commands and maps results to workspace projections; and</w:t>
      </w:r>
    </w:p>
    <w:p>
      <w:pPr>
        <w:spacing w:before="0" w:after="40"/>
        <w:ind w:left="720" w:hanging="360"/>
      </w:pPr>
      <w:r>
        <w:rPr>
          <w:b/>
        </w:rPr>
        <w:t>•</w:t>
      </w:r>
      <w:r>
        <w:tab/>
        <w:t>the frontend depends only on generated/declared API types and never imports backend domain code.</w:t>
      </w:r>
    </w:p>
    <w:p>
      <w:pPr>
        <w:pStyle w:val="Heading2"/>
        <w:keepNext/>
      </w:pPr>
      <w:r>
        <w:t>5.2 Prohibited Coupling</w:t>
      </w:r>
    </w:p>
    <w:p>
      <w:pPr>
        <w:spacing w:before="120" w:after="120"/>
      </w:pPr>
      <w:r>
        <w:rPr>
          <w:b w:val="0"/>
          <w:i w:val="0"/>
        </w:rPr>
        <w:t>No frontend component may query SQLite, parse the configuration to infer a source path, add customer counts or decide PASS/FAIL. No validation comparison may call a separate ‘expected topology’ algorithm to make the observed result agree. No module may special-case `configuration_version == v1.0` except to record and display the selected immutable configuration identity.</w:t>
      </w:r>
    </w:p>
    <w:p>
      <w:pPr>
        <w:pStyle w:val="Heading1"/>
        <w:keepNext/>
      </w:pPr>
      <w:r>
        <w:t>6. Planned Repository and Package Structure</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3671"/>
            <w:shd w:fill="E7E7E7"/>
            <w:tcMar>
              <w:top w:w="80" w:type="dxa"/>
              <w:start w:w="100" w:type="dxa"/>
              <w:bottom w:w="80" w:type="dxa"/>
              <w:end w:w="100" w:type="dxa"/>
            </w:tcMar>
            <w:vAlign w:val="center"/>
          </w:tcPr>
          <w:p>
            <w:pPr>
              <w:spacing w:before="40" w:after="40"/>
              <w:jc w:val="center"/>
            </w:pPr>
            <w:r>
              <w:rPr>
                <w:b/>
                <w:sz w:val="17"/>
              </w:rPr>
              <w:t>Path</w:t>
            </w:r>
          </w:p>
        </w:tc>
        <w:tc>
          <w:tcPr>
            <w:tcW w:type="dxa" w:w="5688"/>
            <w:shd w:fill="E7E7E7"/>
            <w:tcMar>
              <w:top w:w="80" w:type="dxa"/>
              <w:start w:w="100" w:type="dxa"/>
              <w:bottom w:w="80" w:type="dxa"/>
              <w:end w:w="100" w:type="dxa"/>
            </w:tcMar>
            <w:vAlign w:val="center"/>
          </w:tcPr>
          <w:p>
            <w:pPr>
              <w:spacing w:before="40" w:after="40"/>
              <w:jc w:val="center"/>
            </w:pPr>
            <w:r>
              <w:rPr>
                <w:b/>
                <w:sz w:val="17"/>
              </w:rPr>
              <w:t>Purpose</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app/backend/ot_demo/domain/</w:t>
            </w:r>
          </w:p>
        </w:tc>
        <w:tc>
          <w:tcPr>
            <w:tcW w:type="dxa" w:w="5688"/>
            <w:tcMar>
              <w:top w:w="80" w:type="dxa"/>
              <w:start w:w="100" w:type="dxa"/>
              <w:bottom w:w="80" w:type="dxa"/>
              <w:end w:w="100" w:type="dxa"/>
            </w:tcMar>
            <w:vAlign w:val="center"/>
          </w:tcPr>
          <w:p>
            <w:pPr>
              <w:spacing w:before="20" w:after="20"/>
            </w:pPr>
            <w:r>
              <w:rPr>
                <w:sz w:val="17"/>
              </w:rPr>
              <w:t>Typed entities, enums, value objects and pure rules shared by backend modules.</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app/backend/ot_demo/modules/&lt;module&gt;/</w:t>
            </w:r>
          </w:p>
        </w:tc>
        <w:tc>
          <w:tcPr>
            <w:tcW w:type="dxa" w:w="5688"/>
            <w:tcMar>
              <w:top w:w="80" w:type="dxa"/>
              <w:start w:w="100" w:type="dxa"/>
              <w:bottom w:w="80" w:type="dxa"/>
              <w:end w:w="100" w:type="dxa"/>
            </w:tcMar>
            <w:vAlign w:val="center"/>
          </w:tcPr>
          <w:p>
            <w:pPr>
              <w:spacing w:before="20" w:after="20"/>
            </w:pPr>
            <w:r>
              <w:rPr>
                <w:sz w:val="17"/>
              </w:rPr>
              <w:t>Nine ownership modules, each with service, models and repository contract.</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app/backend/ot_demo/application/</w:t>
            </w:r>
          </w:p>
        </w:tc>
        <w:tc>
          <w:tcPr>
            <w:tcW w:type="dxa" w:w="5688"/>
            <w:tcMar>
              <w:top w:w="80" w:type="dxa"/>
              <w:start w:w="100" w:type="dxa"/>
              <w:bottom w:w="80" w:type="dxa"/>
              <w:end w:w="100" w:type="dxa"/>
            </w:tcMar>
            <w:vAlign w:val="center"/>
          </w:tcPr>
          <w:p>
            <w:pPr>
              <w:spacing w:before="20" w:after="20"/>
            </w:pPr>
            <w:r>
              <w:rPr>
                <w:sz w:val="17"/>
              </w:rPr>
              <w:t>Command handlers, deterministic transaction coordinator and read-model assembly.</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app/backend/ot_demo/infrastructure/</w:t>
            </w:r>
          </w:p>
        </w:tc>
        <w:tc>
          <w:tcPr>
            <w:tcW w:type="dxa" w:w="5688"/>
            <w:tcMar>
              <w:top w:w="80" w:type="dxa"/>
              <w:start w:w="100" w:type="dxa"/>
              <w:bottom w:w="80" w:type="dxa"/>
              <w:end w:w="100" w:type="dxa"/>
            </w:tcMar>
            <w:vAlign w:val="center"/>
          </w:tcPr>
          <w:p>
            <w:pPr>
              <w:spacing w:before="20" w:after="20"/>
            </w:pPr>
            <w:r>
              <w:rPr>
                <w:sz w:val="17"/>
              </w:rPr>
              <w:t>SQLite repositories, migrations, JSON loaders, hashing and export adapters.</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app/backend/ot_demo/api/</w:t>
            </w:r>
          </w:p>
        </w:tc>
        <w:tc>
          <w:tcPr>
            <w:tcW w:type="dxa" w:w="5688"/>
            <w:tcMar>
              <w:top w:w="80" w:type="dxa"/>
              <w:start w:w="100" w:type="dxa"/>
              <w:bottom w:w="80" w:type="dxa"/>
              <w:end w:w="100" w:type="dxa"/>
            </w:tcMar>
            <w:vAlign w:val="center"/>
          </w:tcPr>
          <w:p>
            <w:pPr>
              <w:spacing w:before="20" w:after="20"/>
            </w:pPr>
            <w:r>
              <w:rPr>
                <w:sz w:val="17"/>
              </w:rPr>
              <w:t>FastAPI routes, Pydantic schemas and error mapping.</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app/frontend/src/features/</w:t>
            </w:r>
          </w:p>
        </w:tc>
        <w:tc>
          <w:tcPr>
            <w:tcW w:type="dxa" w:w="5688"/>
            <w:tcMar>
              <w:top w:w="80" w:type="dxa"/>
              <w:start w:w="100" w:type="dxa"/>
              <w:bottom w:w="80" w:type="dxa"/>
              <w:end w:w="100" w:type="dxa"/>
            </w:tcMar>
            <w:vAlign w:val="center"/>
          </w:tcPr>
          <w:p>
            <w:pPr>
              <w:spacing w:before="20" w:after="20"/>
            </w:pPr>
            <w:r>
              <w:rPr>
                <w:sz w:val="17"/>
              </w:rPr>
              <w:t>Run setup, operational, telemetry/events, restoration, validation, evidence and investigation features.</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app/frontend/src/components/network/</w:t>
            </w:r>
          </w:p>
        </w:tc>
        <w:tc>
          <w:tcPr>
            <w:tcW w:type="dxa" w:w="5688"/>
            <w:tcMar>
              <w:top w:w="80" w:type="dxa"/>
              <w:start w:w="100" w:type="dxa"/>
              <w:bottom w:w="80" w:type="dxa"/>
              <w:end w:w="100" w:type="dxa"/>
            </w:tcMar>
            <w:vAlign w:val="center"/>
          </w:tcPr>
          <w:p>
            <w:pPr>
              <w:spacing w:before="20" w:after="20"/>
            </w:pPr>
            <w:r>
              <w:rPr>
                <w:sz w:val="17"/>
              </w:rPr>
              <w:t>Cytoscape-based one-line presentation using fixed preset coordinates.</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config/network/v1.0/ and v1.1/</w:t>
            </w:r>
          </w:p>
        </w:tc>
        <w:tc>
          <w:tcPr>
            <w:tcW w:type="dxa" w:w="5688"/>
            <w:tcMar>
              <w:top w:w="80" w:type="dxa"/>
              <w:start w:w="100" w:type="dxa"/>
              <w:bottom w:w="80" w:type="dxa"/>
              <w:end w:w="100" w:type="dxa"/>
            </w:tcMar>
            <w:vAlign w:val="center"/>
          </w:tcPr>
          <w:p>
            <w:pPr>
              <w:spacing w:before="20" w:after="20"/>
            </w:pPr>
            <w:r>
              <w:rPr>
                <w:sz w:val="17"/>
              </w:rPr>
              <w:t>Immutable configuration JSON and manifest files; exact approved topology difference.</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config/presentation/</w:t>
            </w:r>
          </w:p>
        </w:tc>
        <w:tc>
          <w:tcPr>
            <w:tcW w:type="dxa" w:w="5688"/>
            <w:tcMar>
              <w:top w:w="80" w:type="dxa"/>
              <w:start w:w="100" w:type="dxa"/>
              <w:bottom w:w="80" w:type="dxa"/>
              <w:end w:w="100" w:type="dxa"/>
            </w:tcMar>
            <w:vAlign w:val="center"/>
          </w:tcPr>
          <w:p>
            <w:pPr>
              <w:spacing w:before="20" w:after="20"/>
            </w:pPr>
            <w:r>
              <w:rPr>
                <w:sz w:val="17"/>
              </w:rPr>
              <w:t>Display coordinates and labels only; never used for topology calculation.</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validation/test-definitions/</w:t>
            </w:r>
          </w:p>
        </w:tc>
        <w:tc>
          <w:tcPr>
            <w:tcW w:type="dxa" w:w="5688"/>
            <w:tcMar>
              <w:top w:w="80" w:type="dxa"/>
              <w:start w:w="100" w:type="dxa"/>
              <w:bottom w:w="80" w:type="dxa"/>
              <w:end w:w="100" w:type="dxa"/>
            </w:tcMar>
            <w:vAlign w:val="center"/>
          </w:tcPr>
          <w:p>
            <w:pPr>
              <w:spacing w:before="20" w:after="20"/>
            </w:pPr>
            <w:r>
              <w:rPr>
                <w:sz w:val="17"/>
              </w:rPr>
              <w:t>Approved formal test definitions, including VT-TOP-DEF-001.</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evidence/exports/</w:t>
            </w:r>
          </w:p>
        </w:tc>
        <w:tc>
          <w:tcPr>
            <w:tcW w:type="dxa" w:w="5688"/>
            <w:tcMar>
              <w:top w:w="80" w:type="dxa"/>
              <w:start w:w="100" w:type="dxa"/>
              <w:bottom w:w="80" w:type="dxa"/>
              <w:end w:w="100" w:type="dxa"/>
            </w:tcMar>
            <w:vAlign w:val="center"/>
          </w:tcPr>
          <w:p>
            <w:pPr>
              <w:spacing w:before="20" w:after="20"/>
            </w:pPr>
            <w:r>
              <w:rPr>
                <w:sz w:val="17"/>
              </w:rPr>
              <w:t>Generated self-contained evidence packages, excluded from mutable application inputs.</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tests/unit/, tests/integration/, tests/e2e/</w:t>
            </w:r>
          </w:p>
        </w:tc>
        <w:tc>
          <w:tcPr>
            <w:tcW w:type="dxa" w:w="5688"/>
            <w:tcMar>
              <w:top w:w="80" w:type="dxa"/>
              <w:start w:w="100" w:type="dxa"/>
              <w:bottom w:w="80" w:type="dxa"/>
              <w:end w:w="100" w:type="dxa"/>
            </w:tcMar>
            <w:vAlign w:val="center"/>
          </w:tcPr>
          <w:p>
            <w:pPr>
              <w:spacing w:before="20" w:after="20"/>
            </w:pPr>
            <w:r>
              <w:rPr>
                <w:sz w:val="17"/>
              </w:rPr>
              <w:t>Domain, transaction/persistence/API and full workflow tests.</w:t>
            </w:r>
          </w:p>
        </w:tc>
      </w:tr>
      <w:tr>
        <w:trPr>
          <w:cantSplit/>
        </w:trPr>
        <w:tc>
          <w:tcPr>
            <w:tcW w:type="dxa" w:w="3671"/>
            <w:tcMar>
              <w:top w:w="80" w:type="dxa"/>
              <w:start w:w="100" w:type="dxa"/>
              <w:bottom w:w="80" w:type="dxa"/>
              <w:end w:w="100" w:type="dxa"/>
            </w:tcMar>
            <w:vAlign w:val="center"/>
          </w:tcPr>
          <w:p>
            <w:pPr>
              <w:spacing w:before="20" w:after="20"/>
            </w:pPr>
            <w:r>
              <w:rPr>
                <w:rFonts w:ascii="Roboto Mono" w:hAnsi="Roboto Mono" w:eastAsia="Roboto Mono"/>
                <w:color w:val="188038"/>
                <w:sz w:val="17"/>
              </w:rPr>
              <w:t>scripts/</w:t>
            </w:r>
          </w:p>
        </w:tc>
        <w:tc>
          <w:tcPr>
            <w:tcW w:type="dxa" w:w="5688"/>
            <w:tcMar>
              <w:top w:w="80" w:type="dxa"/>
              <w:start w:w="100" w:type="dxa"/>
              <w:bottom w:w="80" w:type="dxa"/>
              <w:end w:w="100" w:type="dxa"/>
            </w:tcMar>
            <w:vAlign w:val="center"/>
          </w:tcPr>
          <w:p>
            <w:pPr>
              <w:spacing w:before="20" w:after="20"/>
            </w:pPr>
            <w:r>
              <w:rPr>
                <w:sz w:val="17"/>
              </w:rPr>
              <w:t>One-command local start, validation checks and build-manifest generation.</w:t>
            </w:r>
          </w:p>
        </w:tc>
      </w:tr>
    </w:tbl>
    <w:p>
      <w:pPr>
        <w:spacing w:after="0"/>
      </w:pPr>
    </w:p>
    <w:p>
      <w:pPr>
        <w:spacing w:before="120" w:after="120"/>
      </w:pPr>
      <w:r>
        <w:rPr>
          <w:b w:val="0"/>
          <w:i w:val="0"/>
        </w:rPr>
        <w:t>The current engineering-document directories remain authoritative. Application paths are added alongside them; no code copy of a requirement or Network Model summary becomes a replacement source. Test fixtures reference controlled identifiers and cite source document sections/requirement IDs in comments or metadata.</w:t>
      </w:r>
    </w:p>
    <w:p>
      <w:pPr>
        <w:pStyle w:val="Heading1"/>
        <w:keepNext/>
      </w:pPr>
      <w:r>
        <w:t>7. Information Classes and Ownership</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1800"/>
            <w:shd w:fill="E7E7E7"/>
            <w:tcMar>
              <w:top w:w="80" w:type="dxa"/>
              <w:start w:w="100" w:type="dxa"/>
              <w:bottom w:w="80" w:type="dxa"/>
              <w:end w:w="100" w:type="dxa"/>
            </w:tcMar>
            <w:vAlign w:val="center"/>
          </w:tcPr>
          <w:p>
            <w:pPr>
              <w:spacing w:before="40" w:after="40"/>
              <w:jc w:val="center"/>
            </w:pPr>
            <w:r>
              <w:rPr>
                <w:b/>
                <w:sz w:val="17"/>
              </w:rPr>
              <w:t>Information class</w:t>
            </w:r>
          </w:p>
        </w:tc>
        <w:tc>
          <w:tcPr>
            <w:tcW w:type="dxa" w:w="1728"/>
            <w:shd w:fill="E7E7E7"/>
            <w:tcMar>
              <w:top w:w="80" w:type="dxa"/>
              <w:start w:w="100" w:type="dxa"/>
              <w:bottom w:w="80" w:type="dxa"/>
              <w:end w:w="100" w:type="dxa"/>
            </w:tcMar>
            <w:vAlign w:val="center"/>
          </w:tcPr>
          <w:p>
            <w:pPr>
              <w:spacing w:before="40" w:after="40"/>
              <w:jc w:val="center"/>
            </w:pPr>
            <w:r>
              <w:rPr>
                <w:b/>
                <w:sz w:val="17"/>
              </w:rPr>
              <w:t>Primary owner</w:t>
            </w:r>
          </w:p>
        </w:tc>
        <w:tc>
          <w:tcPr>
            <w:tcW w:type="dxa" w:w="1944"/>
            <w:shd w:fill="E7E7E7"/>
            <w:tcMar>
              <w:top w:w="80" w:type="dxa"/>
              <w:start w:w="100" w:type="dxa"/>
              <w:bottom w:w="80" w:type="dxa"/>
              <w:end w:w="100" w:type="dxa"/>
            </w:tcMar>
            <w:vAlign w:val="center"/>
          </w:tcPr>
          <w:p>
            <w:pPr>
              <w:spacing w:before="40" w:after="40"/>
              <w:jc w:val="center"/>
            </w:pPr>
            <w:r>
              <w:rPr>
                <w:b/>
                <w:sz w:val="17"/>
              </w:rPr>
              <w:t>Mutability</w:t>
            </w:r>
          </w:p>
        </w:tc>
        <w:tc>
          <w:tcPr>
            <w:tcW w:type="dxa" w:w="3888"/>
            <w:shd w:fill="E7E7E7"/>
            <w:tcMar>
              <w:top w:w="80" w:type="dxa"/>
              <w:start w:w="100" w:type="dxa"/>
              <w:bottom w:w="80" w:type="dxa"/>
              <w:end w:w="100" w:type="dxa"/>
            </w:tcMar>
            <w:vAlign w:val="center"/>
          </w:tcPr>
          <w:p>
            <w:pPr>
              <w:spacing w:before="40" w:after="40"/>
              <w:jc w:val="center"/>
            </w:pPr>
            <w:r>
              <w:rPr>
                <w:b/>
                <w:sz w:val="17"/>
              </w:rPr>
              <w:t>Storage / presentation rule</w:t>
            </w:r>
          </w:p>
        </w:tc>
      </w:tr>
      <w:tr>
        <w:trPr>
          <w:cantSplit/>
        </w:trPr>
        <w:tc>
          <w:tcPr>
            <w:tcW w:type="dxa" w:w="1800"/>
            <w:tcMar>
              <w:top w:w="80" w:type="dxa"/>
              <w:start w:w="100" w:type="dxa"/>
              <w:bottom w:w="80" w:type="dxa"/>
              <w:end w:w="100" w:type="dxa"/>
            </w:tcMar>
            <w:vAlign w:val="center"/>
          </w:tcPr>
          <w:p>
            <w:pPr>
              <w:spacing w:before="20" w:after="20"/>
            </w:pPr>
            <w:r>
              <w:rPr>
                <w:sz w:val="17"/>
              </w:rPr>
              <w:t>Persistent configuration</w:t>
            </w:r>
          </w:p>
        </w:tc>
        <w:tc>
          <w:tcPr>
            <w:tcW w:type="dxa" w:w="1728"/>
            <w:tcMar>
              <w:top w:w="80" w:type="dxa"/>
              <w:start w:w="100" w:type="dxa"/>
              <w:bottom w:w="80" w:type="dxa"/>
              <w:end w:w="100" w:type="dxa"/>
            </w:tcMar>
            <w:vAlign w:val="center"/>
          </w:tcPr>
          <w:p>
            <w:pPr>
              <w:spacing w:before="20" w:after="20"/>
            </w:pPr>
            <w:r>
              <w:rPr>
                <w:sz w:val="17"/>
              </w:rPr>
              <w:t>configuration</w:t>
            </w:r>
          </w:p>
        </w:tc>
        <w:tc>
          <w:tcPr>
            <w:tcW w:type="dxa" w:w="1944"/>
            <w:tcMar>
              <w:top w:w="80" w:type="dxa"/>
              <w:start w:w="100" w:type="dxa"/>
              <w:bottom w:w="80" w:type="dxa"/>
              <w:end w:w="100" w:type="dxa"/>
            </w:tcMar>
            <w:vAlign w:val="center"/>
          </w:tcPr>
          <w:p>
            <w:pPr>
              <w:spacing w:before="20" w:after="20"/>
            </w:pPr>
            <w:r>
              <w:rPr>
                <w:sz w:val="17"/>
              </w:rPr>
              <w:t>Immutable per version</w:t>
            </w:r>
          </w:p>
        </w:tc>
        <w:tc>
          <w:tcPr>
            <w:tcW w:type="dxa" w:w="3888"/>
            <w:tcMar>
              <w:top w:w="80" w:type="dxa"/>
              <w:start w:w="100" w:type="dxa"/>
              <w:bottom w:w="80" w:type="dxa"/>
              <w:end w:w="100" w:type="dxa"/>
            </w:tcMar>
            <w:vAlign w:val="center"/>
          </w:tcPr>
          <w:p>
            <w:pPr>
              <w:spacing w:before="20" w:after="20"/>
            </w:pPr>
            <w:r>
              <w:rPr>
                <w:sz w:val="17"/>
              </w:rPr>
              <w:t>Versioned JSON plus catalog/hash record; selected version fixed for a run.</w:t>
            </w:r>
          </w:p>
        </w:tc>
      </w:tr>
      <w:tr>
        <w:trPr>
          <w:cantSplit/>
        </w:trPr>
        <w:tc>
          <w:tcPr>
            <w:tcW w:type="dxa" w:w="1800"/>
            <w:tcMar>
              <w:top w:w="80" w:type="dxa"/>
              <w:start w:w="100" w:type="dxa"/>
              <w:bottom w:w="80" w:type="dxa"/>
              <w:end w:w="100" w:type="dxa"/>
            </w:tcMar>
            <w:vAlign w:val="center"/>
          </w:tcPr>
          <w:p>
            <w:pPr>
              <w:spacing w:before="20" w:after="20"/>
            </w:pPr>
            <w:r>
              <w:rPr>
                <w:sz w:val="17"/>
              </w:rPr>
              <w:t>Observed operational state</w:t>
            </w:r>
          </w:p>
        </w:tc>
        <w:tc>
          <w:tcPr>
            <w:tcW w:type="dxa" w:w="1728"/>
            <w:tcMar>
              <w:top w:w="80" w:type="dxa"/>
              <w:start w:w="100" w:type="dxa"/>
              <w:bottom w:w="80" w:type="dxa"/>
              <w:end w:w="100" w:type="dxa"/>
            </w:tcMar>
            <w:vAlign w:val="center"/>
          </w:tcPr>
          <w:p>
            <w:pPr>
              <w:spacing w:before="20" w:after="20"/>
            </w:pPr>
            <w:r>
              <w:rPr>
                <w:sz w:val="17"/>
              </w:rPr>
              <w:t>telemetry</w:t>
            </w:r>
          </w:p>
        </w:tc>
        <w:tc>
          <w:tcPr>
            <w:tcW w:type="dxa" w:w="1944"/>
            <w:tcMar>
              <w:top w:w="80" w:type="dxa"/>
              <w:start w:w="100" w:type="dxa"/>
              <w:bottom w:w="80" w:type="dxa"/>
              <w:end w:w="100" w:type="dxa"/>
            </w:tcMar>
            <w:vAlign w:val="center"/>
          </w:tcPr>
          <w:p>
            <w:pPr>
              <w:spacing w:before="20" w:after="20"/>
            </w:pPr>
            <w:r>
              <w:rPr>
                <w:sz w:val="17"/>
              </w:rPr>
              <w:t>Mutable within active run</w:t>
            </w:r>
          </w:p>
        </w:tc>
        <w:tc>
          <w:tcPr>
            <w:tcW w:type="dxa" w:w="3888"/>
            <w:tcMar>
              <w:top w:w="80" w:type="dxa"/>
              <w:start w:w="100" w:type="dxa"/>
              <w:bottom w:w="80" w:type="dxa"/>
              <w:end w:w="100" w:type="dxa"/>
            </w:tcMar>
            <w:vAlign w:val="center"/>
          </w:tcPr>
          <w:p>
            <w:pPr>
              <w:spacing w:before="20" w:after="20"/>
            </w:pPr>
            <w:r>
              <w:rPr>
                <w:sz w:val="17"/>
              </w:rPr>
              <w:t>Value, quality and controlled timestamp recorded separately from connectivity.</w:t>
            </w:r>
          </w:p>
        </w:tc>
      </w:tr>
      <w:tr>
        <w:trPr>
          <w:cantSplit/>
        </w:trPr>
        <w:tc>
          <w:tcPr>
            <w:tcW w:type="dxa" w:w="1800"/>
            <w:tcMar>
              <w:top w:w="80" w:type="dxa"/>
              <w:start w:w="100" w:type="dxa"/>
              <w:bottom w:w="80" w:type="dxa"/>
              <w:end w:w="100" w:type="dxa"/>
            </w:tcMar>
            <w:vAlign w:val="center"/>
          </w:tcPr>
          <w:p>
            <w:pPr>
              <w:spacing w:before="20" w:after="20"/>
            </w:pPr>
            <w:r>
              <w:rPr>
                <w:sz w:val="17"/>
              </w:rPr>
              <w:t>Transient scenario state</w:t>
            </w:r>
          </w:p>
        </w:tc>
        <w:tc>
          <w:tcPr>
            <w:tcW w:type="dxa" w:w="1728"/>
            <w:tcMar>
              <w:top w:w="80" w:type="dxa"/>
              <w:start w:w="100" w:type="dxa"/>
              <w:bottom w:w="80" w:type="dxa"/>
              <w:end w:w="100" w:type="dxa"/>
            </w:tcMar>
            <w:vAlign w:val="center"/>
          </w:tcPr>
          <w:p>
            <w:pPr>
              <w:spacing w:before="20" w:after="20"/>
            </w:pPr>
            <w:r>
              <w:rPr>
                <w:sz w:val="17"/>
              </w:rPr>
              <w:t>scenario</w:t>
            </w:r>
          </w:p>
        </w:tc>
        <w:tc>
          <w:tcPr>
            <w:tcW w:type="dxa" w:w="1944"/>
            <w:tcMar>
              <w:top w:w="80" w:type="dxa"/>
              <w:start w:w="100" w:type="dxa"/>
              <w:bottom w:w="80" w:type="dxa"/>
              <w:end w:w="100" w:type="dxa"/>
            </w:tcMar>
            <w:vAlign w:val="center"/>
          </w:tcPr>
          <w:p>
            <w:pPr>
              <w:spacing w:before="20" w:after="20"/>
            </w:pPr>
            <w:r>
              <w:rPr>
                <w:sz w:val="17"/>
              </w:rPr>
              <w:t>Mutable within active run</w:t>
            </w:r>
          </w:p>
        </w:tc>
        <w:tc>
          <w:tcPr>
            <w:tcW w:type="dxa" w:w="3888"/>
            <w:tcMar>
              <w:top w:w="80" w:type="dxa"/>
              <w:start w:w="100" w:type="dxa"/>
              <w:bottom w:w="80" w:type="dxa"/>
              <w:end w:w="100" w:type="dxa"/>
            </w:tcMar>
            <w:vAlign w:val="center"/>
          </w:tcPr>
          <w:p>
            <w:pPr>
              <w:spacing w:before="20" w:after="20"/>
            </w:pPr>
            <w:r>
              <w:rPr>
                <w:sz w:val="17"/>
              </w:rPr>
              <w:t>Mode, fault section/type, clock, stage and revision; reset creates a new run.</w:t>
            </w:r>
          </w:p>
        </w:tc>
      </w:tr>
      <w:tr>
        <w:trPr>
          <w:cantSplit/>
        </w:trPr>
        <w:tc>
          <w:tcPr>
            <w:tcW w:type="dxa" w:w="1800"/>
            <w:tcMar>
              <w:top w:w="80" w:type="dxa"/>
              <w:start w:w="100" w:type="dxa"/>
              <w:bottom w:w="80" w:type="dxa"/>
              <w:end w:w="100" w:type="dxa"/>
            </w:tcMar>
            <w:vAlign w:val="center"/>
          </w:tcPr>
          <w:p>
            <w:pPr>
              <w:spacing w:before="20" w:after="20"/>
            </w:pPr>
            <w:r>
              <w:rPr>
                <w:sz w:val="17"/>
              </w:rPr>
              <w:t>Derived operational state</w:t>
            </w:r>
          </w:p>
        </w:tc>
        <w:tc>
          <w:tcPr>
            <w:tcW w:type="dxa" w:w="1728"/>
            <w:tcMar>
              <w:top w:w="80" w:type="dxa"/>
              <w:start w:w="100" w:type="dxa"/>
              <w:bottom w:w="80" w:type="dxa"/>
              <w:end w:w="100" w:type="dxa"/>
            </w:tcMar>
            <w:vAlign w:val="center"/>
          </w:tcPr>
          <w:p>
            <w:pPr>
              <w:spacing w:before="20" w:after="20"/>
            </w:pPr>
            <w:r>
              <w:rPr>
                <w:sz w:val="17"/>
              </w:rPr>
              <w:t>topology / outage / restoration</w:t>
            </w:r>
          </w:p>
        </w:tc>
        <w:tc>
          <w:tcPr>
            <w:tcW w:type="dxa" w:w="1944"/>
            <w:tcMar>
              <w:top w:w="80" w:type="dxa"/>
              <w:start w:w="100" w:type="dxa"/>
              <w:bottom w:w="80" w:type="dxa"/>
              <w:end w:w="100" w:type="dxa"/>
            </w:tcMar>
            <w:vAlign w:val="center"/>
          </w:tcPr>
          <w:p>
            <w:pPr>
              <w:spacing w:before="20" w:after="20"/>
            </w:pPr>
            <w:r>
              <w:rPr>
                <w:sz w:val="17"/>
              </w:rPr>
              <w:t>Recomputed or appended per revision</w:t>
            </w:r>
          </w:p>
        </w:tc>
        <w:tc>
          <w:tcPr>
            <w:tcW w:type="dxa" w:w="3888"/>
            <w:tcMar>
              <w:top w:w="80" w:type="dxa"/>
              <w:start w:w="100" w:type="dxa"/>
              <w:bottom w:w="80" w:type="dxa"/>
              <w:end w:w="100" w:type="dxa"/>
            </w:tcMar>
            <w:vAlign w:val="center"/>
          </w:tcPr>
          <w:p>
            <w:pPr>
              <w:spacing w:before="20" w:after="20"/>
            </w:pPr>
            <w:r>
              <w:rPr>
                <w:sz w:val="17"/>
              </w:rPr>
              <w:t>Snapshots reference exact configuration and observation revision; UI never edits.</w:t>
            </w:r>
          </w:p>
        </w:tc>
      </w:tr>
      <w:tr>
        <w:trPr>
          <w:cantSplit/>
        </w:trPr>
        <w:tc>
          <w:tcPr>
            <w:tcW w:type="dxa" w:w="1800"/>
            <w:tcMar>
              <w:top w:w="80" w:type="dxa"/>
              <w:start w:w="100" w:type="dxa"/>
              <w:bottom w:w="80" w:type="dxa"/>
              <w:end w:w="100" w:type="dxa"/>
            </w:tcMar>
            <w:vAlign w:val="center"/>
          </w:tcPr>
          <w:p>
            <w:pPr>
              <w:spacing w:before="20" w:after="20"/>
            </w:pPr>
            <w:r>
              <w:rPr>
                <w:sz w:val="17"/>
              </w:rPr>
              <w:t>Operational events</w:t>
            </w:r>
          </w:p>
        </w:tc>
        <w:tc>
          <w:tcPr>
            <w:tcW w:type="dxa" w:w="1728"/>
            <w:tcMar>
              <w:top w:w="80" w:type="dxa"/>
              <w:start w:w="100" w:type="dxa"/>
              <w:bottom w:w="80" w:type="dxa"/>
              <w:end w:w="100" w:type="dxa"/>
            </w:tcMar>
            <w:vAlign w:val="center"/>
          </w:tcPr>
          <w:p>
            <w:pPr>
              <w:spacing w:before="20" w:after="20"/>
            </w:pPr>
            <w:r>
              <w:rPr>
                <w:sz w:val="17"/>
              </w:rPr>
              <w:t>events</w:t>
            </w:r>
          </w:p>
        </w:tc>
        <w:tc>
          <w:tcPr>
            <w:tcW w:type="dxa" w:w="1944"/>
            <w:tcMar>
              <w:top w:w="80" w:type="dxa"/>
              <w:start w:w="100" w:type="dxa"/>
              <w:bottom w:w="80" w:type="dxa"/>
              <w:end w:w="100" w:type="dxa"/>
            </w:tcMar>
            <w:vAlign w:val="center"/>
          </w:tcPr>
          <w:p>
            <w:pPr>
              <w:spacing w:before="20" w:after="20"/>
            </w:pPr>
            <w:r>
              <w:rPr>
                <w:sz w:val="17"/>
              </w:rPr>
              <w:t>Append-only</w:t>
            </w:r>
          </w:p>
        </w:tc>
        <w:tc>
          <w:tcPr>
            <w:tcW w:type="dxa" w:w="3888"/>
            <w:tcMar>
              <w:top w:w="80" w:type="dxa"/>
              <w:start w:w="100" w:type="dxa"/>
              <w:bottom w:w="80" w:type="dxa"/>
              <w:end w:w="100" w:type="dxa"/>
            </w:tcMar>
            <w:vAlign w:val="center"/>
          </w:tcPr>
          <w:p>
            <w:pPr>
              <w:spacing w:before="20" w:after="20"/>
            </w:pPr>
            <w:r>
              <w:rPr>
                <w:sz w:val="17"/>
              </w:rPr>
              <w:t>Per-run chronological sequence using final Step 7 event catalogue.</w:t>
            </w:r>
          </w:p>
        </w:tc>
      </w:tr>
      <w:tr>
        <w:trPr>
          <w:cantSplit/>
        </w:trPr>
        <w:tc>
          <w:tcPr>
            <w:tcW w:type="dxa" w:w="1800"/>
            <w:tcMar>
              <w:top w:w="80" w:type="dxa"/>
              <w:start w:w="100" w:type="dxa"/>
              <w:bottom w:w="80" w:type="dxa"/>
              <w:end w:w="100" w:type="dxa"/>
            </w:tcMar>
            <w:vAlign w:val="center"/>
          </w:tcPr>
          <w:p>
            <w:pPr>
              <w:spacing w:before="20" w:after="20"/>
            </w:pPr>
            <w:r>
              <w:rPr>
                <w:sz w:val="17"/>
              </w:rPr>
              <w:t>Validation/evidence</w:t>
            </w:r>
          </w:p>
        </w:tc>
        <w:tc>
          <w:tcPr>
            <w:tcW w:type="dxa" w:w="1728"/>
            <w:tcMar>
              <w:top w:w="80" w:type="dxa"/>
              <w:start w:w="100" w:type="dxa"/>
              <w:bottom w:w="80" w:type="dxa"/>
              <w:end w:w="100" w:type="dxa"/>
            </w:tcMar>
            <w:vAlign w:val="center"/>
          </w:tcPr>
          <w:p>
            <w:pPr>
              <w:spacing w:before="20" w:after="20"/>
            </w:pPr>
            <w:r>
              <w:rPr>
                <w:sz w:val="17"/>
              </w:rPr>
              <w:t>validation</w:t>
            </w:r>
          </w:p>
        </w:tc>
        <w:tc>
          <w:tcPr>
            <w:tcW w:type="dxa" w:w="1944"/>
            <w:tcMar>
              <w:top w:w="80" w:type="dxa"/>
              <w:start w:w="100" w:type="dxa"/>
              <w:bottom w:w="80" w:type="dxa"/>
              <w:end w:w="100" w:type="dxa"/>
            </w:tcMar>
            <w:vAlign w:val="center"/>
          </w:tcPr>
          <w:p>
            <w:pPr>
              <w:spacing w:before="20" w:after="20"/>
            </w:pPr>
            <w:r>
              <w:rPr>
                <w:sz w:val="17"/>
              </w:rPr>
              <w:t>Draft while executing; immutable when completed/captured</w:t>
            </w:r>
          </w:p>
        </w:tc>
        <w:tc>
          <w:tcPr>
            <w:tcW w:type="dxa" w:w="3888"/>
            <w:tcMar>
              <w:top w:w="80" w:type="dxa"/>
              <w:start w:w="100" w:type="dxa"/>
              <w:bottom w:w="80" w:type="dxa"/>
              <w:end w:w="100" w:type="dxa"/>
            </w:tcMar>
            <w:vAlign w:val="center"/>
          </w:tcPr>
          <w:p>
            <w:pPr>
              <w:spacing w:before="20" w:after="20"/>
            </w:pPr>
            <w:r>
              <w:rPr>
                <w:sz w:val="17"/>
              </w:rPr>
              <w:t>Expected, observed, judgement and snapshots remain separate from operational events.</w:t>
            </w:r>
          </w:p>
        </w:tc>
      </w:tr>
      <w:tr>
        <w:trPr>
          <w:cantSplit/>
        </w:trPr>
        <w:tc>
          <w:tcPr>
            <w:tcW w:type="dxa" w:w="1800"/>
            <w:tcMar>
              <w:top w:w="80" w:type="dxa"/>
              <w:start w:w="100" w:type="dxa"/>
              <w:bottom w:w="80" w:type="dxa"/>
              <w:end w:w="100" w:type="dxa"/>
            </w:tcMar>
            <w:vAlign w:val="center"/>
          </w:tcPr>
          <w:p>
            <w:pPr>
              <w:spacing w:before="20" w:after="20"/>
            </w:pPr>
            <w:r>
              <w:rPr>
                <w:sz w:val="17"/>
              </w:rPr>
              <w:t>Presentation state</w:t>
            </w:r>
          </w:p>
        </w:tc>
        <w:tc>
          <w:tcPr>
            <w:tcW w:type="dxa" w:w="1728"/>
            <w:tcMar>
              <w:top w:w="80" w:type="dxa"/>
              <w:start w:w="100" w:type="dxa"/>
              <w:bottom w:w="80" w:type="dxa"/>
              <w:end w:w="100" w:type="dxa"/>
            </w:tcMar>
            <w:vAlign w:val="center"/>
          </w:tcPr>
          <w:p>
            <w:pPr>
              <w:spacing w:before="20" w:after="20"/>
            </w:pPr>
            <w:r>
              <w:rPr>
                <w:sz w:val="17"/>
              </w:rPr>
              <w:t>browser</w:t>
            </w:r>
          </w:p>
        </w:tc>
        <w:tc>
          <w:tcPr>
            <w:tcW w:type="dxa" w:w="1944"/>
            <w:tcMar>
              <w:top w:w="80" w:type="dxa"/>
              <w:start w:w="100" w:type="dxa"/>
              <w:bottom w:w="80" w:type="dxa"/>
              <w:end w:w="100" w:type="dxa"/>
            </w:tcMar>
            <w:vAlign w:val="center"/>
          </w:tcPr>
          <w:p>
            <w:pPr>
              <w:spacing w:before="20" w:after="20"/>
            </w:pPr>
            <w:r>
              <w:rPr>
                <w:sz w:val="17"/>
              </w:rPr>
              <w:t>Ephemeral</w:t>
            </w:r>
          </w:p>
        </w:tc>
        <w:tc>
          <w:tcPr>
            <w:tcW w:type="dxa" w:w="3888"/>
            <w:tcMar>
              <w:top w:w="80" w:type="dxa"/>
              <w:start w:w="100" w:type="dxa"/>
              <w:bottom w:w="80" w:type="dxa"/>
              <w:end w:w="100" w:type="dxa"/>
            </w:tcMar>
            <w:vAlign w:val="center"/>
          </w:tcPr>
          <w:p>
            <w:pPr>
              <w:spacing w:before="20" w:after="20"/>
            </w:pPr>
            <w:r>
              <w:rPr>
                <w:sz w:val="17"/>
              </w:rPr>
              <w:t>Selected tab, zoom and inspector focus; no engineering significance.</w:t>
            </w:r>
          </w:p>
        </w:tc>
      </w:tr>
      <w:tr>
        <w:trPr>
          <w:cantSplit/>
        </w:trPr>
        <w:tc>
          <w:tcPr>
            <w:tcW w:type="dxa" w:w="1800"/>
            <w:tcMar>
              <w:top w:w="80" w:type="dxa"/>
              <w:start w:w="100" w:type="dxa"/>
              <w:bottom w:w="80" w:type="dxa"/>
              <w:end w:w="100" w:type="dxa"/>
            </w:tcMar>
            <w:vAlign w:val="center"/>
          </w:tcPr>
          <w:p>
            <w:pPr>
              <w:spacing w:before="20" w:after="20"/>
            </w:pPr>
            <w:r>
              <w:rPr>
                <w:sz w:val="17"/>
              </w:rPr>
              <w:t>Diagnostic state</w:t>
            </w:r>
          </w:p>
        </w:tc>
        <w:tc>
          <w:tcPr>
            <w:tcW w:type="dxa" w:w="1728"/>
            <w:tcMar>
              <w:top w:w="80" w:type="dxa"/>
              <w:start w:w="100" w:type="dxa"/>
              <w:bottom w:w="80" w:type="dxa"/>
              <w:end w:w="100" w:type="dxa"/>
            </w:tcMar>
            <w:vAlign w:val="center"/>
          </w:tcPr>
          <w:p>
            <w:pPr>
              <w:spacing w:before="20" w:after="20"/>
            </w:pPr>
            <w:r>
              <w:rPr>
                <w:sz w:val="17"/>
              </w:rPr>
              <w:t>application/infrastructure</w:t>
            </w:r>
          </w:p>
        </w:tc>
        <w:tc>
          <w:tcPr>
            <w:tcW w:type="dxa" w:w="1944"/>
            <w:tcMar>
              <w:top w:w="80" w:type="dxa"/>
              <w:start w:w="100" w:type="dxa"/>
              <w:bottom w:w="80" w:type="dxa"/>
              <w:end w:w="100" w:type="dxa"/>
            </w:tcMar>
            <w:vAlign w:val="center"/>
          </w:tcPr>
          <w:p>
            <w:pPr>
              <w:spacing w:before="20" w:after="20"/>
            </w:pPr>
            <w:r>
              <w:rPr>
                <w:sz w:val="17"/>
              </w:rPr>
              <w:t>Append-only log outside normal events</w:t>
            </w:r>
          </w:p>
        </w:tc>
        <w:tc>
          <w:tcPr>
            <w:tcW w:type="dxa" w:w="3888"/>
            <w:tcMar>
              <w:top w:w="80" w:type="dxa"/>
              <w:start w:w="100" w:type="dxa"/>
              <w:bottom w:w="80" w:type="dxa"/>
              <w:end w:w="100" w:type="dxa"/>
            </w:tcMar>
            <w:vAlign w:val="center"/>
          </w:tcPr>
          <w:p>
            <w:pPr>
              <w:spacing w:before="20" w:after="20"/>
            </w:pPr>
            <w:r>
              <w:rPr>
                <w:sz w:val="17"/>
              </w:rPr>
              <w:t>Records processing failures without masquerading as utility operating events.</w:t>
            </w:r>
          </w:p>
        </w:tc>
      </w:tr>
    </w:tbl>
    <w:p>
      <w:pPr>
        <w:spacing w:after="0"/>
      </w:pPr>
    </w:p>
    <w:p>
      <w:pPr>
        <w:pStyle w:val="Heading2"/>
        <w:keepNext/>
      </w:pPr>
      <w:r>
        <w:t>7.1 Separation in the User Interface</w:t>
      </w:r>
    </w:p>
    <w:p>
      <w:pPr>
        <w:spacing w:before="120" w:after="120"/>
      </w:pPr>
      <w:r>
        <w:rPr>
          <w:b w:val="0"/>
          <w:i w:val="0"/>
        </w:rPr>
        <w:t>The entity inspector uses distinct Configured, Observed and Derived tabs. Evidence appears only as references to captured snapshots or completed executions; it is not a fourth mutable version of the current entity. Operational events appear in a chronological timeline, while validation conclusions, DEF-001 and correction records appear in engineering workspaces with links back to events.</w:t>
      </w:r>
    </w:p>
    <w:p>
      <w:pPr>
        <w:pStyle w:val="Heading2"/>
        <w:keepNext/>
      </w:pPr>
      <w:r>
        <w:t>7.2 N4 Representation</w:t>
      </w:r>
    </w:p>
    <w:p>
      <w:pPr>
        <w:spacing w:before="120" w:after="120"/>
      </w:pPr>
      <w:r>
        <w:rPr>
          <w:b w:val="0"/>
          <w:i w:val="0"/>
        </w:rPr>
        <w:t>N4 is not stored as a new physical topology snapshot. The current TopologySnapshot remains the N3 revision with TS-01 OPEN. A current immutable RestorationAssessment attached to that revision permits the formal workspace to display the engineering progression label N4. If relevant evidence changes, the assessment is invalidated, N4 presentation is removed and a new assessment is required.</w:t>
      </w:r>
    </w:p>
    <w:p>
      <w:pPr>
        <w:pStyle w:val="Heading1"/>
        <w:keepNext/>
      </w:pPr>
      <w:r>
        <w:t>8. Core Data Structures</w:t>
      </w:r>
    </w:p>
    <w:p>
      <w:pPr>
        <w:spacing w:before="120" w:after="120"/>
      </w:pPr>
      <w:r>
        <w:rPr>
          <w:b w:val="0"/>
          <w:i w:val="0"/>
        </w:rPr>
        <w:t>The following structures are implementation contracts, not new engineering entities. Fields named here make ownership, immutability and traceability explicit. Exact serialization syntax may evolve only if it preserves these meanings and stable IDs.</w:t>
      </w:r>
    </w:p>
    <w:p>
      <w:pPr>
        <w:pStyle w:val="Heading2"/>
        <w:keepNext/>
      </w:pPr>
      <w:r>
        <w:t>8.1 Network Configuration Records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088"/>
            <w:shd w:fill="E7E7E7"/>
            <w:tcMar>
              <w:top w:w="80" w:type="dxa"/>
              <w:start w:w="100" w:type="dxa"/>
              <w:bottom w:w="80" w:type="dxa"/>
              <w:end w:w="100" w:type="dxa"/>
            </w:tcMar>
            <w:vAlign w:val="center"/>
          </w:tcPr>
          <w:p>
            <w:pPr>
              <w:spacing w:before="40" w:after="40"/>
              <w:jc w:val="center"/>
            </w:pPr>
            <w:r>
              <w:rPr>
                <w:b/>
                <w:sz w:val="17"/>
              </w:rPr>
              <w:t>Record</w:t>
            </w:r>
          </w:p>
        </w:tc>
        <w:tc>
          <w:tcPr>
            <w:tcW w:type="dxa" w:w="4752"/>
            <w:shd w:fill="E7E7E7"/>
            <w:tcMar>
              <w:top w:w="80" w:type="dxa"/>
              <w:start w:w="100" w:type="dxa"/>
              <w:bottom w:w="80" w:type="dxa"/>
              <w:end w:w="100" w:type="dxa"/>
            </w:tcMar>
            <w:vAlign w:val="center"/>
          </w:tcPr>
          <w:p>
            <w:pPr>
              <w:spacing w:before="40" w:after="40"/>
              <w:jc w:val="center"/>
            </w:pPr>
            <w:r>
              <w:rPr>
                <w:b/>
                <w:sz w:val="17"/>
              </w:rPr>
              <w:t>Minimum fields</w:t>
            </w:r>
          </w:p>
        </w:tc>
        <w:tc>
          <w:tcPr>
            <w:tcW w:type="dxa" w:w="2520"/>
            <w:shd w:fill="E7E7E7"/>
            <w:tcMar>
              <w:top w:w="80" w:type="dxa"/>
              <w:start w:w="100" w:type="dxa"/>
              <w:bottom w:w="80" w:type="dxa"/>
              <w:end w:w="100" w:type="dxa"/>
            </w:tcMar>
            <w:vAlign w:val="center"/>
          </w:tcPr>
          <w:p>
            <w:pPr>
              <w:spacing w:before="40" w:after="40"/>
              <w:jc w:val="center"/>
            </w:pPr>
            <w:r>
              <w:rPr>
                <w:b/>
                <w:sz w:val="17"/>
              </w:rPr>
              <w:t>Rule</w:t>
            </w:r>
          </w:p>
        </w:tc>
      </w:tr>
      <w:tr>
        <w:trPr>
          <w:cantSplit/>
        </w:trPr>
        <w:tc>
          <w:tcPr>
            <w:tcW w:type="dxa" w:w="2088"/>
            <w:tcMar>
              <w:top w:w="80" w:type="dxa"/>
              <w:start w:w="100" w:type="dxa"/>
              <w:bottom w:w="80" w:type="dxa"/>
              <w:end w:w="100" w:type="dxa"/>
            </w:tcMar>
            <w:vAlign w:val="center"/>
          </w:tcPr>
          <w:p>
            <w:pPr>
              <w:spacing w:before="20" w:after="20"/>
            </w:pPr>
            <w:r>
              <w:rPr>
                <w:rFonts w:ascii="Roboto Mono" w:hAnsi="Roboto Mono" w:eastAsia="Roboto Mono"/>
                <w:color w:val="188038"/>
                <w:sz w:val="17"/>
              </w:rPr>
              <w:t>ConfigurationCatalogEntry</w:t>
            </w:r>
          </w:p>
        </w:tc>
        <w:tc>
          <w:tcPr>
            <w:tcW w:type="dxa" w:w="4752"/>
            <w:tcMar>
              <w:top w:w="80" w:type="dxa"/>
              <w:start w:w="100" w:type="dxa"/>
              <w:bottom w:w="80" w:type="dxa"/>
              <w:end w:w="100" w:type="dxa"/>
            </w:tcMar>
            <w:vAlign w:val="center"/>
          </w:tcPr>
          <w:p>
            <w:pPr>
              <w:spacing w:before="20" w:after="20"/>
            </w:pPr>
            <w:r>
              <w:rPr>
                <w:sz w:val="17"/>
              </w:rPr>
              <w:t>configuration_id, version, status, file path, schema version, SHA-256, source references</w:t>
            </w:r>
          </w:p>
        </w:tc>
        <w:tc>
          <w:tcPr>
            <w:tcW w:type="dxa" w:w="2520"/>
            <w:tcMar>
              <w:top w:w="80" w:type="dxa"/>
              <w:start w:w="100" w:type="dxa"/>
              <w:bottom w:w="80" w:type="dxa"/>
              <w:end w:w="100" w:type="dxa"/>
            </w:tcMar>
            <w:vAlign w:val="center"/>
          </w:tcPr>
          <w:p>
            <w:pPr>
              <w:spacing w:before="20" w:after="20"/>
            </w:pPr>
            <w:r>
              <w:rPr>
                <w:sz w:val="17"/>
              </w:rPr>
              <w:t>One immutable identity per v1.0/v1.1 package.</w:t>
            </w:r>
          </w:p>
        </w:tc>
      </w:tr>
      <w:tr>
        <w:trPr>
          <w:cantSplit/>
        </w:trPr>
        <w:tc>
          <w:tcPr>
            <w:tcW w:type="dxa" w:w="2088"/>
            <w:tcMar>
              <w:top w:w="80" w:type="dxa"/>
              <w:start w:w="100" w:type="dxa"/>
              <w:bottom w:w="80" w:type="dxa"/>
              <w:end w:w="100" w:type="dxa"/>
            </w:tcMar>
            <w:vAlign w:val="center"/>
          </w:tcPr>
          <w:p>
            <w:pPr>
              <w:spacing w:before="20" w:after="20"/>
            </w:pPr>
            <w:r>
              <w:rPr>
                <w:rFonts w:ascii="Roboto Mono" w:hAnsi="Roboto Mono" w:eastAsia="Roboto Mono"/>
                <w:color w:val="188038"/>
                <w:sz w:val="17"/>
              </w:rPr>
              <w:t>NetworkEntity</w:t>
            </w:r>
          </w:p>
        </w:tc>
        <w:tc>
          <w:tcPr>
            <w:tcW w:type="dxa" w:w="4752"/>
            <w:tcMar>
              <w:top w:w="80" w:type="dxa"/>
              <w:start w:w="100" w:type="dxa"/>
              <w:bottom w:w="80" w:type="dxa"/>
              <w:end w:w="100" w:type="dxa"/>
            </w:tcMar>
            <w:vAlign w:val="center"/>
          </w:tcPr>
          <w:p>
            <w:pPr>
              <w:spacing w:before="20" w:after="20"/>
            </w:pPr>
            <w:r>
              <w:rPr>
                <w:sz w:val="17"/>
              </w:rPr>
              <w:t>entity_id, entity_type, name, parent/feeder reference, static attributes</w:t>
            </w:r>
          </w:p>
        </w:tc>
        <w:tc>
          <w:tcPr>
            <w:tcW w:type="dxa" w:w="2520"/>
            <w:tcMar>
              <w:top w:w="80" w:type="dxa"/>
              <w:start w:w="100" w:type="dxa"/>
              <w:bottom w:w="80" w:type="dxa"/>
              <w:end w:w="100" w:type="dxa"/>
            </w:tcMar>
            <w:vAlign w:val="center"/>
          </w:tcPr>
          <w:p>
            <w:pPr>
              <w:spacing w:before="20" w:after="20"/>
            </w:pPr>
            <w:r>
              <w:rPr>
                <w:sz w:val="17"/>
              </w:rPr>
              <w:t>Stable engineering IDs unchanged.</w:t>
            </w:r>
          </w:p>
        </w:tc>
      </w:tr>
      <w:tr>
        <w:trPr>
          <w:cantSplit/>
        </w:trPr>
        <w:tc>
          <w:tcPr>
            <w:tcW w:type="dxa" w:w="2088"/>
            <w:tcMar>
              <w:top w:w="80" w:type="dxa"/>
              <w:start w:w="100" w:type="dxa"/>
              <w:bottom w:w="80" w:type="dxa"/>
              <w:end w:w="100" w:type="dxa"/>
            </w:tcMar>
            <w:vAlign w:val="center"/>
          </w:tcPr>
          <w:p>
            <w:pPr>
              <w:spacing w:before="20" w:after="20"/>
            </w:pPr>
            <w:r>
              <w:rPr>
                <w:rFonts w:ascii="Roboto Mono" w:hAnsi="Roboto Mono" w:eastAsia="Roboto Mono"/>
                <w:color w:val="188038"/>
                <w:sz w:val="17"/>
              </w:rPr>
              <w:t>ConnectivityEdge</w:t>
            </w:r>
          </w:p>
        </w:tc>
        <w:tc>
          <w:tcPr>
            <w:tcW w:type="dxa" w:w="4752"/>
            <w:tcMar>
              <w:top w:w="80" w:type="dxa"/>
              <w:start w:w="100" w:type="dxa"/>
              <w:bottom w:w="80" w:type="dxa"/>
              <w:end w:w="100" w:type="dxa"/>
            </w:tcMar>
            <w:vAlign w:val="center"/>
          </w:tcPr>
          <w:p>
            <w:pPr>
              <w:spacing w:before="20" w:after="20"/>
            </w:pPr>
            <w:r>
              <w:rPr>
                <w:sz w:val="17"/>
              </w:rPr>
              <w:t>edge_id, endpoint_a_id, endpoint_b_id, edge/device semantics</w:t>
            </w:r>
          </w:p>
        </w:tc>
        <w:tc>
          <w:tcPr>
            <w:tcW w:type="dxa" w:w="2520"/>
            <w:tcMar>
              <w:top w:w="80" w:type="dxa"/>
              <w:start w:w="100" w:type="dxa"/>
              <w:bottom w:w="80" w:type="dxa"/>
              <w:end w:w="100" w:type="dxa"/>
            </w:tcMar>
            <w:vAlign w:val="center"/>
          </w:tcPr>
          <w:p>
            <w:pPr>
              <w:spacing w:before="20" w:after="20"/>
            </w:pPr>
            <w:r>
              <w:rPr>
                <w:sz w:val="17"/>
              </w:rPr>
              <w:t>Graph node/edge data; v1.0 and v1.1 differ only as approved.</w:t>
            </w:r>
          </w:p>
        </w:tc>
      </w:tr>
      <w:tr>
        <w:trPr>
          <w:cantSplit/>
        </w:trPr>
        <w:tc>
          <w:tcPr>
            <w:tcW w:type="dxa" w:w="2088"/>
            <w:tcMar>
              <w:top w:w="80" w:type="dxa"/>
              <w:start w:w="100" w:type="dxa"/>
              <w:bottom w:w="80" w:type="dxa"/>
              <w:end w:w="100" w:type="dxa"/>
            </w:tcMar>
            <w:vAlign w:val="center"/>
          </w:tcPr>
          <w:p>
            <w:pPr>
              <w:spacing w:before="20" w:after="20"/>
            </w:pPr>
            <w:r>
              <w:rPr>
                <w:rFonts w:ascii="Roboto Mono" w:hAnsi="Roboto Mono" w:eastAsia="Roboto Mono"/>
                <w:color w:val="188038"/>
                <w:sz w:val="17"/>
              </w:rPr>
              <w:t>LoadCapacity</w:t>
            </w:r>
          </w:p>
        </w:tc>
        <w:tc>
          <w:tcPr>
            <w:tcW w:type="dxa" w:w="4752"/>
            <w:tcMar>
              <w:top w:w="80" w:type="dxa"/>
              <w:start w:w="100" w:type="dxa"/>
              <w:bottom w:w="80" w:type="dxa"/>
              <w:end w:w="100" w:type="dxa"/>
            </w:tcMar>
            <w:vAlign w:val="center"/>
          </w:tcPr>
          <w:p>
            <w:pPr>
              <w:spacing w:before="20" w:after="20"/>
            </w:pPr>
            <w:r>
              <w:rPr>
                <w:sz w:val="17"/>
              </w:rPr>
              <w:t>entity_id, load_kw or capacity_kw</w:t>
            </w:r>
          </w:p>
        </w:tc>
        <w:tc>
          <w:tcPr>
            <w:tcW w:type="dxa" w:w="2520"/>
            <w:tcMar>
              <w:top w:w="80" w:type="dxa"/>
              <w:start w:w="100" w:type="dxa"/>
              <w:bottom w:w="80" w:type="dxa"/>
              <w:end w:w="100" w:type="dxa"/>
            </w:tcMar>
            <w:vAlign w:val="center"/>
          </w:tcPr>
          <w:p>
            <w:pPr>
              <w:spacing w:before="20" w:after="20"/>
            </w:pPr>
            <w:r>
              <w:rPr>
                <w:sz w:val="17"/>
              </w:rPr>
              <w:t>Stored as integer kW; displayed as MW.</w:t>
            </w:r>
          </w:p>
        </w:tc>
      </w:tr>
      <w:tr>
        <w:trPr>
          <w:cantSplit/>
        </w:trPr>
        <w:tc>
          <w:tcPr>
            <w:tcW w:type="dxa" w:w="2088"/>
            <w:tcMar>
              <w:top w:w="80" w:type="dxa"/>
              <w:start w:w="100" w:type="dxa"/>
              <w:bottom w:w="80" w:type="dxa"/>
              <w:end w:w="100" w:type="dxa"/>
            </w:tcMar>
            <w:vAlign w:val="center"/>
          </w:tcPr>
          <w:p>
            <w:pPr>
              <w:spacing w:before="20" w:after="20"/>
            </w:pPr>
            <w:r>
              <w:rPr>
                <w:rFonts w:ascii="Roboto Mono" w:hAnsi="Roboto Mono" w:eastAsia="Roboto Mono"/>
                <w:color w:val="188038"/>
                <w:sz w:val="17"/>
              </w:rPr>
              <w:t>CustomerZoneMapping</w:t>
            </w:r>
          </w:p>
        </w:tc>
        <w:tc>
          <w:tcPr>
            <w:tcW w:type="dxa" w:w="4752"/>
            <w:tcMar>
              <w:top w:w="80" w:type="dxa"/>
              <w:start w:w="100" w:type="dxa"/>
              <w:bottom w:w="80" w:type="dxa"/>
              <w:end w:w="100" w:type="dxa"/>
            </w:tcMar>
            <w:vAlign w:val="center"/>
          </w:tcPr>
          <w:p>
            <w:pPr>
              <w:spacing w:before="20" w:after="20"/>
            </w:pPr>
            <w:r>
              <w:rPr>
                <w:sz w:val="17"/>
              </w:rPr>
              <w:t>section_id, customer_zone_id, customer_count</w:t>
            </w:r>
          </w:p>
        </w:tc>
        <w:tc>
          <w:tcPr>
            <w:tcW w:type="dxa" w:w="2520"/>
            <w:tcMar>
              <w:top w:w="80" w:type="dxa"/>
              <w:start w:w="100" w:type="dxa"/>
              <w:bottom w:w="80" w:type="dxa"/>
              <w:end w:w="100" w:type="dxa"/>
            </w:tcMar>
            <w:vAlign w:val="center"/>
          </w:tcPr>
          <w:p>
            <w:pPr>
              <w:spacing w:before="20" w:after="20"/>
            </w:pPr>
            <w:r>
              <w:rPr>
                <w:sz w:val="17"/>
              </w:rPr>
              <w:t>Integer count; OMS consumes derived de-energised section set.</w:t>
            </w:r>
          </w:p>
        </w:tc>
      </w:tr>
      <w:tr>
        <w:trPr>
          <w:cantSplit/>
        </w:trPr>
        <w:tc>
          <w:tcPr>
            <w:tcW w:type="dxa" w:w="2088"/>
            <w:tcMar>
              <w:top w:w="80" w:type="dxa"/>
              <w:start w:w="100" w:type="dxa"/>
              <w:bottom w:w="80" w:type="dxa"/>
              <w:end w:w="100" w:type="dxa"/>
            </w:tcMar>
            <w:vAlign w:val="center"/>
          </w:tcPr>
          <w:p>
            <w:pPr>
              <w:spacing w:before="20" w:after="20"/>
            </w:pPr>
            <w:r>
              <w:rPr>
                <w:rFonts w:ascii="Roboto Mono" w:hAnsi="Roboto Mono" w:eastAsia="Roboto Mono"/>
                <w:color w:val="188038"/>
                <w:sz w:val="17"/>
              </w:rPr>
              <w:t>ConfigurationManifest</w:t>
            </w:r>
          </w:p>
        </w:tc>
        <w:tc>
          <w:tcPr>
            <w:tcW w:type="dxa" w:w="4752"/>
            <w:tcMar>
              <w:top w:w="80" w:type="dxa"/>
              <w:start w:w="100" w:type="dxa"/>
              <w:bottom w:w="80" w:type="dxa"/>
              <w:end w:w="100" w:type="dxa"/>
            </w:tcMar>
            <w:vAlign w:val="center"/>
          </w:tcPr>
          <w:p>
            <w:pPr>
              <w:spacing w:before="20" w:after="20"/>
            </w:pPr>
            <w:r>
              <w:rPr>
                <w:sz w:val="17"/>
              </w:rPr>
              <w:t>configuration_id, file hashes, build/source metadata</w:t>
            </w:r>
          </w:p>
        </w:tc>
        <w:tc>
          <w:tcPr>
            <w:tcW w:type="dxa" w:w="2520"/>
            <w:tcMar>
              <w:top w:w="80" w:type="dxa"/>
              <w:start w:w="100" w:type="dxa"/>
              <w:bottom w:w="80" w:type="dxa"/>
              <w:end w:w="100" w:type="dxa"/>
            </w:tcMar>
            <w:vAlign w:val="center"/>
          </w:tcPr>
          <w:p>
            <w:pPr>
              <w:spacing w:before="20" w:after="20"/>
            </w:pPr>
            <w:r>
              <w:rPr>
                <w:sz w:val="17"/>
              </w:rPr>
              <w:t>Hash verified before a run is created.</w:t>
            </w:r>
          </w:p>
        </w:tc>
      </w:tr>
    </w:tbl>
    <w:p>
      <w:pPr>
        <w:spacing w:after="0"/>
      </w:pPr>
    </w:p>
    <w:p>
      <w:pPr>
        <w:spacing w:before="120" w:after="120"/>
      </w:pPr>
      <w:r>
        <w:rPr>
          <w:b w:val="0"/>
          <w:i w:val="0"/>
        </w:rPr>
        <w:t>The v1.0 relationship is represented as edges SEC-B3 ↔ SW-A23 and SW-A23 ↔ SEC-A3. The v1.1 relationship is SEC-A2 ↔ SW-A23 and SW-A23 ↔ SEC-A3. The topology engine receives whichever version the run selects and contains no v1.0-specific branch.</w:t>
      </w:r>
    </w:p>
    <w:p>
      <w:pPr>
        <w:pStyle w:val="Heading2"/>
        <w:keepNext/>
      </w:pPr>
      <w:r>
        <w:t>8.2 Run and Scenario Records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951"/>
            <w:shd w:fill="E7E7E7"/>
            <w:tcMar>
              <w:top w:w="80" w:type="dxa"/>
              <w:start w:w="100" w:type="dxa"/>
              <w:bottom w:w="80" w:type="dxa"/>
              <w:end w:w="100" w:type="dxa"/>
            </w:tcMar>
            <w:vAlign w:val="center"/>
          </w:tcPr>
          <w:p>
            <w:pPr>
              <w:spacing w:before="40" w:after="40"/>
              <w:jc w:val="center"/>
            </w:pPr>
            <w:r>
              <w:rPr>
                <w:b/>
                <w:sz w:val="17"/>
              </w:rPr>
              <w:t>Field</w:t>
            </w:r>
          </w:p>
        </w:tc>
        <w:tc>
          <w:tcPr>
            <w:tcW w:type="dxa" w:w="6408"/>
            <w:shd w:fill="E7E7E7"/>
            <w:tcMar>
              <w:top w:w="80" w:type="dxa"/>
              <w:start w:w="100" w:type="dxa"/>
              <w:bottom w:w="80" w:type="dxa"/>
              <w:end w:w="100" w:type="dxa"/>
            </w:tcMar>
            <w:vAlign w:val="center"/>
          </w:tcPr>
          <w:p>
            <w:pPr>
              <w:spacing w:before="40" w:after="40"/>
              <w:jc w:val="center"/>
            </w:pPr>
            <w:r>
              <w:rPr>
                <w:b/>
                <w:sz w:val="17"/>
              </w:rPr>
              <w:t>Type / meaning</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scenario_run_id</w:t>
            </w:r>
          </w:p>
        </w:tc>
        <w:tc>
          <w:tcPr>
            <w:tcW w:type="dxa" w:w="6408"/>
            <w:tcMar>
              <w:top w:w="80" w:type="dxa"/>
              <w:start w:w="100" w:type="dxa"/>
              <w:bottom w:w="80" w:type="dxa"/>
              <w:end w:w="100" w:type="dxa"/>
            </w:tcMar>
            <w:vAlign w:val="center"/>
          </w:tcPr>
          <w:p>
            <w:pPr>
              <w:spacing w:before="20" w:after="20"/>
            </w:pPr>
            <w:r>
              <w:rPr>
                <w:sz w:val="17"/>
              </w:rPr>
              <w:t>Generated run record ID; unique after each initialisation/reset.</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mode</w:t>
            </w:r>
          </w:p>
        </w:tc>
        <w:tc>
          <w:tcPr>
            <w:tcW w:type="dxa" w:w="6408"/>
            <w:tcMar>
              <w:top w:w="80" w:type="dxa"/>
              <w:start w:w="100" w:type="dxa"/>
              <w:bottom w:w="80" w:type="dxa"/>
              <w:end w:w="100" w:type="dxa"/>
            </w:tcMar>
            <w:vAlign w:val="center"/>
          </w:tcPr>
          <w:p>
            <w:pPr>
              <w:spacing w:before="20" w:after="20"/>
            </w:pPr>
            <w:r>
              <w:rPr>
                <w:sz w:val="17"/>
              </w:rPr>
              <w:t>FORMAL or EXPLORATION; fixed after initialisation.</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configuration_id</w:t>
            </w:r>
          </w:p>
        </w:tc>
        <w:tc>
          <w:tcPr>
            <w:tcW w:type="dxa" w:w="6408"/>
            <w:tcMar>
              <w:top w:w="80" w:type="dxa"/>
              <w:start w:w="100" w:type="dxa"/>
              <w:bottom w:w="80" w:type="dxa"/>
              <w:end w:w="100" w:type="dxa"/>
            </w:tcMar>
            <w:vAlign w:val="center"/>
          </w:tcPr>
          <w:p>
            <w:pPr>
              <w:spacing w:before="20" w:after="20"/>
            </w:pPr>
            <w:r>
              <w:rPr>
                <w:sz w:val="17"/>
              </w:rPr>
              <w:t>Immutable selected configuration identity; formal test supplies it, exploration uses v1.1.</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fault_section_id</w:t>
            </w:r>
          </w:p>
        </w:tc>
        <w:tc>
          <w:tcPr>
            <w:tcW w:type="dxa" w:w="6408"/>
            <w:tcMar>
              <w:top w:w="80" w:type="dxa"/>
              <w:start w:w="100" w:type="dxa"/>
              <w:bottom w:w="80" w:type="dxa"/>
              <w:end w:w="100" w:type="dxa"/>
            </w:tcMar>
            <w:vAlign w:val="center"/>
          </w:tcPr>
          <w:p>
            <w:pPr>
              <w:spacing w:before="20" w:after="20"/>
            </w:pPr>
            <w:r>
              <w:rPr>
                <w:sz w:val="17"/>
              </w:rPr>
              <w:t>SEC-A2 in controlled formal cases or reviewer-selected section in exploration.</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fault_type</w:t>
            </w:r>
          </w:p>
        </w:tc>
        <w:tc>
          <w:tcPr>
            <w:tcW w:type="dxa" w:w="6408"/>
            <w:tcMar>
              <w:top w:w="80" w:type="dxa"/>
              <w:start w:w="100" w:type="dxa"/>
              <w:bottom w:w="80" w:type="dxa"/>
              <w:end w:w="100" w:type="dxa"/>
            </w:tcMar>
            <w:vAlign w:val="center"/>
          </w:tcPr>
          <w:p>
            <w:pPr>
              <w:spacing w:before="20" w:after="20"/>
            </w:pPr>
            <w:r>
              <w:rPr>
                <w:sz w:val="17"/>
              </w:rPr>
              <w:t>Fixed abstract distribution-section fault; not user-editable.</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scenario_time</w:t>
            </w:r>
          </w:p>
        </w:tc>
        <w:tc>
          <w:tcPr>
            <w:tcW w:type="dxa" w:w="6408"/>
            <w:tcMar>
              <w:top w:w="80" w:type="dxa"/>
              <w:start w:w="100" w:type="dxa"/>
              <w:bottom w:w="80" w:type="dxa"/>
              <w:end w:w="100" w:type="dxa"/>
            </w:tcMar>
            <w:vAlign w:val="center"/>
          </w:tcPr>
          <w:p>
            <w:pPr>
              <w:spacing w:before="20" w:after="20"/>
            </w:pPr>
            <w:r>
              <w:rPr>
                <w:sz w:val="17"/>
              </w:rPr>
              <w:t>Controlled ISO 8601 UTC instant used for ordering and telemetry age.</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state_revision</w:t>
            </w:r>
          </w:p>
        </w:tc>
        <w:tc>
          <w:tcPr>
            <w:tcW w:type="dxa" w:w="6408"/>
            <w:tcMar>
              <w:top w:w="80" w:type="dxa"/>
              <w:start w:w="100" w:type="dxa"/>
              <w:bottom w:w="80" w:type="dxa"/>
              <w:end w:w="100" w:type="dxa"/>
            </w:tcMar>
            <w:vAlign w:val="center"/>
          </w:tcPr>
          <w:p>
            <w:pPr>
              <w:spacing w:before="20" w:after="20"/>
            </w:pPr>
            <w:r>
              <w:rPr>
                <w:sz w:val="17"/>
              </w:rPr>
              <w:t>Monotonic integer incremented only by relevant state-changing transactions.</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workflow_stage</w:t>
            </w:r>
          </w:p>
        </w:tc>
        <w:tc>
          <w:tcPr>
            <w:tcW w:type="dxa" w:w="6408"/>
            <w:tcMar>
              <w:top w:w="80" w:type="dxa"/>
              <w:start w:w="100" w:type="dxa"/>
              <w:bottom w:w="80" w:type="dxa"/>
              <w:end w:w="100" w:type="dxa"/>
            </w:tcMar>
            <w:vAlign w:val="center"/>
          </w:tcPr>
          <w:p>
            <w:pPr>
              <w:spacing w:before="20" w:after="20"/>
            </w:pPr>
            <w:r>
              <w:rPr>
                <w:sz w:val="17"/>
              </w:rPr>
              <w:t>Progress descriptor separate from N0–N5.</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current_assessment_id</w:t>
            </w:r>
          </w:p>
        </w:tc>
        <w:tc>
          <w:tcPr>
            <w:tcW w:type="dxa" w:w="6408"/>
            <w:tcMar>
              <w:top w:w="80" w:type="dxa"/>
              <w:start w:w="100" w:type="dxa"/>
              <w:bottom w:w="80" w:type="dxa"/>
              <w:end w:w="100" w:type="dxa"/>
            </w:tcMar>
            <w:vAlign w:val="center"/>
          </w:tcPr>
          <w:p>
            <w:pPr>
              <w:spacing w:before="20" w:after="20"/>
            </w:pPr>
            <w:r>
              <w:rPr>
                <w:sz w:val="17"/>
              </w:rPr>
              <w:t>Nullable link to current assessment; invalidated after relevant change.</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evidence_class</w:t>
            </w:r>
          </w:p>
        </w:tc>
        <w:tc>
          <w:tcPr>
            <w:tcW w:type="dxa" w:w="6408"/>
            <w:tcMar>
              <w:top w:w="80" w:type="dxa"/>
              <w:start w:w="100" w:type="dxa"/>
              <w:bottom w:w="80" w:type="dxa"/>
              <w:end w:w="100" w:type="dxa"/>
            </w:tcMar>
            <w:vAlign w:val="center"/>
          </w:tcPr>
          <w:p>
            <w:pPr>
              <w:spacing w:before="20" w:after="20"/>
            </w:pPr>
            <w:r>
              <w:rPr>
                <w:sz w:val="17"/>
              </w:rPr>
              <w:t>FORMAL or EXPLORATORY, derived from mode.</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application_build_id</w:t>
            </w:r>
          </w:p>
        </w:tc>
        <w:tc>
          <w:tcPr>
            <w:tcW w:type="dxa" w:w="6408"/>
            <w:tcMar>
              <w:top w:w="80" w:type="dxa"/>
              <w:start w:w="100" w:type="dxa"/>
              <w:bottom w:w="80" w:type="dxa"/>
              <w:end w:w="100" w:type="dxa"/>
            </w:tcMar>
            <w:vAlign w:val="center"/>
          </w:tcPr>
          <w:p>
            <w:pPr>
              <w:spacing w:before="20" w:after="20"/>
            </w:pPr>
            <w:r>
              <w:rPr>
                <w:sz w:val="17"/>
              </w:rPr>
              <w:t>Build manifest identity fixed for run/execution reproducibility.</w:t>
            </w:r>
          </w:p>
        </w:tc>
      </w:tr>
      <w:tr>
        <w:trPr>
          <w:cantSplit/>
        </w:trPr>
        <w:tc>
          <w:tcPr>
            <w:tcW w:type="dxa" w:w="2951"/>
            <w:tcMar>
              <w:top w:w="80" w:type="dxa"/>
              <w:start w:w="100" w:type="dxa"/>
              <w:bottom w:w="80" w:type="dxa"/>
              <w:end w:w="100" w:type="dxa"/>
            </w:tcMar>
            <w:vAlign w:val="center"/>
          </w:tcPr>
          <w:p>
            <w:pPr>
              <w:spacing w:before="20" w:after="20"/>
            </w:pPr>
            <w:r>
              <w:rPr>
                <w:rFonts w:ascii="Roboto Mono" w:hAnsi="Roboto Mono" w:eastAsia="Roboto Mono"/>
                <w:color w:val="188038"/>
                <w:sz w:val="17"/>
              </w:rPr>
              <w:t>status</w:t>
            </w:r>
          </w:p>
        </w:tc>
        <w:tc>
          <w:tcPr>
            <w:tcW w:type="dxa" w:w="6408"/>
            <w:tcMar>
              <w:top w:w="80" w:type="dxa"/>
              <w:start w:w="100" w:type="dxa"/>
              <w:bottom w:w="80" w:type="dxa"/>
              <w:end w:w="100" w:type="dxa"/>
            </w:tcMar>
            <w:vAlign w:val="center"/>
          </w:tcPr>
          <w:p>
            <w:pPr>
              <w:spacing w:before="20" w:after="20"/>
            </w:pPr>
            <w:r>
              <w:rPr>
                <w:sz w:val="17"/>
              </w:rPr>
              <w:t>INITIALISED, ACTIVE, RUN_COMPLETE or CLOSED; validation completion remains separate.</w:t>
            </w:r>
          </w:p>
        </w:tc>
      </w:tr>
    </w:tbl>
    <w:p>
      <w:pPr>
        <w:spacing w:after="0"/>
      </w:pPr>
    </w:p>
    <w:p>
      <w:pPr>
        <w:pStyle w:val="Heading2"/>
        <w:keepNext/>
      </w:pPr>
      <w:r>
        <w:t>8.3 Observed Telemetry and Alarm Records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160"/>
            <w:shd w:fill="E7E7E7"/>
            <w:tcMar>
              <w:top w:w="80" w:type="dxa"/>
              <w:start w:w="100" w:type="dxa"/>
              <w:bottom w:w="80" w:type="dxa"/>
              <w:end w:w="100" w:type="dxa"/>
            </w:tcMar>
            <w:vAlign w:val="center"/>
          </w:tcPr>
          <w:p>
            <w:pPr>
              <w:spacing w:before="40" w:after="40"/>
              <w:jc w:val="center"/>
            </w:pPr>
            <w:r>
              <w:rPr>
                <w:b/>
                <w:sz w:val="17"/>
              </w:rPr>
              <w:t>Record</w:t>
            </w:r>
          </w:p>
        </w:tc>
        <w:tc>
          <w:tcPr>
            <w:tcW w:type="dxa" w:w="4824"/>
            <w:shd w:fill="E7E7E7"/>
            <w:tcMar>
              <w:top w:w="80" w:type="dxa"/>
              <w:start w:w="100" w:type="dxa"/>
              <w:bottom w:w="80" w:type="dxa"/>
              <w:end w:w="100" w:type="dxa"/>
            </w:tcMar>
            <w:vAlign w:val="center"/>
          </w:tcPr>
          <w:p>
            <w:pPr>
              <w:spacing w:before="40" w:after="40"/>
              <w:jc w:val="center"/>
            </w:pPr>
            <w:r>
              <w:rPr>
                <w:b/>
                <w:sz w:val="17"/>
              </w:rPr>
              <w:t>Minimum fields</w:t>
            </w:r>
          </w:p>
        </w:tc>
        <w:tc>
          <w:tcPr>
            <w:tcW w:type="dxa" w:w="2376"/>
            <w:shd w:fill="E7E7E7"/>
            <w:tcMar>
              <w:top w:w="80" w:type="dxa"/>
              <w:start w:w="100" w:type="dxa"/>
              <w:bottom w:w="80" w:type="dxa"/>
              <w:end w:w="100" w:type="dxa"/>
            </w:tcMar>
            <w:vAlign w:val="center"/>
          </w:tcPr>
          <w:p>
            <w:pPr>
              <w:spacing w:before="40" w:after="40"/>
              <w:jc w:val="center"/>
            </w:pPr>
            <w:r>
              <w:rPr>
                <w:b/>
                <w:sz w:val="17"/>
              </w:rPr>
              <w:t>Ownership rule</w:t>
            </w:r>
          </w:p>
        </w:tc>
      </w:tr>
      <w:tr>
        <w:trPr>
          <w:cantSplit/>
        </w:trPr>
        <w:tc>
          <w:tcPr>
            <w:tcW w:type="dxa" w:w="2160"/>
            <w:tcMar>
              <w:top w:w="80" w:type="dxa"/>
              <w:start w:w="100" w:type="dxa"/>
              <w:bottom w:w="80" w:type="dxa"/>
              <w:end w:w="100" w:type="dxa"/>
            </w:tcMar>
            <w:vAlign w:val="center"/>
          </w:tcPr>
          <w:p>
            <w:pPr>
              <w:spacing w:before="20" w:after="20"/>
            </w:pPr>
            <w:r>
              <w:rPr>
                <w:rFonts w:ascii="Roboto Mono" w:hAnsi="Roboto Mono" w:eastAsia="Roboto Mono"/>
                <w:color w:val="188038"/>
                <w:sz w:val="17"/>
              </w:rPr>
              <w:t>TelemetryPoint</w:t>
            </w:r>
          </w:p>
        </w:tc>
        <w:tc>
          <w:tcPr>
            <w:tcW w:type="dxa" w:w="4824"/>
            <w:tcMar>
              <w:top w:w="80" w:type="dxa"/>
              <w:start w:w="100" w:type="dxa"/>
              <w:bottom w:w="80" w:type="dxa"/>
              <w:end w:w="100" w:type="dxa"/>
            </w:tcMar>
            <w:vAlign w:val="center"/>
          </w:tcPr>
          <w:p>
            <w:pPr>
              <w:spacing w:before="20" w:after="20"/>
            </w:pPr>
            <w:r>
              <w:rPr>
                <w:sz w:val="17"/>
              </w:rPr>
              <w:t>point_id, entity_id, value, quality, last_update_scenario_time, revision</w:t>
            </w:r>
          </w:p>
        </w:tc>
        <w:tc>
          <w:tcPr>
            <w:tcW w:type="dxa" w:w="2376"/>
            <w:tcMar>
              <w:top w:w="80" w:type="dxa"/>
              <w:start w:w="100" w:type="dxa"/>
              <w:bottom w:w="80" w:type="dxa"/>
              <w:end w:w="100" w:type="dxa"/>
            </w:tcMar>
            <w:vAlign w:val="center"/>
          </w:tcPr>
          <w:p>
            <w:pPr>
              <w:spacing w:before="20" w:after="20"/>
            </w:pPr>
            <w:r>
              <w:rPr>
                <w:sz w:val="17"/>
              </w:rPr>
              <w:t>Observed state only; configuration is referenced, not copied.</w:t>
            </w:r>
          </w:p>
        </w:tc>
      </w:tr>
      <w:tr>
        <w:trPr>
          <w:cantSplit/>
        </w:trPr>
        <w:tc>
          <w:tcPr>
            <w:tcW w:type="dxa" w:w="2160"/>
            <w:tcMar>
              <w:top w:w="80" w:type="dxa"/>
              <w:start w:w="100" w:type="dxa"/>
              <w:bottom w:w="80" w:type="dxa"/>
              <w:end w:w="100" w:type="dxa"/>
            </w:tcMar>
            <w:vAlign w:val="center"/>
          </w:tcPr>
          <w:p>
            <w:pPr>
              <w:spacing w:before="20" w:after="20"/>
            </w:pPr>
            <w:r>
              <w:rPr>
                <w:rFonts w:ascii="Roboto Mono" w:hAnsi="Roboto Mono" w:eastAsia="Roboto Mono"/>
                <w:color w:val="188038"/>
                <w:sz w:val="17"/>
              </w:rPr>
              <w:t>TelemetryValidity</w:t>
            </w:r>
          </w:p>
        </w:tc>
        <w:tc>
          <w:tcPr>
            <w:tcW w:type="dxa" w:w="4824"/>
            <w:tcMar>
              <w:top w:w="80" w:type="dxa"/>
              <w:start w:w="100" w:type="dxa"/>
              <w:bottom w:w="80" w:type="dxa"/>
              <w:end w:w="100" w:type="dxa"/>
            </w:tcMar>
            <w:vAlign w:val="center"/>
          </w:tcPr>
          <w:p>
            <w:pPr>
              <w:spacing w:before="20" w:after="20"/>
            </w:pPr>
            <w:r>
              <w:rPr>
                <w:sz w:val="17"/>
              </w:rPr>
              <w:t>point_id, age_ms, freshness, quality_valid, timestamp_valid, overall_valid, reason</w:t>
            </w:r>
          </w:p>
        </w:tc>
        <w:tc>
          <w:tcPr>
            <w:tcW w:type="dxa" w:w="2376"/>
            <w:tcMar>
              <w:top w:w="80" w:type="dxa"/>
              <w:start w:w="100" w:type="dxa"/>
              <w:bottom w:w="80" w:type="dxa"/>
              <w:end w:w="100" w:type="dxa"/>
            </w:tcMar>
            <w:vAlign w:val="center"/>
          </w:tcPr>
          <w:p>
            <w:pPr>
              <w:spacing w:before="20" w:after="20"/>
            </w:pPr>
            <w:r>
              <w:rPr>
                <w:sz w:val="17"/>
              </w:rPr>
              <w:t>Derived at requested scenario time using PAR-TEL-001.</w:t>
            </w:r>
          </w:p>
        </w:tc>
      </w:tr>
      <w:tr>
        <w:trPr>
          <w:cantSplit/>
        </w:trPr>
        <w:tc>
          <w:tcPr>
            <w:tcW w:type="dxa" w:w="2160"/>
            <w:tcMar>
              <w:top w:w="80" w:type="dxa"/>
              <w:start w:w="100" w:type="dxa"/>
              <w:bottom w:w="80" w:type="dxa"/>
              <w:end w:w="100" w:type="dxa"/>
            </w:tcMar>
            <w:vAlign w:val="center"/>
          </w:tcPr>
          <w:p>
            <w:pPr>
              <w:spacing w:before="20" w:after="20"/>
            </w:pPr>
            <w:r>
              <w:rPr>
                <w:rFonts w:ascii="Roboto Mono" w:hAnsi="Roboto Mono" w:eastAsia="Roboto Mono"/>
                <w:color w:val="188038"/>
                <w:sz w:val="17"/>
              </w:rPr>
              <w:t>Alarm</w:t>
            </w:r>
          </w:p>
        </w:tc>
        <w:tc>
          <w:tcPr>
            <w:tcW w:type="dxa" w:w="4824"/>
            <w:tcMar>
              <w:top w:w="80" w:type="dxa"/>
              <w:start w:w="100" w:type="dxa"/>
              <w:bottom w:w="80" w:type="dxa"/>
              <w:end w:w="100" w:type="dxa"/>
            </w:tcMar>
            <w:vAlign w:val="center"/>
          </w:tcPr>
          <w:p>
            <w:pPr>
              <w:spacing w:before="20" w:after="20"/>
            </w:pPr>
            <w:r>
              <w:rPr>
                <w:sz w:val="17"/>
              </w:rPr>
              <w:t>alarm_id, entity_id, type, active, acknowledgement_state, generated/ack times and actor</w:t>
            </w:r>
          </w:p>
        </w:tc>
        <w:tc>
          <w:tcPr>
            <w:tcW w:type="dxa" w:w="2376"/>
            <w:tcMar>
              <w:top w:w="80" w:type="dxa"/>
              <w:start w:w="100" w:type="dxa"/>
              <w:bottom w:w="80" w:type="dxa"/>
              <w:end w:w="100" w:type="dxa"/>
            </w:tcMar>
            <w:vAlign w:val="center"/>
          </w:tcPr>
          <w:p>
            <w:pPr>
              <w:spacing w:before="20" w:after="20"/>
            </w:pPr>
            <w:r>
              <w:rPr>
                <w:sz w:val="17"/>
              </w:rPr>
              <w:t>Acknowledgement cannot change topology or outage.</w:t>
            </w:r>
          </w:p>
        </w:tc>
      </w:tr>
      <w:tr>
        <w:trPr>
          <w:cantSplit/>
        </w:trPr>
        <w:tc>
          <w:tcPr>
            <w:tcW w:type="dxa" w:w="2160"/>
            <w:tcMar>
              <w:top w:w="80" w:type="dxa"/>
              <w:start w:w="100" w:type="dxa"/>
              <w:bottom w:w="80" w:type="dxa"/>
              <w:end w:w="100" w:type="dxa"/>
            </w:tcMar>
            <w:vAlign w:val="center"/>
          </w:tcPr>
          <w:p>
            <w:pPr>
              <w:spacing w:before="20" w:after="20"/>
            </w:pPr>
            <w:r>
              <w:rPr>
                <w:rFonts w:ascii="Roboto Mono" w:hAnsi="Roboto Mono" w:eastAsia="Roboto Mono"/>
                <w:color w:val="188038"/>
                <w:sz w:val="17"/>
              </w:rPr>
              <w:t>TelemetrySnapshot</w:t>
            </w:r>
          </w:p>
        </w:tc>
        <w:tc>
          <w:tcPr>
            <w:tcW w:type="dxa" w:w="4824"/>
            <w:tcMar>
              <w:top w:w="80" w:type="dxa"/>
              <w:start w:w="100" w:type="dxa"/>
              <w:bottom w:w="80" w:type="dxa"/>
              <w:end w:w="100" w:type="dxa"/>
            </w:tcMar>
            <w:vAlign w:val="center"/>
          </w:tcPr>
          <w:p>
            <w:pPr>
              <w:spacing w:before="20" w:after="20"/>
            </w:pPr>
            <w:r>
              <w:rPr>
                <w:sz w:val="17"/>
              </w:rPr>
              <w:t>snapshot_id, run_id, revision, scenario_time, ordered point values/validities, hash</w:t>
            </w:r>
          </w:p>
        </w:tc>
        <w:tc>
          <w:tcPr>
            <w:tcW w:type="dxa" w:w="2376"/>
            <w:tcMar>
              <w:top w:w="80" w:type="dxa"/>
              <w:start w:w="100" w:type="dxa"/>
              <w:bottom w:w="80" w:type="dxa"/>
              <w:end w:w="100" w:type="dxa"/>
            </w:tcMar>
            <w:vAlign w:val="center"/>
          </w:tcPr>
          <w:p>
            <w:pPr>
              <w:spacing w:before="20" w:after="20"/>
            </w:pPr>
            <w:r>
              <w:rPr>
                <w:sz w:val="17"/>
              </w:rPr>
              <w:t>Immutable when referenced by assessment/evidence.</w:t>
            </w:r>
          </w:p>
        </w:tc>
      </w:tr>
    </w:tbl>
    <w:p>
      <w:pPr>
        <w:spacing w:after="0"/>
      </w:pPr>
    </w:p>
    <w:p>
      <w:pPr>
        <w:pStyle w:val="Heading2"/>
        <w:keepNext/>
      </w:pPr>
      <w:r>
        <w:t>8.4 Derived Topology and Outage Records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232"/>
            <w:shd w:fill="E7E7E7"/>
            <w:tcMar>
              <w:top w:w="80" w:type="dxa"/>
              <w:start w:w="100" w:type="dxa"/>
              <w:bottom w:w="80" w:type="dxa"/>
              <w:end w:w="100" w:type="dxa"/>
            </w:tcMar>
            <w:vAlign w:val="center"/>
          </w:tcPr>
          <w:p>
            <w:pPr>
              <w:spacing w:before="40" w:after="40"/>
              <w:jc w:val="center"/>
            </w:pPr>
            <w:r>
              <w:rPr>
                <w:b/>
                <w:sz w:val="16"/>
              </w:rPr>
              <w:t>Record</w:t>
            </w:r>
          </w:p>
        </w:tc>
        <w:tc>
          <w:tcPr>
            <w:tcW w:type="dxa" w:w="4968"/>
            <w:shd w:fill="E7E7E7"/>
            <w:tcMar>
              <w:top w:w="80" w:type="dxa"/>
              <w:start w:w="100" w:type="dxa"/>
              <w:bottom w:w="80" w:type="dxa"/>
              <w:end w:w="100" w:type="dxa"/>
            </w:tcMar>
            <w:vAlign w:val="center"/>
          </w:tcPr>
          <w:p>
            <w:pPr>
              <w:spacing w:before="40" w:after="40"/>
              <w:jc w:val="center"/>
            </w:pPr>
            <w:r>
              <w:rPr>
                <w:b/>
                <w:sz w:val="16"/>
              </w:rPr>
              <w:t>Minimum fields</w:t>
            </w:r>
          </w:p>
        </w:tc>
        <w:tc>
          <w:tcPr>
            <w:tcW w:type="dxa" w:w="2160"/>
            <w:shd w:fill="E7E7E7"/>
            <w:tcMar>
              <w:top w:w="80" w:type="dxa"/>
              <w:start w:w="100" w:type="dxa"/>
              <w:bottom w:w="80" w:type="dxa"/>
              <w:end w:w="100" w:type="dxa"/>
            </w:tcMar>
            <w:vAlign w:val="center"/>
          </w:tcPr>
          <w:p>
            <w:pPr>
              <w:spacing w:before="40" w:after="40"/>
              <w:jc w:val="center"/>
            </w:pPr>
            <w:r>
              <w:rPr>
                <w:b/>
                <w:sz w:val="16"/>
              </w:rPr>
              <w:t>Rule</w:t>
            </w:r>
          </w:p>
        </w:tc>
      </w:tr>
      <w:tr>
        <w:trPr>
          <w:cantSplit/>
        </w:trPr>
        <w:tc>
          <w:tcPr>
            <w:tcW w:type="dxa" w:w="2232"/>
            <w:tcMar>
              <w:top w:w="80" w:type="dxa"/>
              <w:start w:w="100" w:type="dxa"/>
              <w:bottom w:w="80" w:type="dxa"/>
              <w:end w:w="100" w:type="dxa"/>
            </w:tcMar>
            <w:vAlign w:val="center"/>
          </w:tcPr>
          <w:p>
            <w:pPr>
              <w:spacing w:before="20" w:after="20"/>
            </w:pPr>
            <w:r>
              <w:rPr>
                <w:rFonts w:ascii="Roboto Mono" w:hAnsi="Roboto Mono" w:eastAsia="Roboto Mono"/>
                <w:color w:val="188038"/>
                <w:sz w:val="16"/>
              </w:rPr>
              <w:t>TopologySnapshot</w:t>
            </w:r>
          </w:p>
        </w:tc>
        <w:tc>
          <w:tcPr>
            <w:tcW w:type="dxa" w:w="4968"/>
            <w:tcMar>
              <w:top w:w="80" w:type="dxa"/>
              <w:start w:w="100" w:type="dxa"/>
              <w:bottom w:w="80" w:type="dxa"/>
              <w:end w:w="100" w:type="dxa"/>
            </w:tcMar>
            <w:vAlign w:val="center"/>
          </w:tcPr>
          <w:p>
            <w:pPr>
              <w:spacing w:before="20" w:after="20"/>
            </w:pPr>
            <w:r>
              <w:rPr>
                <w:sz w:val="16"/>
              </w:rPr>
              <w:t>snapshot_id, run/config/revision, active edge IDs, source IDs, radiality, calculation version</w:t>
            </w:r>
          </w:p>
        </w:tc>
        <w:tc>
          <w:tcPr>
            <w:tcW w:type="dxa" w:w="2160"/>
            <w:tcMar>
              <w:top w:w="80" w:type="dxa"/>
              <w:start w:w="100" w:type="dxa"/>
              <w:bottom w:w="80" w:type="dxa"/>
              <w:end w:w="100" w:type="dxa"/>
            </w:tcMar>
            <w:vAlign w:val="center"/>
          </w:tcPr>
          <w:p>
            <w:pPr>
              <w:spacing w:before="20" w:after="20"/>
            </w:pPr>
            <w:r>
              <w:rPr>
                <w:sz w:val="16"/>
              </w:rPr>
              <w:t>Immutable output of one completed revision.</w:t>
            </w:r>
          </w:p>
        </w:tc>
      </w:tr>
      <w:tr>
        <w:trPr>
          <w:cantSplit/>
        </w:trPr>
        <w:tc>
          <w:tcPr>
            <w:tcW w:type="dxa" w:w="2232"/>
            <w:tcMar>
              <w:top w:w="80" w:type="dxa"/>
              <w:start w:w="100" w:type="dxa"/>
              <w:bottom w:w="80" w:type="dxa"/>
              <w:end w:w="100" w:type="dxa"/>
            </w:tcMar>
            <w:vAlign w:val="center"/>
          </w:tcPr>
          <w:p>
            <w:pPr>
              <w:spacing w:before="20" w:after="20"/>
            </w:pPr>
            <w:r>
              <w:rPr>
                <w:rFonts w:ascii="Roboto Mono" w:hAnsi="Roboto Mono" w:eastAsia="Roboto Mono"/>
                <w:color w:val="188038"/>
                <w:sz w:val="16"/>
              </w:rPr>
              <w:t>SectionDerivedState</w:t>
            </w:r>
          </w:p>
        </w:tc>
        <w:tc>
          <w:tcPr>
            <w:tcW w:type="dxa" w:w="4968"/>
            <w:tcMar>
              <w:top w:w="80" w:type="dxa"/>
              <w:start w:w="100" w:type="dxa"/>
              <w:bottom w:w="80" w:type="dxa"/>
              <w:end w:w="100" w:type="dxa"/>
            </w:tcMar>
            <w:vAlign w:val="center"/>
          </w:tcPr>
          <w:p>
            <w:pPr>
              <w:spacing w:before="20" w:after="20"/>
            </w:pPr>
            <w:r>
              <w:rPr>
                <w:sz w:val="16"/>
              </w:rPr>
              <w:t>section_id, energised, faulted, source_feeder_ids, source_path_edge_ids</w:t>
            </w:r>
          </w:p>
        </w:tc>
        <w:tc>
          <w:tcPr>
            <w:tcW w:type="dxa" w:w="2160"/>
            <w:tcMar>
              <w:top w:w="80" w:type="dxa"/>
              <w:start w:w="100" w:type="dxa"/>
              <w:bottom w:w="80" w:type="dxa"/>
              <w:end w:w="100" w:type="dxa"/>
            </w:tcMar>
            <w:vAlign w:val="center"/>
          </w:tcPr>
          <w:p>
            <w:pPr>
              <w:spacing w:before="20" w:after="20"/>
            </w:pPr>
            <w:r>
              <w:rPr>
                <w:sz w:val="16"/>
              </w:rPr>
              <w:t>Faulted and energised remain independent fields.</w:t>
            </w:r>
          </w:p>
        </w:tc>
      </w:tr>
      <w:tr>
        <w:trPr>
          <w:cantSplit/>
        </w:trPr>
        <w:tc>
          <w:tcPr>
            <w:tcW w:type="dxa" w:w="2232"/>
            <w:tcMar>
              <w:top w:w="80" w:type="dxa"/>
              <w:start w:w="100" w:type="dxa"/>
              <w:bottom w:w="80" w:type="dxa"/>
              <w:end w:w="100" w:type="dxa"/>
            </w:tcMar>
            <w:vAlign w:val="center"/>
          </w:tcPr>
          <w:p>
            <w:pPr>
              <w:spacing w:before="20" w:after="20"/>
            </w:pPr>
            <w:r>
              <w:rPr>
                <w:rFonts w:ascii="Roboto Mono" w:hAnsi="Roboto Mono" w:eastAsia="Roboto Mono"/>
                <w:color w:val="188038"/>
                <w:sz w:val="16"/>
              </w:rPr>
              <w:t>IsolationProof</w:t>
            </w:r>
          </w:p>
        </w:tc>
        <w:tc>
          <w:tcPr>
            <w:tcW w:type="dxa" w:w="4968"/>
            <w:tcMar>
              <w:top w:w="80" w:type="dxa"/>
              <w:start w:w="100" w:type="dxa"/>
              <w:bottom w:w="80" w:type="dxa"/>
              <w:end w:w="100" w:type="dxa"/>
            </w:tcMar>
            <w:vAlign w:val="center"/>
          </w:tcPr>
          <w:p>
            <w:pPr>
              <w:spacing w:before="20" w:after="20"/>
            </w:pPr>
            <w:r>
              <w:rPr>
                <w:sz w:val="16"/>
              </w:rPr>
              <w:t>fault_section_id, source_path_count, evaluated source IDs, result, reasons</w:t>
            </w:r>
          </w:p>
        </w:tc>
        <w:tc>
          <w:tcPr>
            <w:tcW w:type="dxa" w:w="2160"/>
            <w:tcMar>
              <w:top w:w="80" w:type="dxa"/>
              <w:start w:w="100" w:type="dxa"/>
              <w:bottom w:w="80" w:type="dxa"/>
              <w:end w:w="100" w:type="dxa"/>
            </w:tcMar>
            <w:vAlign w:val="center"/>
          </w:tcPr>
          <w:p>
            <w:pPr>
              <w:spacing w:before="20" w:after="20"/>
            </w:pPr>
            <w:r>
              <w:rPr>
                <w:sz w:val="16"/>
              </w:rPr>
              <w:t>Derived from current active graph, never switch names alone.</w:t>
            </w:r>
          </w:p>
        </w:tc>
      </w:tr>
      <w:tr>
        <w:trPr>
          <w:cantSplit/>
        </w:trPr>
        <w:tc>
          <w:tcPr>
            <w:tcW w:type="dxa" w:w="2232"/>
            <w:tcMar>
              <w:top w:w="80" w:type="dxa"/>
              <w:start w:w="100" w:type="dxa"/>
              <w:bottom w:w="80" w:type="dxa"/>
              <w:end w:w="100" w:type="dxa"/>
            </w:tcMar>
            <w:vAlign w:val="center"/>
          </w:tcPr>
          <w:p>
            <w:pPr>
              <w:spacing w:before="20" w:after="20"/>
            </w:pPr>
            <w:r>
              <w:rPr>
                <w:rFonts w:ascii="Roboto Mono" w:hAnsi="Roboto Mono" w:eastAsia="Roboto Mono"/>
                <w:color w:val="188038"/>
                <w:sz w:val="16"/>
              </w:rPr>
              <w:t>OutageSnapshot</w:t>
            </w:r>
          </w:p>
        </w:tc>
        <w:tc>
          <w:tcPr>
            <w:tcW w:type="dxa" w:w="4968"/>
            <w:tcMar>
              <w:top w:w="80" w:type="dxa"/>
              <w:start w:w="100" w:type="dxa"/>
              <w:bottom w:w="80" w:type="dxa"/>
              <w:end w:w="100" w:type="dxa"/>
            </w:tcMar>
            <w:vAlign w:val="center"/>
          </w:tcPr>
          <w:p>
            <w:pPr>
              <w:spacing w:before="20" w:after="20"/>
            </w:pPr>
            <w:r>
              <w:rPr>
                <w:sz w:val="16"/>
              </w:rPr>
              <w:t>snapshot_id, run/revision, de-energised sections, customer zones, affected total, restored delta</w:t>
            </w:r>
          </w:p>
        </w:tc>
        <w:tc>
          <w:tcPr>
            <w:tcW w:type="dxa" w:w="2160"/>
            <w:tcMar>
              <w:top w:w="80" w:type="dxa"/>
              <w:start w:w="100" w:type="dxa"/>
              <w:bottom w:w="80" w:type="dxa"/>
              <w:end w:w="100" w:type="dxa"/>
            </w:tcMar>
            <w:vAlign w:val="center"/>
          </w:tcPr>
          <w:p>
            <w:pPr>
              <w:spacing w:before="20" w:after="20"/>
            </w:pPr>
            <w:r>
              <w:rPr>
                <w:sz w:val="16"/>
              </w:rPr>
              <w:t>OMS consumes SectionDerivedState, not fault label.</w:t>
            </w:r>
          </w:p>
        </w:tc>
      </w:tr>
      <w:tr>
        <w:trPr>
          <w:cantSplit/>
        </w:trPr>
        <w:tc>
          <w:tcPr>
            <w:tcW w:type="dxa" w:w="2232"/>
            <w:tcMar>
              <w:top w:w="80" w:type="dxa"/>
              <w:start w:w="100" w:type="dxa"/>
              <w:bottom w:w="80" w:type="dxa"/>
              <w:end w:w="100" w:type="dxa"/>
            </w:tcMar>
            <w:vAlign w:val="center"/>
          </w:tcPr>
          <w:p>
            <w:pPr>
              <w:spacing w:before="20" w:after="20"/>
            </w:pPr>
            <w:r>
              <w:rPr>
                <w:rFonts w:ascii="Roboto Mono" w:hAnsi="Roboto Mono" w:eastAsia="Roboto Mono"/>
                <w:color w:val="188038"/>
                <w:sz w:val="16"/>
              </w:rPr>
              <w:t>CalculationTrace</w:t>
            </w:r>
          </w:p>
        </w:tc>
        <w:tc>
          <w:tcPr>
            <w:tcW w:type="dxa" w:w="4968"/>
            <w:tcMar>
              <w:top w:w="80" w:type="dxa"/>
              <w:start w:w="100" w:type="dxa"/>
              <w:bottom w:w="80" w:type="dxa"/>
              <w:end w:w="100" w:type="dxa"/>
            </w:tcMar>
            <w:vAlign w:val="center"/>
          </w:tcPr>
          <w:p>
            <w:pPr>
              <w:spacing w:before="20" w:after="20"/>
            </w:pPr>
            <w:r>
              <w:rPr>
                <w:sz w:val="16"/>
              </w:rPr>
              <w:t>ordered inputs, intermediate sets/formula, output and source record IDs</w:t>
            </w:r>
          </w:p>
        </w:tc>
        <w:tc>
          <w:tcPr>
            <w:tcW w:type="dxa" w:w="2160"/>
            <w:tcMar>
              <w:top w:w="80" w:type="dxa"/>
              <w:start w:w="100" w:type="dxa"/>
              <w:bottom w:w="80" w:type="dxa"/>
              <w:end w:w="100" w:type="dxa"/>
            </w:tcMar>
            <w:vAlign w:val="center"/>
          </w:tcPr>
          <w:p>
            <w:pPr>
              <w:spacing w:before="20" w:after="20"/>
            </w:pPr>
            <w:r>
              <w:rPr>
                <w:sz w:val="16"/>
              </w:rPr>
              <w:t>Supports review without changing result.</w:t>
            </w:r>
          </w:p>
        </w:tc>
      </w:tr>
    </w:tbl>
    <w:p>
      <w:pPr>
        <w:spacing w:after="0"/>
      </w:pPr>
    </w:p>
    <w:p>
      <w:pPr>
        <w:pStyle w:val="Heading2"/>
        <w:keepNext/>
      </w:pPr>
      <w:r>
        <w:t>8.5 Restoration Records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304"/>
            <w:shd w:fill="E7E7E7"/>
            <w:tcMar>
              <w:top w:w="80" w:type="dxa"/>
              <w:start w:w="100" w:type="dxa"/>
              <w:bottom w:w="80" w:type="dxa"/>
              <w:end w:w="100" w:type="dxa"/>
            </w:tcMar>
            <w:vAlign w:val="center"/>
          </w:tcPr>
          <w:p>
            <w:pPr>
              <w:spacing w:before="40" w:after="40"/>
              <w:jc w:val="center"/>
            </w:pPr>
            <w:r>
              <w:rPr>
                <w:b/>
                <w:sz w:val="16"/>
              </w:rPr>
              <w:t>Record</w:t>
            </w:r>
          </w:p>
        </w:tc>
        <w:tc>
          <w:tcPr>
            <w:tcW w:type="dxa" w:w="4896"/>
            <w:shd w:fill="E7E7E7"/>
            <w:tcMar>
              <w:top w:w="80" w:type="dxa"/>
              <w:start w:w="100" w:type="dxa"/>
              <w:bottom w:w="80" w:type="dxa"/>
              <w:end w:w="100" w:type="dxa"/>
            </w:tcMar>
            <w:vAlign w:val="center"/>
          </w:tcPr>
          <w:p>
            <w:pPr>
              <w:spacing w:before="40" w:after="40"/>
              <w:jc w:val="center"/>
            </w:pPr>
            <w:r>
              <w:rPr>
                <w:b/>
                <w:sz w:val="16"/>
              </w:rPr>
              <w:t>Minimum fields</w:t>
            </w:r>
          </w:p>
        </w:tc>
        <w:tc>
          <w:tcPr>
            <w:tcW w:type="dxa" w:w="2160"/>
            <w:shd w:fill="E7E7E7"/>
            <w:tcMar>
              <w:top w:w="80" w:type="dxa"/>
              <w:start w:w="100" w:type="dxa"/>
              <w:bottom w:w="80" w:type="dxa"/>
              <w:end w:w="100" w:type="dxa"/>
            </w:tcMar>
            <w:vAlign w:val="center"/>
          </w:tcPr>
          <w:p>
            <w:pPr>
              <w:spacing w:before="40" w:after="40"/>
              <w:jc w:val="center"/>
            </w:pPr>
            <w:r>
              <w:rPr>
                <w:b/>
                <w:sz w:val="16"/>
              </w:rPr>
              <w:t>Rule</w:t>
            </w:r>
          </w:p>
        </w:tc>
      </w:tr>
      <w:tr>
        <w:trPr>
          <w:cantSplit/>
        </w:trPr>
        <w:tc>
          <w:tcPr>
            <w:tcW w:type="dxa" w:w="2304"/>
            <w:tcMar>
              <w:top w:w="80" w:type="dxa"/>
              <w:start w:w="100" w:type="dxa"/>
              <w:bottom w:w="80" w:type="dxa"/>
              <w:end w:w="100" w:type="dxa"/>
            </w:tcMar>
            <w:vAlign w:val="center"/>
          </w:tcPr>
          <w:p>
            <w:pPr>
              <w:spacing w:before="20" w:after="20"/>
            </w:pPr>
            <w:r>
              <w:rPr>
                <w:rFonts w:ascii="Roboto Mono" w:hAnsi="Roboto Mono" w:eastAsia="Roboto Mono"/>
                <w:color w:val="188038"/>
                <w:sz w:val="16"/>
              </w:rPr>
              <w:t>RestorationCandidate</w:t>
            </w:r>
          </w:p>
        </w:tc>
        <w:tc>
          <w:tcPr>
            <w:tcW w:type="dxa" w:w="4896"/>
            <w:tcMar>
              <w:top w:w="80" w:type="dxa"/>
              <w:start w:w="100" w:type="dxa"/>
              <w:bottom w:w="80" w:type="dxa"/>
              <w:end w:w="100" w:type="dxa"/>
            </w:tcMar>
            <w:vAlign w:val="center"/>
          </w:tcPr>
          <w:p>
            <w:pPr>
              <w:spacing w:before="20" w:after="20"/>
            </w:pPr>
            <w:r>
              <w:rPr>
                <w:sz w:val="16"/>
              </w:rPr>
              <w:t>candidate_id, sections, path, tie/action, affected/alternate feeder IDs, transferable_load_kw</w:t>
            </w:r>
          </w:p>
        </w:tc>
        <w:tc>
          <w:tcPr>
            <w:tcW w:type="dxa" w:w="2160"/>
            <w:tcMar>
              <w:top w:w="80" w:type="dxa"/>
              <w:start w:w="100" w:type="dxa"/>
              <w:bottom w:w="80" w:type="dxa"/>
              <w:end w:w="100" w:type="dxa"/>
            </w:tcMar>
            <w:vAlign w:val="center"/>
          </w:tcPr>
          <w:p>
            <w:pPr>
              <w:spacing w:before="20" w:after="20"/>
            </w:pPr>
            <w:r>
              <w:rPr>
                <w:sz w:val="16"/>
              </w:rPr>
              <w:t>Roles and group derived generically.</w:t>
            </w:r>
          </w:p>
        </w:tc>
      </w:tr>
      <w:tr>
        <w:trPr>
          <w:cantSplit/>
        </w:trPr>
        <w:tc>
          <w:tcPr>
            <w:tcW w:type="dxa" w:w="2304"/>
            <w:tcMar>
              <w:top w:w="80" w:type="dxa"/>
              <w:start w:w="100" w:type="dxa"/>
              <w:bottom w:w="80" w:type="dxa"/>
              <w:end w:w="100" w:type="dxa"/>
            </w:tcMar>
            <w:vAlign w:val="center"/>
          </w:tcPr>
          <w:p>
            <w:pPr>
              <w:spacing w:before="20" w:after="20"/>
            </w:pPr>
            <w:r>
              <w:rPr>
                <w:rFonts w:ascii="Roboto Mono" w:hAnsi="Roboto Mono" w:eastAsia="Roboto Mono"/>
                <w:color w:val="188038"/>
                <w:sz w:val="16"/>
              </w:rPr>
              <w:t>PermissiveResult</w:t>
            </w:r>
          </w:p>
        </w:tc>
        <w:tc>
          <w:tcPr>
            <w:tcW w:type="dxa" w:w="4896"/>
            <w:tcMar>
              <w:top w:w="80" w:type="dxa"/>
              <w:start w:w="100" w:type="dxa"/>
              <w:bottom w:w="80" w:type="dxa"/>
              <w:end w:w="100" w:type="dxa"/>
            </w:tcMar>
            <w:vAlign w:val="center"/>
          </w:tcPr>
          <w:p>
            <w:pPr>
              <w:spacing w:before="20" w:after="20"/>
            </w:pPr>
            <w:r>
              <w:rPr>
                <w:sz w:val="16"/>
              </w:rPr>
              <w:t>criterion, PASS/FAIL/INSUFFICIENT, reason, evidence record IDs</w:t>
            </w:r>
          </w:p>
        </w:tc>
        <w:tc>
          <w:tcPr>
            <w:tcW w:type="dxa" w:w="2160"/>
            <w:tcMar>
              <w:top w:w="80" w:type="dxa"/>
              <w:start w:w="100" w:type="dxa"/>
              <w:bottom w:w="80" w:type="dxa"/>
              <w:end w:w="100" w:type="dxa"/>
            </w:tcMar>
            <w:vAlign w:val="center"/>
          </w:tcPr>
          <w:p>
            <w:pPr>
              <w:spacing w:before="20" w:after="20"/>
            </w:pPr>
            <w:r>
              <w:rPr>
                <w:sz w:val="16"/>
              </w:rPr>
              <w:t>Insufficient evidence contributes to BLOCKED precedence.</w:t>
            </w:r>
          </w:p>
        </w:tc>
      </w:tr>
      <w:tr>
        <w:trPr>
          <w:cantSplit/>
        </w:trPr>
        <w:tc>
          <w:tcPr>
            <w:tcW w:type="dxa" w:w="2304"/>
            <w:tcMar>
              <w:top w:w="80" w:type="dxa"/>
              <w:start w:w="100" w:type="dxa"/>
              <w:bottom w:w="80" w:type="dxa"/>
              <w:end w:w="100" w:type="dxa"/>
            </w:tcMar>
            <w:vAlign w:val="center"/>
          </w:tcPr>
          <w:p>
            <w:pPr>
              <w:spacing w:before="20" w:after="20"/>
            </w:pPr>
            <w:r>
              <w:rPr>
                <w:rFonts w:ascii="Roboto Mono" w:hAnsi="Roboto Mono" w:eastAsia="Roboto Mono"/>
                <w:color w:val="188038"/>
                <w:sz w:val="16"/>
              </w:rPr>
              <w:t>RestorationAssessment</w:t>
            </w:r>
          </w:p>
        </w:tc>
        <w:tc>
          <w:tcPr>
            <w:tcW w:type="dxa" w:w="4896"/>
            <w:tcMar>
              <w:top w:w="80" w:type="dxa"/>
              <w:start w:w="100" w:type="dxa"/>
              <w:bottom w:w="80" w:type="dxa"/>
              <w:end w:w="100" w:type="dxa"/>
            </w:tcMar>
            <w:vAlign w:val="center"/>
          </w:tcPr>
          <w:p>
            <w:pPr>
              <w:spacing w:before="20" w:after="20"/>
            </w:pPr>
            <w:r>
              <w:rPr>
                <w:sz w:val="16"/>
              </w:rPr>
              <w:t>assessment_id, run/config/revision, telemetry_snapshot_id, candidate, all permissives, loads, result, reasons, validity</w:t>
            </w:r>
          </w:p>
        </w:tc>
        <w:tc>
          <w:tcPr>
            <w:tcW w:type="dxa" w:w="2160"/>
            <w:tcMar>
              <w:top w:w="80" w:type="dxa"/>
              <w:start w:w="100" w:type="dxa"/>
              <w:bottom w:w="80" w:type="dxa"/>
              <w:end w:w="100" w:type="dxa"/>
            </w:tcMar>
            <w:vAlign w:val="center"/>
          </w:tcPr>
          <w:p>
            <w:pPr>
              <w:spacing w:before="20" w:after="20"/>
            </w:pPr>
            <w:r>
              <w:rPr>
                <w:sz w:val="16"/>
              </w:rPr>
              <w:t>Immutable; current/invalidated status stored separately.</w:t>
            </w:r>
          </w:p>
        </w:tc>
      </w:tr>
      <w:tr>
        <w:trPr>
          <w:cantSplit/>
        </w:trPr>
        <w:tc>
          <w:tcPr>
            <w:tcW w:type="dxa" w:w="2304"/>
            <w:tcMar>
              <w:top w:w="80" w:type="dxa"/>
              <w:start w:w="100" w:type="dxa"/>
              <w:bottom w:w="80" w:type="dxa"/>
              <w:end w:w="100" w:type="dxa"/>
            </w:tcMar>
            <w:vAlign w:val="center"/>
          </w:tcPr>
          <w:p>
            <w:pPr>
              <w:spacing w:before="20" w:after="20"/>
            </w:pPr>
            <w:r>
              <w:rPr>
                <w:rFonts w:ascii="Roboto Mono" w:hAnsi="Roboto Mono" w:eastAsia="Roboto Mono"/>
                <w:color w:val="188038"/>
                <w:sz w:val="16"/>
              </w:rPr>
              <w:t>AssessmentInvalidation</w:t>
            </w:r>
          </w:p>
        </w:tc>
        <w:tc>
          <w:tcPr>
            <w:tcW w:type="dxa" w:w="4896"/>
            <w:tcMar>
              <w:top w:w="80" w:type="dxa"/>
              <w:start w:w="100" w:type="dxa"/>
              <w:bottom w:w="80" w:type="dxa"/>
              <w:end w:w="100" w:type="dxa"/>
            </w:tcMar>
            <w:vAlign w:val="center"/>
          </w:tcPr>
          <w:p>
            <w:pPr>
              <w:spacing w:before="20" w:after="20"/>
            </w:pPr>
            <w:r>
              <w:rPr>
                <w:sz w:val="16"/>
              </w:rPr>
              <w:t>assessment_id, superseding run/revision/time, reason and event_id</w:t>
            </w:r>
          </w:p>
        </w:tc>
        <w:tc>
          <w:tcPr>
            <w:tcW w:type="dxa" w:w="2160"/>
            <w:tcMar>
              <w:top w:w="80" w:type="dxa"/>
              <w:start w:w="100" w:type="dxa"/>
              <w:bottom w:w="80" w:type="dxa"/>
              <w:end w:w="100" w:type="dxa"/>
            </w:tcMar>
            <w:vAlign w:val="center"/>
          </w:tcPr>
          <w:p>
            <w:pPr>
              <w:spacing w:before="20" w:after="20"/>
            </w:pPr>
            <w:r>
              <w:rPr>
                <w:sz w:val="16"/>
              </w:rPr>
              <w:t>Preserves prior result and removes execution availability.</w:t>
            </w:r>
          </w:p>
        </w:tc>
      </w:tr>
      <w:tr>
        <w:trPr>
          <w:cantSplit/>
        </w:trPr>
        <w:tc>
          <w:tcPr>
            <w:tcW w:type="dxa" w:w="2304"/>
            <w:tcMar>
              <w:top w:w="80" w:type="dxa"/>
              <w:start w:w="100" w:type="dxa"/>
              <w:bottom w:w="80" w:type="dxa"/>
              <w:end w:w="100" w:type="dxa"/>
            </w:tcMar>
            <w:vAlign w:val="center"/>
          </w:tcPr>
          <w:p>
            <w:pPr>
              <w:spacing w:before="20" w:after="20"/>
            </w:pPr>
            <w:r>
              <w:rPr>
                <w:rFonts w:ascii="Roboto Mono" w:hAnsi="Roboto Mono" w:eastAsia="Roboto Mono"/>
                <w:color w:val="188038"/>
                <w:sz w:val="16"/>
              </w:rPr>
              <w:t>RestorationExecutionBinding</w:t>
            </w:r>
          </w:p>
        </w:tc>
        <w:tc>
          <w:tcPr>
            <w:tcW w:type="dxa" w:w="4896"/>
            <w:tcMar>
              <w:top w:w="80" w:type="dxa"/>
              <w:start w:w="100" w:type="dxa"/>
              <w:bottom w:w="80" w:type="dxa"/>
              <w:end w:w="100" w:type="dxa"/>
            </w:tcMar>
            <w:vAlign w:val="center"/>
          </w:tcPr>
          <w:p>
            <w:pPr>
              <w:spacing w:before="20" w:after="20"/>
            </w:pPr>
            <w:r>
              <w:rPr>
                <w:sz w:val="16"/>
              </w:rPr>
              <w:t>assessment/run/config/candidate/revision and authorised action</w:t>
            </w:r>
          </w:p>
        </w:tc>
        <w:tc>
          <w:tcPr>
            <w:tcW w:type="dxa" w:w="2160"/>
            <w:tcMar>
              <w:top w:w="80" w:type="dxa"/>
              <w:start w:w="100" w:type="dxa"/>
              <w:bottom w:w="80" w:type="dxa"/>
              <w:end w:w="100" w:type="dxa"/>
            </w:tcMar>
            <w:vAlign w:val="center"/>
          </w:tcPr>
          <w:p>
            <w:pPr>
              <w:spacing w:before="20" w:after="20"/>
            </w:pPr>
            <w:r>
              <w:rPr>
                <w:sz w:val="16"/>
              </w:rPr>
              <w:t>Revalidated immediately before simulated execution.</w:t>
            </w:r>
          </w:p>
        </w:tc>
      </w:tr>
    </w:tbl>
    <w:p>
      <w:pPr>
        <w:spacing w:after="0"/>
      </w:pPr>
    </w:p>
    <w:p>
      <w:pPr>
        <w:pStyle w:val="Heading2"/>
        <w:keepNext/>
      </w:pPr>
      <w:r>
        <w:t>8.6 Operational Event Records</w:t>
      </w:r>
    </w:p>
    <w:p>
      <w:pPr>
        <w:spacing w:before="120" w:after="120"/>
      </w:pPr>
      <w:r>
        <w:rPr>
          <w:b w:val="0"/>
          <w:i w:val="0"/>
        </w:rPr>
        <w:t>Every OperationalEvent contains event_id, scenario_run_id, per-run event_sequence, controlled timestamp, state_revision, source, one of the 15 Step 7 event types, affected entity where applicable, actor/origin, description, prior/new value and links to initiating command/assessment where applicable. Ordering uses event_sequence first and controlled timestamp second; events never depend on browser receipt time.</w:t>
      </w:r>
    </w:p>
    <w:p>
      <w:pPr>
        <w:pStyle w:val="Heading2"/>
        <w:keepNext/>
      </w:pPr>
      <w:r>
        <w:t>8.7 Validation, Evidence, Defect and Correction Records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520"/>
            <w:shd w:fill="E7E7E7"/>
            <w:tcMar>
              <w:top w:w="80" w:type="dxa"/>
              <w:start w:w="100" w:type="dxa"/>
              <w:bottom w:w="80" w:type="dxa"/>
              <w:end w:w="100" w:type="dxa"/>
            </w:tcMar>
            <w:vAlign w:val="center"/>
          </w:tcPr>
          <w:p>
            <w:pPr>
              <w:spacing w:before="40" w:after="40"/>
              <w:jc w:val="center"/>
            </w:pPr>
            <w:r>
              <w:rPr>
                <w:b/>
                <w:sz w:val="17"/>
              </w:rPr>
              <w:t>Record</w:t>
            </w:r>
          </w:p>
        </w:tc>
        <w:tc>
          <w:tcPr>
            <w:tcW w:type="dxa" w:w="6840"/>
            <w:shd w:fill="E7E7E7"/>
            <w:tcMar>
              <w:top w:w="80" w:type="dxa"/>
              <w:start w:w="100" w:type="dxa"/>
              <w:bottom w:w="80" w:type="dxa"/>
              <w:end w:w="100" w:type="dxa"/>
            </w:tcMar>
            <w:vAlign w:val="center"/>
          </w:tcPr>
          <w:p>
            <w:pPr>
              <w:spacing w:before="40" w:after="40"/>
              <w:jc w:val="center"/>
            </w:pPr>
            <w:r>
              <w:rPr>
                <w:b/>
                <w:sz w:val="17"/>
              </w:rPr>
              <w:t>Minimum links / content</w:t>
            </w:r>
          </w:p>
        </w:tc>
      </w:tr>
      <w:tr>
        <w:trPr>
          <w:cantSplit/>
        </w:trPr>
        <w:tc>
          <w:tcPr>
            <w:tcW w:type="dxa" w:w="2520"/>
            <w:tcMar>
              <w:top w:w="80" w:type="dxa"/>
              <w:start w:w="100" w:type="dxa"/>
              <w:bottom w:w="80" w:type="dxa"/>
              <w:end w:w="100" w:type="dxa"/>
            </w:tcMar>
            <w:vAlign w:val="center"/>
          </w:tcPr>
          <w:p>
            <w:pPr>
              <w:spacing w:before="20" w:after="20"/>
            </w:pPr>
            <w:r>
              <w:rPr>
                <w:rFonts w:ascii="Roboto Mono" w:hAnsi="Roboto Mono" w:eastAsia="Roboto Mono"/>
                <w:color w:val="188038"/>
                <w:sz w:val="17"/>
              </w:rPr>
              <w:t>TestDefinition</w:t>
            </w:r>
          </w:p>
        </w:tc>
        <w:tc>
          <w:tcPr>
            <w:tcW w:type="dxa" w:w="6840"/>
            <w:tcMar>
              <w:top w:w="80" w:type="dxa"/>
              <w:start w:w="100" w:type="dxa"/>
              <w:bottom w:w="80" w:type="dxa"/>
              <w:end w:w="100" w:type="dxa"/>
            </w:tcMar>
            <w:vAlign w:val="center"/>
          </w:tcPr>
          <w:p>
            <w:pPr>
              <w:spacing w:before="20" w:after="20"/>
            </w:pPr>
            <w:r>
              <w:rPr>
                <w:sz w:val="17"/>
              </w:rPr>
              <w:t>test ID/version, requirement IDs, objective, configuration, initial conditions, steps/checkpoints, fixed expected result and comparison rule.</w:t>
            </w:r>
          </w:p>
        </w:tc>
      </w:tr>
      <w:tr>
        <w:trPr>
          <w:cantSplit/>
        </w:trPr>
        <w:tc>
          <w:tcPr>
            <w:tcW w:type="dxa" w:w="2520"/>
            <w:tcMar>
              <w:top w:w="80" w:type="dxa"/>
              <w:start w:w="100" w:type="dxa"/>
              <w:bottom w:w="80" w:type="dxa"/>
              <w:end w:w="100" w:type="dxa"/>
            </w:tcMar>
            <w:vAlign w:val="center"/>
          </w:tcPr>
          <w:p>
            <w:pPr>
              <w:spacing w:before="20" w:after="20"/>
            </w:pPr>
            <w:r>
              <w:rPr>
                <w:rFonts w:ascii="Roboto Mono" w:hAnsi="Roboto Mono" w:eastAsia="Roboto Mono"/>
                <w:color w:val="188038"/>
                <w:sz w:val="17"/>
              </w:rPr>
              <w:t>ValidationExecution</w:t>
            </w:r>
          </w:p>
        </w:tc>
        <w:tc>
          <w:tcPr>
            <w:tcW w:type="dxa" w:w="6840"/>
            <w:tcMar>
              <w:top w:w="80" w:type="dxa"/>
              <w:start w:w="100" w:type="dxa"/>
              <w:bottom w:w="80" w:type="dxa"/>
              <w:end w:w="100" w:type="dxa"/>
            </w:tcMar>
            <w:vAlign w:val="center"/>
          </w:tcPr>
          <w:p>
            <w:pPr>
              <w:spacing w:before="20" w:after="20"/>
            </w:pPr>
            <w:r>
              <w:rPr>
                <w:sz w:val="17"/>
              </w:rPr>
              <w:t>execution ID, definition, run, configuration, build, status, expected, observed, determination, reason and evidence IDs.</w:t>
            </w:r>
          </w:p>
        </w:tc>
      </w:tr>
      <w:tr>
        <w:trPr>
          <w:cantSplit/>
        </w:trPr>
        <w:tc>
          <w:tcPr>
            <w:tcW w:type="dxa" w:w="2520"/>
            <w:tcMar>
              <w:top w:w="80" w:type="dxa"/>
              <w:start w:w="100" w:type="dxa"/>
              <w:bottom w:w="80" w:type="dxa"/>
              <w:end w:w="100" w:type="dxa"/>
            </w:tcMar>
            <w:vAlign w:val="center"/>
          </w:tcPr>
          <w:p>
            <w:pPr>
              <w:spacing w:before="20" w:after="20"/>
            </w:pPr>
            <w:r>
              <w:rPr>
                <w:rFonts w:ascii="Roboto Mono" w:hAnsi="Roboto Mono" w:eastAsia="Roboto Mono"/>
                <w:color w:val="188038"/>
                <w:sz w:val="17"/>
              </w:rPr>
              <w:t>EvidenceSnapshot</w:t>
            </w:r>
          </w:p>
        </w:tc>
        <w:tc>
          <w:tcPr>
            <w:tcW w:type="dxa" w:w="6840"/>
            <w:tcMar>
              <w:top w:w="80" w:type="dxa"/>
              <w:start w:w="100" w:type="dxa"/>
              <w:bottom w:w="80" w:type="dxa"/>
              <w:end w:w="100" w:type="dxa"/>
            </w:tcMar>
            <w:vAlign w:val="center"/>
          </w:tcPr>
          <w:p>
            <w:pPr>
              <w:spacing w:before="20" w:after="20"/>
            </w:pPr>
            <w:r>
              <w:rPr>
                <w:sz w:val="17"/>
              </w:rPr>
              <w:t>evidence ID/class, run/revision, content type, exact source IDs, canonical JSON payload hash and capture time.</w:t>
            </w:r>
          </w:p>
        </w:tc>
      </w:tr>
      <w:tr>
        <w:trPr>
          <w:cantSplit/>
        </w:trPr>
        <w:tc>
          <w:tcPr>
            <w:tcW w:type="dxa" w:w="2520"/>
            <w:tcMar>
              <w:top w:w="80" w:type="dxa"/>
              <w:start w:w="100" w:type="dxa"/>
              <w:bottom w:w="80" w:type="dxa"/>
              <w:end w:w="100" w:type="dxa"/>
            </w:tcMar>
            <w:vAlign w:val="center"/>
          </w:tcPr>
          <w:p>
            <w:pPr>
              <w:spacing w:before="20" w:after="20"/>
            </w:pPr>
            <w:r>
              <w:rPr>
                <w:rFonts w:ascii="Roboto Mono" w:hAnsi="Roboto Mono" w:eastAsia="Roboto Mono"/>
                <w:color w:val="188038"/>
                <w:sz w:val="17"/>
              </w:rPr>
              <w:t>DefectRecord</w:t>
            </w:r>
          </w:p>
        </w:tc>
        <w:tc>
          <w:tcPr>
            <w:tcW w:type="dxa" w:w="6840"/>
            <w:tcMar>
              <w:top w:w="80" w:type="dxa"/>
              <w:start w:w="100" w:type="dxa"/>
              <w:bottom w:w="80" w:type="dxa"/>
              <w:end w:w="100" w:type="dxa"/>
            </w:tcMar>
            <w:vAlign w:val="center"/>
          </w:tcPr>
          <w:p>
            <w:pPr>
              <w:spacing w:before="20" w:after="20"/>
            </w:pPr>
            <w:r>
              <w:rPr>
                <w:sz w:val="17"/>
              </w:rPr>
              <w:t>DEF-001, original failed execution, v1.0, root cause, engineering propagation and supporting evidence.</w:t>
            </w:r>
          </w:p>
        </w:tc>
      </w:tr>
      <w:tr>
        <w:trPr>
          <w:cantSplit/>
        </w:trPr>
        <w:tc>
          <w:tcPr>
            <w:tcW w:type="dxa" w:w="2520"/>
            <w:tcMar>
              <w:top w:w="80" w:type="dxa"/>
              <w:start w:w="100" w:type="dxa"/>
              <w:bottom w:w="80" w:type="dxa"/>
              <w:end w:w="100" w:type="dxa"/>
            </w:tcMar>
            <w:vAlign w:val="center"/>
          </w:tcPr>
          <w:p>
            <w:pPr>
              <w:spacing w:before="20" w:after="20"/>
            </w:pPr>
            <w:r>
              <w:rPr>
                <w:rFonts w:ascii="Roboto Mono" w:hAnsi="Roboto Mono" w:eastAsia="Roboto Mono"/>
                <w:color w:val="188038"/>
                <w:sz w:val="17"/>
              </w:rPr>
              <w:t>CorrectionRecord</w:t>
            </w:r>
          </w:p>
        </w:tc>
        <w:tc>
          <w:tcPr>
            <w:tcW w:type="dxa" w:w="6840"/>
            <w:tcMar>
              <w:top w:w="80" w:type="dxa"/>
              <w:start w:w="100" w:type="dxa"/>
              <w:bottom w:w="80" w:type="dxa"/>
              <w:end w:w="100" w:type="dxa"/>
            </w:tcMar>
            <w:vAlign w:val="center"/>
          </w:tcPr>
          <w:p>
            <w:pPr>
              <w:spacing w:before="20" w:after="20"/>
            </w:pPr>
            <w:r>
              <w:rPr>
                <w:sz w:val="17"/>
              </w:rPr>
              <w:t>correction ID, DEF-001, approved endpoint change, v1.0/v1.1 identities, reviewer/date and verification basis.</w:t>
            </w:r>
          </w:p>
        </w:tc>
      </w:tr>
      <w:tr>
        <w:trPr>
          <w:cantSplit/>
        </w:trPr>
        <w:tc>
          <w:tcPr>
            <w:tcW w:type="dxa" w:w="2520"/>
            <w:tcMar>
              <w:top w:w="80" w:type="dxa"/>
              <w:start w:w="100" w:type="dxa"/>
              <w:bottom w:w="80" w:type="dxa"/>
              <w:end w:w="100" w:type="dxa"/>
            </w:tcMar>
            <w:vAlign w:val="center"/>
          </w:tcPr>
          <w:p>
            <w:pPr>
              <w:spacing w:before="20" w:after="20"/>
            </w:pPr>
            <w:r>
              <w:rPr>
                <w:rFonts w:ascii="Roboto Mono" w:hAnsi="Roboto Mono" w:eastAsia="Roboto Mono"/>
                <w:color w:val="188038"/>
                <w:sz w:val="17"/>
              </w:rPr>
              <w:t>RepeatLink</w:t>
            </w:r>
          </w:p>
        </w:tc>
        <w:tc>
          <w:tcPr>
            <w:tcW w:type="dxa" w:w="6840"/>
            <w:tcMar>
              <w:top w:w="80" w:type="dxa"/>
              <w:start w:w="100" w:type="dxa"/>
              <w:bottom w:w="80" w:type="dxa"/>
              <w:end w:w="100" w:type="dxa"/>
            </w:tcMar>
            <w:vAlign w:val="center"/>
          </w:tcPr>
          <w:p>
            <w:pPr>
              <w:spacing w:before="20" w:after="20"/>
            </w:pPr>
            <w:r>
              <w:rPr>
                <w:sz w:val="17"/>
              </w:rPr>
              <w:t>original execution, defect, correction, new execution and relationship type DIRECT_REPEAT or REGRESSION.</w:t>
            </w:r>
          </w:p>
        </w:tc>
      </w:tr>
      <w:tr>
        <w:trPr>
          <w:cantSplit/>
        </w:trPr>
        <w:tc>
          <w:tcPr>
            <w:tcW w:type="dxa" w:w="2520"/>
            <w:tcMar>
              <w:top w:w="80" w:type="dxa"/>
              <w:start w:w="100" w:type="dxa"/>
              <w:bottom w:w="80" w:type="dxa"/>
              <w:end w:w="100" w:type="dxa"/>
            </w:tcMar>
            <w:vAlign w:val="center"/>
          </w:tcPr>
          <w:p>
            <w:pPr>
              <w:spacing w:before="20" w:after="20"/>
            </w:pPr>
            <w:r>
              <w:rPr>
                <w:rFonts w:ascii="Roboto Mono" w:hAnsi="Roboto Mono" w:eastAsia="Roboto Mono"/>
                <w:color w:val="188038"/>
                <w:sz w:val="17"/>
              </w:rPr>
              <w:t>EvidencePackage</w:t>
            </w:r>
          </w:p>
        </w:tc>
        <w:tc>
          <w:tcPr>
            <w:tcW w:type="dxa" w:w="6840"/>
            <w:tcMar>
              <w:top w:w="80" w:type="dxa"/>
              <w:start w:w="100" w:type="dxa"/>
              <w:bottom w:w="80" w:type="dxa"/>
              <w:end w:w="100" w:type="dxa"/>
            </w:tcMar>
            <w:vAlign w:val="center"/>
          </w:tcPr>
          <w:p>
            <w:pPr>
              <w:spacing w:before="20" w:after="20"/>
            </w:pPr>
            <w:r>
              <w:rPr>
                <w:sz w:val="17"/>
              </w:rPr>
              <w:t>package ID, execution/class, manifest hash, included records, generation build and review status.</w:t>
            </w:r>
          </w:p>
        </w:tc>
      </w:tr>
    </w:tbl>
    <w:p>
      <w:pPr>
        <w:spacing w:after="0"/>
      </w:pPr>
    </w:p>
    <w:p>
      <w:pPr>
        <w:pStyle w:val="Heading1"/>
        <w:keepNext/>
      </w:pPr>
      <w:r>
        <w:t>9. Persistence, Immutability and Storage</w:t>
      </w:r>
    </w:p>
    <w:p>
      <w:pPr>
        <w:spacing w:before="120" w:after="120"/>
      </w:pPr>
      <w:r>
        <w:rPr>
          <w:b w:val="0"/>
          <w:i w:val="0"/>
        </w:rPr>
        <w:t>SQLite is selected as the single local transactional store because the demonstrator needs atomic state-changing transactions, reviewable relational links and a portable local file rather than production-scale distributed persistence. Explicit migration SQL and repository adapters are used so the schema remains inspectable and the domain model is not hidden by an object graph.</w:t>
      </w:r>
    </w:p>
    <w:p>
      <w:pPr>
        <w:pStyle w:val="Heading2"/>
        <w:keepNext/>
      </w:pPr>
      <w:r>
        <w:t>9.1 Persistent and Run-Scoped Data</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376"/>
            <w:shd w:fill="E7E7E7"/>
            <w:tcMar>
              <w:top w:w="80" w:type="dxa"/>
              <w:start w:w="100" w:type="dxa"/>
              <w:bottom w:w="80" w:type="dxa"/>
              <w:end w:w="100" w:type="dxa"/>
            </w:tcMar>
            <w:vAlign w:val="center"/>
          </w:tcPr>
          <w:p>
            <w:pPr>
              <w:spacing w:before="40" w:after="40"/>
              <w:jc w:val="center"/>
            </w:pPr>
            <w:r>
              <w:rPr>
                <w:b/>
                <w:sz w:val="19"/>
              </w:rPr>
              <w:t>Category</w:t>
            </w:r>
          </w:p>
        </w:tc>
        <w:tc>
          <w:tcPr>
            <w:tcW w:type="dxa" w:w="6983"/>
            <w:shd w:fill="E7E7E7"/>
            <w:tcMar>
              <w:top w:w="80" w:type="dxa"/>
              <w:start w:w="100" w:type="dxa"/>
              <w:bottom w:w="80" w:type="dxa"/>
              <w:end w:w="100" w:type="dxa"/>
            </w:tcMar>
            <w:vAlign w:val="center"/>
          </w:tcPr>
          <w:p>
            <w:pPr>
              <w:spacing w:before="40" w:after="40"/>
              <w:jc w:val="center"/>
            </w:pPr>
            <w:r>
              <w:rPr>
                <w:b/>
                <w:sz w:val="19"/>
              </w:rPr>
              <w:t>Persistence decision</w:t>
            </w:r>
          </w:p>
        </w:tc>
      </w:tr>
      <w:tr>
        <w:trPr>
          <w:cantSplit/>
        </w:trPr>
        <w:tc>
          <w:tcPr>
            <w:tcW w:type="dxa" w:w="2376"/>
            <w:tcMar>
              <w:top w:w="80" w:type="dxa"/>
              <w:start w:w="100" w:type="dxa"/>
              <w:bottom w:w="80" w:type="dxa"/>
              <w:end w:w="100" w:type="dxa"/>
            </w:tcMar>
            <w:vAlign w:val="center"/>
          </w:tcPr>
          <w:p>
            <w:pPr>
              <w:spacing w:before="20" w:after="20"/>
            </w:pPr>
            <w:r>
              <w:rPr>
                <w:sz w:val="19"/>
              </w:rPr>
              <w:t>Configuration files</w:t>
            </w:r>
          </w:p>
        </w:tc>
        <w:tc>
          <w:tcPr>
            <w:tcW w:type="dxa" w:w="6983"/>
            <w:tcMar>
              <w:top w:w="80" w:type="dxa"/>
              <w:start w:w="100" w:type="dxa"/>
              <w:bottom w:w="80" w:type="dxa"/>
              <w:end w:w="100" w:type="dxa"/>
            </w:tcMar>
            <w:vAlign w:val="center"/>
          </w:tcPr>
          <w:p>
            <w:pPr>
              <w:spacing w:before="20" w:after="20"/>
            </w:pPr>
            <w:r>
              <w:rPr>
                <w:sz w:val="19"/>
              </w:rPr>
              <w:t>Canonical read-only JSON under version control. Database catalog stores identity, path and verified hash; it does not rewrite the source package.</w:t>
            </w:r>
          </w:p>
        </w:tc>
      </w:tr>
      <w:tr>
        <w:trPr>
          <w:cantSplit/>
        </w:trPr>
        <w:tc>
          <w:tcPr>
            <w:tcW w:type="dxa" w:w="2376"/>
            <w:tcMar>
              <w:top w:w="80" w:type="dxa"/>
              <w:start w:w="100" w:type="dxa"/>
              <w:bottom w:w="80" w:type="dxa"/>
              <w:end w:w="100" w:type="dxa"/>
            </w:tcMar>
            <w:vAlign w:val="center"/>
          </w:tcPr>
          <w:p>
            <w:pPr>
              <w:spacing w:before="20" w:after="20"/>
            </w:pPr>
            <w:r>
              <w:rPr>
                <w:sz w:val="19"/>
              </w:rPr>
              <w:t>Active run state</w:t>
            </w:r>
          </w:p>
        </w:tc>
        <w:tc>
          <w:tcPr>
            <w:tcW w:type="dxa" w:w="6983"/>
            <w:tcMar>
              <w:top w:w="80" w:type="dxa"/>
              <w:start w:w="100" w:type="dxa"/>
              <w:bottom w:w="80" w:type="dxa"/>
              <w:end w:w="100" w:type="dxa"/>
            </w:tcMar>
            <w:vAlign w:val="center"/>
          </w:tcPr>
          <w:p>
            <w:pPr>
              <w:spacing w:before="20" w:after="20"/>
            </w:pPr>
            <w:r>
              <w:rPr>
                <w:sz w:val="19"/>
              </w:rPr>
              <w:t>Persist in SQLite so refresh/restart does not silently create a different scenario. Only one mutable active run is required for V1, but prior runs remain reviewable.</w:t>
            </w:r>
          </w:p>
        </w:tc>
      </w:tr>
      <w:tr>
        <w:trPr>
          <w:cantSplit/>
        </w:trPr>
        <w:tc>
          <w:tcPr>
            <w:tcW w:type="dxa" w:w="2376"/>
            <w:tcMar>
              <w:top w:w="80" w:type="dxa"/>
              <w:start w:w="100" w:type="dxa"/>
              <w:bottom w:w="80" w:type="dxa"/>
              <w:end w:w="100" w:type="dxa"/>
            </w:tcMar>
            <w:vAlign w:val="center"/>
          </w:tcPr>
          <w:p>
            <w:pPr>
              <w:spacing w:before="20" w:after="20"/>
            </w:pPr>
            <w:r>
              <w:rPr>
                <w:sz w:val="19"/>
              </w:rPr>
              <w:t>Derived snapshots</w:t>
            </w:r>
          </w:p>
        </w:tc>
        <w:tc>
          <w:tcPr>
            <w:tcW w:type="dxa" w:w="6983"/>
            <w:tcMar>
              <w:top w:w="80" w:type="dxa"/>
              <w:start w:w="100" w:type="dxa"/>
              <w:bottom w:w="80" w:type="dxa"/>
              <w:end w:w="100" w:type="dxa"/>
            </w:tcMar>
            <w:vAlign w:val="center"/>
          </w:tcPr>
          <w:p>
            <w:pPr>
              <w:spacing w:before="20" w:after="20"/>
            </w:pPr>
            <w:r>
              <w:rPr>
                <w:sz w:val="19"/>
              </w:rPr>
              <w:t>Persist each published state revision used by events, assessments or evidence. Transient recalculation objects may remain in memory until the transaction commits.</w:t>
            </w:r>
          </w:p>
        </w:tc>
      </w:tr>
      <w:tr>
        <w:trPr>
          <w:cantSplit/>
        </w:trPr>
        <w:tc>
          <w:tcPr>
            <w:tcW w:type="dxa" w:w="2376"/>
            <w:tcMar>
              <w:top w:w="80" w:type="dxa"/>
              <w:start w:w="100" w:type="dxa"/>
              <w:bottom w:w="80" w:type="dxa"/>
              <w:end w:w="100" w:type="dxa"/>
            </w:tcMar>
            <w:vAlign w:val="center"/>
          </w:tcPr>
          <w:p>
            <w:pPr>
              <w:spacing w:before="20" w:after="20"/>
            </w:pPr>
            <w:r>
              <w:rPr>
                <w:sz w:val="19"/>
              </w:rPr>
              <w:t>Operational events</w:t>
            </w:r>
          </w:p>
        </w:tc>
        <w:tc>
          <w:tcPr>
            <w:tcW w:type="dxa" w:w="6983"/>
            <w:tcMar>
              <w:top w:w="80" w:type="dxa"/>
              <w:start w:w="100" w:type="dxa"/>
              <w:bottom w:w="80" w:type="dxa"/>
              <w:end w:w="100" w:type="dxa"/>
            </w:tcMar>
            <w:vAlign w:val="center"/>
          </w:tcPr>
          <w:p>
            <w:pPr>
              <w:spacing w:before="20" w:after="20"/>
            </w:pPr>
            <w:r>
              <w:rPr>
                <w:sz w:val="19"/>
              </w:rPr>
              <w:t>Append-only table with unique run/sequence constraint.</w:t>
            </w:r>
          </w:p>
        </w:tc>
      </w:tr>
      <w:tr>
        <w:trPr>
          <w:cantSplit/>
        </w:trPr>
        <w:tc>
          <w:tcPr>
            <w:tcW w:type="dxa" w:w="2376"/>
            <w:tcMar>
              <w:top w:w="80" w:type="dxa"/>
              <w:start w:w="100" w:type="dxa"/>
              <w:bottom w:w="80" w:type="dxa"/>
              <w:end w:w="100" w:type="dxa"/>
            </w:tcMar>
            <w:vAlign w:val="center"/>
          </w:tcPr>
          <w:p>
            <w:pPr>
              <w:spacing w:before="20" w:after="20"/>
            </w:pPr>
            <w:r>
              <w:rPr>
                <w:sz w:val="19"/>
              </w:rPr>
              <w:t>Completed validation/evidence</w:t>
            </w:r>
          </w:p>
        </w:tc>
        <w:tc>
          <w:tcPr>
            <w:tcW w:type="dxa" w:w="6983"/>
            <w:tcMar>
              <w:top w:w="80" w:type="dxa"/>
              <w:start w:w="100" w:type="dxa"/>
              <w:bottom w:w="80" w:type="dxa"/>
              <w:end w:w="100" w:type="dxa"/>
            </w:tcMar>
            <w:vAlign w:val="center"/>
          </w:tcPr>
          <w:p>
            <w:pPr>
              <w:spacing w:before="20" w:after="20"/>
            </w:pPr>
            <w:r>
              <w:rPr>
                <w:sz w:val="19"/>
              </w:rPr>
              <w:t>Application-level immutable rows. Corrections create linked records; they do not UPDATE the original conclusion or payload.</w:t>
            </w:r>
          </w:p>
        </w:tc>
      </w:tr>
      <w:tr>
        <w:trPr>
          <w:cantSplit/>
        </w:trPr>
        <w:tc>
          <w:tcPr>
            <w:tcW w:type="dxa" w:w="2376"/>
            <w:tcMar>
              <w:top w:w="80" w:type="dxa"/>
              <w:start w:w="100" w:type="dxa"/>
              <w:bottom w:w="80" w:type="dxa"/>
              <w:end w:w="100" w:type="dxa"/>
            </w:tcMar>
            <w:vAlign w:val="center"/>
          </w:tcPr>
          <w:p>
            <w:pPr>
              <w:spacing w:before="20" w:after="20"/>
            </w:pPr>
            <w:r>
              <w:rPr>
                <w:sz w:val="19"/>
              </w:rPr>
              <w:t>Exploratory records</w:t>
            </w:r>
          </w:p>
        </w:tc>
        <w:tc>
          <w:tcPr>
            <w:tcW w:type="dxa" w:w="6983"/>
            <w:tcMar>
              <w:top w:w="80" w:type="dxa"/>
              <w:start w:w="100" w:type="dxa"/>
              <w:bottom w:w="80" w:type="dxa"/>
              <w:end w:w="100" w:type="dxa"/>
            </w:tcMar>
            <w:vAlign w:val="center"/>
          </w:tcPr>
          <w:p>
            <w:pPr>
              <w:spacing w:before="20" w:after="20"/>
            </w:pPr>
            <w:r>
              <w:rPr>
                <w:sz w:val="19"/>
              </w:rPr>
              <w:t>Persist in the same database with evidence_class EXPLORATORY and query filters that prevent formal use.</w:t>
            </w:r>
          </w:p>
        </w:tc>
      </w:tr>
      <w:tr>
        <w:trPr>
          <w:cantSplit/>
        </w:trPr>
        <w:tc>
          <w:tcPr>
            <w:tcW w:type="dxa" w:w="2376"/>
            <w:tcMar>
              <w:top w:w="80" w:type="dxa"/>
              <w:start w:w="100" w:type="dxa"/>
              <w:bottom w:w="80" w:type="dxa"/>
              <w:end w:w="100" w:type="dxa"/>
            </w:tcMar>
            <w:vAlign w:val="center"/>
          </w:tcPr>
          <w:p>
            <w:pPr>
              <w:spacing w:before="20" w:after="20"/>
            </w:pPr>
            <w:r>
              <w:rPr>
                <w:sz w:val="19"/>
              </w:rPr>
              <w:t>Exports</w:t>
            </w:r>
          </w:p>
        </w:tc>
        <w:tc>
          <w:tcPr>
            <w:tcW w:type="dxa" w:w="6983"/>
            <w:tcMar>
              <w:top w:w="80" w:type="dxa"/>
              <w:start w:w="100" w:type="dxa"/>
              <w:bottom w:w="80" w:type="dxa"/>
              <w:end w:w="100" w:type="dxa"/>
            </w:tcMar>
            <w:vAlign w:val="center"/>
          </w:tcPr>
          <w:p>
            <w:pPr>
              <w:spacing w:before="20" w:after="20"/>
            </w:pPr>
            <w:r>
              <w:rPr>
                <w:sz w:val="19"/>
              </w:rPr>
              <w:t>Write to a new evidence package directory and never overwrite a prior package ID.</w:t>
            </w:r>
          </w:p>
        </w:tc>
      </w:tr>
    </w:tbl>
    <w:p>
      <w:pPr>
        <w:spacing w:after="0"/>
      </w:pPr>
    </w:p>
    <w:p>
      <w:pPr>
        <w:pStyle w:val="Heading2"/>
        <w:keepNext/>
      </w:pPr>
      <w:r>
        <w:t>9.2 Atomicity</w:t>
      </w:r>
    </w:p>
    <w:p>
      <w:pPr>
        <w:spacing w:before="120" w:after="120"/>
      </w:pPr>
      <w:r>
        <w:rPr>
          <w:b w:val="0"/>
          <w:i w:val="0"/>
        </w:rPr>
        <w:t>One accepted state-changing command begins a SQLite transaction, checks command identity and expected revision, applies the authorised mutation, increments the state revision, calculates topology and outage, invalidates any superseded assessment, appends ordered events and commits the complete revision. Any failure rolls back to the prior published revision. Assessment-only processing reads one committed revision and inserts one immutable assessment plus its events without changing topology or state_revision.</w:t>
      </w:r>
    </w:p>
    <w:p>
      <w:pPr>
        <w:pStyle w:val="Heading2"/>
        <w:keepNext/>
      </w:pPr>
      <w:r>
        <w:t>9.3 Immutability Enforcement</w:t>
      </w:r>
    </w:p>
    <w:p>
      <w:pPr>
        <w:spacing w:before="0" w:after="40"/>
        <w:ind w:left="720" w:hanging="360"/>
      </w:pPr>
      <w:r>
        <w:rPr>
          <w:b/>
        </w:rPr>
        <w:t>•</w:t>
      </w:r>
      <w:r>
        <w:tab/>
        <w:t>configuration files are read-only application inputs and verified by SHA-256;</w:t>
      </w:r>
    </w:p>
    <w:p>
      <w:pPr>
        <w:spacing w:before="0" w:after="40"/>
        <w:ind w:left="720" w:hanging="360"/>
      </w:pPr>
      <w:r>
        <w:rPr>
          <w:b/>
        </w:rPr>
        <w:t>•</w:t>
      </w:r>
      <w:r>
        <w:tab/>
        <w:t>database repository methods expose insert/finalise operations for completed evidence but no update/delete method;</w:t>
      </w:r>
    </w:p>
    <w:p>
      <w:pPr>
        <w:spacing w:before="0" w:after="40"/>
        <w:ind w:left="720" w:hanging="360"/>
      </w:pPr>
      <w:r>
        <w:rPr>
          <w:b/>
        </w:rPr>
        <w:t>•</w:t>
      </w:r>
      <w:r>
        <w:tab/>
        <w:t>SQLite triggers may reject UPDATE/DELETE on finalised evidence tables as an additional safeguard;</w:t>
      </w:r>
    </w:p>
    <w:p>
      <w:pPr>
        <w:spacing w:before="0" w:after="40"/>
        <w:ind w:left="720" w:hanging="360"/>
      </w:pPr>
      <w:r>
        <w:rPr>
          <w:b/>
        </w:rPr>
        <w:t>•</w:t>
      </w:r>
      <w:r>
        <w:tab/>
        <w:t>reset closes/references a run and creates a new run ID rather than clearing historical rows; and</w:t>
      </w:r>
    </w:p>
    <w:p>
      <w:pPr>
        <w:spacing w:before="0" w:after="40"/>
        <w:ind w:left="720" w:hanging="360"/>
      </w:pPr>
      <w:r>
        <w:rPr>
          <w:b/>
        </w:rPr>
        <w:t>•</w:t>
      </w:r>
      <w:r>
        <w:tab/>
        <w:t>export manifests hash every included file and record canonical payload.</w:t>
      </w:r>
    </w:p>
    <w:p>
      <w:pPr>
        <w:spacing w:before="160" w:after="160"/>
        <w:ind w:left="288" w:right="288"/>
        <w:pBdr>
          <w:bottom w:val="single" w:sz="12" w:color="188038"/>
        </w:pBdr>
      </w:pPr>
      <w:r>
        <w:rPr>
          <w:b/>
          <w:color w:val="188038"/>
        </w:rPr>
        <w:t>V2 Automation Candidate</w:t>
      </w:r>
      <w:r>
        <w:t xml:space="preserve"> — An engineer would otherwise compare configuration files, record schemas, requirement mappings and evidence completeness manually after each change. A future assurance tool could validate schema conformance, trace impacted requirements/tests and report broken links without changing V1 behaviour.</w:t>
      </w:r>
    </w:p>
    <w:p>
      <w:pPr>
        <w:pStyle w:val="Heading1"/>
        <w:keepNext/>
      </w:pPr>
      <w:r>
        <w:t>10. Identifier, Time and Numeric Formats</w:t>
      </w:r>
    </w:p>
    <w:p>
      <w:pPr>
        <w:pStyle w:val="Heading2"/>
        <w:keepNext/>
      </w:pPr>
      <w:r>
        <w:t>10.1 Stable Engineering IDs</w:t>
      </w:r>
    </w:p>
    <w:p>
      <w:pPr>
        <w:spacing w:before="120" w:after="120"/>
      </w:pPr>
      <w:r>
        <w:rPr>
          <w:b w:val="0"/>
          <w:i w:val="0"/>
        </w:rPr>
        <w:t>Identifiers established by the baseline—such as ZS-01, FDR-A, SEC-A2, SW-A23, TS-01, CZ-A2, REQ-TOP-001, VT-TOP-DEF-001 and DEF-001—are stored and displayed unchanged. Generated records never replace or decorate an engineering ID inside calculation logic.</w:t>
      </w:r>
    </w:p>
    <w:p>
      <w:pPr>
        <w:pStyle w:val="Heading2"/>
        <w:keepNext/>
      </w:pPr>
      <w:r>
        <w:t>10.2 Generated Record IDs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160"/>
            <w:shd w:fill="E7E7E7"/>
            <w:tcMar>
              <w:top w:w="80" w:type="dxa"/>
              <w:start w:w="100" w:type="dxa"/>
              <w:bottom w:w="80" w:type="dxa"/>
              <w:end w:w="100" w:type="dxa"/>
            </w:tcMar>
            <w:vAlign w:val="center"/>
          </w:tcPr>
          <w:p>
            <w:pPr>
              <w:spacing w:before="40" w:after="40"/>
              <w:jc w:val="center"/>
            </w:pPr>
            <w:r>
              <w:rPr>
                <w:b/>
                <w:sz w:val="19"/>
              </w:rPr>
              <w:t>Record</w:t>
            </w:r>
          </w:p>
        </w:tc>
        <w:tc>
          <w:tcPr>
            <w:tcW w:type="dxa" w:w="3240"/>
            <w:shd w:fill="E7E7E7"/>
            <w:tcMar>
              <w:top w:w="80" w:type="dxa"/>
              <w:start w:w="100" w:type="dxa"/>
              <w:bottom w:w="80" w:type="dxa"/>
              <w:end w:w="100" w:type="dxa"/>
            </w:tcMar>
            <w:vAlign w:val="center"/>
          </w:tcPr>
          <w:p>
            <w:pPr>
              <w:spacing w:before="40" w:after="40"/>
              <w:jc w:val="center"/>
            </w:pPr>
            <w:r>
              <w:rPr>
                <w:b/>
                <w:sz w:val="19"/>
              </w:rPr>
              <w:t>Machine identity</w:t>
            </w:r>
          </w:p>
        </w:tc>
        <w:tc>
          <w:tcPr>
            <w:tcW w:type="dxa" w:w="3960"/>
            <w:shd w:fill="E7E7E7"/>
            <w:tcMar>
              <w:top w:w="80" w:type="dxa"/>
              <w:start w:w="100" w:type="dxa"/>
              <w:bottom w:w="80" w:type="dxa"/>
              <w:end w:w="100" w:type="dxa"/>
            </w:tcMar>
            <w:vAlign w:val="center"/>
          </w:tcPr>
          <w:p>
            <w:pPr>
              <w:spacing w:before="40" w:after="40"/>
              <w:jc w:val="center"/>
            </w:pPr>
            <w:r>
              <w:rPr>
                <w:b/>
                <w:sz w:val="19"/>
              </w:rPr>
              <w:t>Human display</w:t>
            </w:r>
          </w:p>
        </w:tc>
      </w:tr>
      <w:tr>
        <w:trPr>
          <w:cantSplit/>
        </w:trPr>
        <w:tc>
          <w:tcPr>
            <w:tcW w:type="dxa" w:w="2160"/>
            <w:tcMar>
              <w:top w:w="80" w:type="dxa"/>
              <w:start w:w="100" w:type="dxa"/>
              <w:bottom w:w="80" w:type="dxa"/>
              <w:end w:w="100" w:type="dxa"/>
            </w:tcMar>
            <w:vAlign w:val="center"/>
          </w:tcPr>
          <w:p>
            <w:pPr>
              <w:spacing w:before="20" w:after="20"/>
            </w:pPr>
            <w:r>
              <w:rPr>
                <w:sz w:val="19"/>
              </w:rPr>
              <w:t>Run</w:t>
            </w:r>
          </w:p>
        </w:tc>
        <w:tc>
          <w:tcPr>
            <w:tcW w:type="dxa" w:w="3240"/>
            <w:tcMar>
              <w:top w:w="80" w:type="dxa"/>
              <w:start w:w="100" w:type="dxa"/>
              <w:bottom w:w="80" w:type="dxa"/>
              <w:end w:w="100" w:type="dxa"/>
            </w:tcMar>
            <w:vAlign w:val="center"/>
          </w:tcPr>
          <w:p>
            <w:pPr>
              <w:spacing w:before="20" w:after="20"/>
            </w:pPr>
            <w:r>
              <w:rPr>
                <w:sz w:val="19"/>
              </w:rPr>
              <w:t>UUID v4 primary key</w:t>
            </w:r>
          </w:p>
        </w:tc>
        <w:tc>
          <w:tcPr>
            <w:tcW w:type="dxa" w:w="3960"/>
            <w:tcMar>
              <w:top w:w="80" w:type="dxa"/>
              <w:start w:w="100" w:type="dxa"/>
              <w:bottom w:w="80" w:type="dxa"/>
              <w:end w:w="100" w:type="dxa"/>
            </w:tcMar>
            <w:vAlign w:val="center"/>
          </w:tcPr>
          <w:p>
            <w:pPr>
              <w:spacing w:before="20" w:after="20"/>
            </w:pPr>
            <w:r>
              <w:rPr>
                <w:sz w:val="19"/>
              </w:rPr>
              <w:t>RUN- plus first 8 uppercase hexadecimal characters</w:t>
            </w:r>
          </w:p>
        </w:tc>
      </w:tr>
      <w:tr>
        <w:trPr>
          <w:cantSplit/>
        </w:trPr>
        <w:tc>
          <w:tcPr>
            <w:tcW w:type="dxa" w:w="2160"/>
            <w:tcMar>
              <w:top w:w="80" w:type="dxa"/>
              <w:start w:w="100" w:type="dxa"/>
              <w:bottom w:w="80" w:type="dxa"/>
              <w:end w:w="100" w:type="dxa"/>
            </w:tcMar>
            <w:vAlign w:val="center"/>
          </w:tcPr>
          <w:p>
            <w:pPr>
              <w:spacing w:before="20" w:after="20"/>
            </w:pPr>
            <w:r>
              <w:rPr>
                <w:sz w:val="19"/>
              </w:rPr>
              <w:t>Command</w:t>
            </w:r>
          </w:p>
        </w:tc>
        <w:tc>
          <w:tcPr>
            <w:tcW w:type="dxa" w:w="3240"/>
            <w:tcMar>
              <w:top w:w="80" w:type="dxa"/>
              <w:start w:w="100" w:type="dxa"/>
              <w:bottom w:w="80" w:type="dxa"/>
              <w:end w:w="100" w:type="dxa"/>
            </w:tcMar>
            <w:vAlign w:val="center"/>
          </w:tcPr>
          <w:p>
            <w:pPr>
              <w:spacing w:before="20" w:after="20"/>
            </w:pPr>
            <w:r>
              <w:rPr>
                <w:sz w:val="19"/>
              </w:rPr>
              <w:t>UUID v4 supplied by client</w:t>
            </w:r>
          </w:p>
        </w:tc>
        <w:tc>
          <w:tcPr>
            <w:tcW w:type="dxa" w:w="3960"/>
            <w:tcMar>
              <w:top w:w="80" w:type="dxa"/>
              <w:start w:w="100" w:type="dxa"/>
              <w:bottom w:w="80" w:type="dxa"/>
              <w:end w:w="100" w:type="dxa"/>
            </w:tcMar>
            <w:vAlign w:val="center"/>
          </w:tcPr>
          <w:p>
            <w:pPr>
              <w:spacing w:before="20" w:after="20"/>
            </w:pPr>
            <w:r>
              <w:rPr>
                <w:sz w:val="19"/>
              </w:rPr>
              <w:t>CMD- plus first 8 characters</w:t>
            </w:r>
          </w:p>
        </w:tc>
      </w:tr>
      <w:tr>
        <w:trPr>
          <w:cantSplit/>
        </w:trPr>
        <w:tc>
          <w:tcPr>
            <w:tcW w:type="dxa" w:w="2160"/>
            <w:tcMar>
              <w:top w:w="80" w:type="dxa"/>
              <w:start w:w="100" w:type="dxa"/>
              <w:bottom w:w="80" w:type="dxa"/>
              <w:end w:w="100" w:type="dxa"/>
            </w:tcMar>
            <w:vAlign w:val="center"/>
          </w:tcPr>
          <w:p>
            <w:pPr>
              <w:spacing w:before="20" w:after="20"/>
            </w:pPr>
            <w:r>
              <w:rPr>
                <w:sz w:val="19"/>
              </w:rPr>
              <w:t>Event</w:t>
            </w:r>
          </w:p>
        </w:tc>
        <w:tc>
          <w:tcPr>
            <w:tcW w:type="dxa" w:w="3240"/>
            <w:tcMar>
              <w:top w:w="80" w:type="dxa"/>
              <w:start w:w="100" w:type="dxa"/>
              <w:bottom w:w="80" w:type="dxa"/>
              <w:end w:w="100" w:type="dxa"/>
            </w:tcMar>
            <w:vAlign w:val="center"/>
          </w:tcPr>
          <w:p>
            <w:pPr>
              <w:spacing w:before="20" w:after="20"/>
            </w:pPr>
            <w:r>
              <w:rPr>
                <w:sz w:val="19"/>
              </w:rPr>
              <w:t>UUID v4 plus unique run/event_sequence</w:t>
            </w:r>
          </w:p>
        </w:tc>
        <w:tc>
          <w:tcPr>
            <w:tcW w:type="dxa" w:w="3960"/>
            <w:tcMar>
              <w:top w:w="80" w:type="dxa"/>
              <w:start w:w="100" w:type="dxa"/>
              <w:bottom w:w="80" w:type="dxa"/>
              <w:end w:w="100" w:type="dxa"/>
            </w:tcMar>
            <w:vAlign w:val="center"/>
          </w:tcPr>
          <w:p>
            <w:pPr>
              <w:spacing w:before="20" w:after="20"/>
            </w:pPr>
            <w:r>
              <w:rPr>
                <w:sz w:val="19"/>
              </w:rPr>
              <w:t>EVT-&lt;run short&gt;-&lt;six-digit sequence&gt;</w:t>
            </w:r>
          </w:p>
        </w:tc>
      </w:tr>
      <w:tr>
        <w:trPr>
          <w:cantSplit/>
        </w:trPr>
        <w:tc>
          <w:tcPr>
            <w:tcW w:type="dxa" w:w="2160"/>
            <w:tcMar>
              <w:top w:w="80" w:type="dxa"/>
              <w:start w:w="100" w:type="dxa"/>
              <w:bottom w:w="80" w:type="dxa"/>
              <w:end w:w="100" w:type="dxa"/>
            </w:tcMar>
            <w:vAlign w:val="center"/>
          </w:tcPr>
          <w:p>
            <w:pPr>
              <w:spacing w:before="20" w:after="20"/>
            </w:pPr>
            <w:r>
              <w:rPr>
                <w:sz w:val="19"/>
              </w:rPr>
              <w:t>Assessment</w:t>
            </w:r>
          </w:p>
        </w:tc>
        <w:tc>
          <w:tcPr>
            <w:tcW w:type="dxa" w:w="3240"/>
            <w:tcMar>
              <w:top w:w="80" w:type="dxa"/>
              <w:start w:w="100" w:type="dxa"/>
              <w:bottom w:w="80" w:type="dxa"/>
              <w:end w:w="100" w:type="dxa"/>
            </w:tcMar>
            <w:vAlign w:val="center"/>
          </w:tcPr>
          <w:p>
            <w:pPr>
              <w:spacing w:before="20" w:after="20"/>
            </w:pPr>
            <w:r>
              <w:rPr>
                <w:sz w:val="19"/>
              </w:rPr>
              <w:t>UUID v4</w:t>
            </w:r>
          </w:p>
        </w:tc>
        <w:tc>
          <w:tcPr>
            <w:tcW w:type="dxa" w:w="3960"/>
            <w:tcMar>
              <w:top w:w="80" w:type="dxa"/>
              <w:start w:w="100" w:type="dxa"/>
              <w:bottom w:w="80" w:type="dxa"/>
              <w:end w:w="100" w:type="dxa"/>
            </w:tcMar>
            <w:vAlign w:val="center"/>
          </w:tcPr>
          <w:p>
            <w:pPr>
              <w:spacing w:before="20" w:after="20"/>
            </w:pPr>
            <w:r>
              <w:rPr>
                <w:sz w:val="19"/>
              </w:rPr>
              <w:t>ASM- plus first 8 characters</w:t>
            </w:r>
          </w:p>
        </w:tc>
      </w:tr>
      <w:tr>
        <w:trPr>
          <w:cantSplit/>
        </w:trPr>
        <w:tc>
          <w:tcPr>
            <w:tcW w:type="dxa" w:w="2160"/>
            <w:tcMar>
              <w:top w:w="80" w:type="dxa"/>
              <w:start w:w="100" w:type="dxa"/>
              <w:bottom w:w="80" w:type="dxa"/>
              <w:end w:w="100" w:type="dxa"/>
            </w:tcMar>
            <w:vAlign w:val="center"/>
          </w:tcPr>
          <w:p>
            <w:pPr>
              <w:spacing w:before="20" w:after="20"/>
            </w:pPr>
            <w:r>
              <w:rPr>
                <w:sz w:val="19"/>
              </w:rPr>
              <w:t>Evidence snapshot</w:t>
            </w:r>
          </w:p>
        </w:tc>
        <w:tc>
          <w:tcPr>
            <w:tcW w:type="dxa" w:w="3240"/>
            <w:tcMar>
              <w:top w:w="80" w:type="dxa"/>
              <w:start w:w="100" w:type="dxa"/>
              <w:bottom w:w="80" w:type="dxa"/>
              <w:end w:w="100" w:type="dxa"/>
            </w:tcMar>
            <w:vAlign w:val="center"/>
          </w:tcPr>
          <w:p>
            <w:pPr>
              <w:spacing w:before="20" w:after="20"/>
            </w:pPr>
            <w:r>
              <w:rPr>
                <w:sz w:val="19"/>
              </w:rPr>
              <w:t>UUID v4</w:t>
            </w:r>
          </w:p>
        </w:tc>
        <w:tc>
          <w:tcPr>
            <w:tcW w:type="dxa" w:w="3960"/>
            <w:tcMar>
              <w:top w:w="80" w:type="dxa"/>
              <w:start w:w="100" w:type="dxa"/>
              <w:bottom w:w="80" w:type="dxa"/>
              <w:end w:w="100" w:type="dxa"/>
            </w:tcMar>
            <w:vAlign w:val="center"/>
          </w:tcPr>
          <w:p>
            <w:pPr>
              <w:spacing w:before="20" w:after="20"/>
            </w:pPr>
            <w:r>
              <w:rPr>
                <w:sz w:val="19"/>
              </w:rPr>
              <w:t>EVD- plus first 8 characters</w:t>
            </w:r>
          </w:p>
        </w:tc>
      </w:tr>
      <w:tr>
        <w:trPr>
          <w:cantSplit/>
        </w:trPr>
        <w:tc>
          <w:tcPr>
            <w:tcW w:type="dxa" w:w="2160"/>
            <w:tcMar>
              <w:top w:w="80" w:type="dxa"/>
              <w:start w:w="100" w:type="dxa"/>
              <w:bottom w:w="80" w:type="dxa"/>
              <w:end w:w="100" w:type="dxa"/>
            </w:tcMar>
            <w:vAlign w:val="center"/>
          </w:tcPr>
          <w:p>
            <w:pPr>
              <w:spacing w:before="20" w:after="20"/>
            </w:pPr>
            <w:r>
              <w:rPr>
                <w:sz w:val="19"/>
              </w:rPr>
              <w:t>Validation execution</w:t>
            </w:r>
          </w:p>
        </w:tc>
        <w:tc>
          <w:tcPr>
            <w:tcW w:type="dxa" w:w="3240"/>
            <w:tcMar>
              <w:top w:w="80" w:type="dxa"/>
              <w:start w:w="100" w:type="dxa"/>
              <w:bottom w:w="80" w:type="dxa"/>
              <w:end w:w="100" w:type="dxa"/>
            </w:tcMar>
            <w:vAlign w:val="center"/>
          </w:tcPr>
          <w:p>
            <w:pPr>
              <w:spacing w:before="20" w:after="20"/>
            </w:pPr>
            <w:r>
              <w:rPr>
                <w:sz w:val="19"/>
              </w:rPr>
              <w:t>UUID v4</w:t>
            </w:r>
          </w:p>
        </w:tc>
        <w:tc>
          <w:tcPr>
            <w:tcW w:type="dxa" w:w="3960"/>
            <w:tcMar>
              <w:top w:w="80" w:type="dxa"/>
              <w:start w:w="100" w:type="dxa"/>
              <w:bottom w:w="80" w:type="dxa"/>
              <w:end w:w="100" w:type="dxa"/>
            </w:tcMar>
            <w:vAlign w:val="center"/>
          </w:tcPr>
          <w:p>
            <w:pPr>
              <w:spacing w:before="20" w:after="20"/>
            </w:pPr>
            <w:r>
              <w:rPr>
                <w:sz w:val="19"/>
              </w:rPr>
              <w:t>VEX- plus first 8 characters</w:t>
            </w:r>
          </w:p>
        </w:tc>
      </w:tr>
      <w:tr>
        <w:trPr>
          <w:cantSplit/>
        </w:trPr>
        <w:tc>
          <w:tcPr>
            <w:tcW w:type="dxa" w:w="2160"/>
            <w:tcMar>
              <w:top w:w="80" w:type="dxa"/>
              <w:start w:w="100" w:type="dxa"/>
              <w:bottom w:w="80" w:type="dxa"/>
              <w:end w:w="100" w:type="dxa"/>
            </w:tcMar>
            <w:vAlign w:val="center"/>
          </w:tcPr>
          <w:p>
            <w:pPr>
              <w:spacing w:before="20" w:after="20"/>
            </w:pPr>
            <w:r>
              <w:rPr>
                <w:sz w:val="19"/>
              </w:rPr>
              <w:t>Correction</w:t>
            </w:r>
          </w:p>
        </w:tc>
        <w:tc>
          <w:tcPr>
            <w:tcW w:type="dxa" w:w="3240"/>
            <w:tcMar>
              <w:top w:w="80" w:type="dxa"/>
              <w:start w:w="100" w:type="dxa"/>
              <w:bottom w:w="80" w:type="dxa"/>
              <w:end w:w="100" w:type="dxa"/>
            </w:tcMar>
            <w:vAlign w:val="center"/>
          </w:tcPr>
          <w:p>
            <w:pPr>
              <w:spacing w:before="20" w:after="20"/>
            </w:pPr>
            <w:r>
              <w:rPr>
                <w:sz w:val="19"/>
              </w:rPr>
              <w:t>UUID v4</w:t>
            </w:r>
          </w:p>
        </w:tc>
        <w:tc>
          <w:tcPr>
            <w:tcW w:type="dxa" w:w="3960"/>
            <w:tcMar>
              <w:top w:w="80" w:type="dxa"/>
              <w:start w:w="100" w:type="dxa"/>
              <w:bottom w:w="80" w:type="dxa"/>
              <w:end w:w="100" w:type="dxa"/>
            </w:tcMar>
            <w:vAlign w:val="center"/>
          </w:tcPr>
          <w:p>
            <w:pPr>
              <w:spacing w:before="20" w:after="20"/>
            </w:pPr>
            <w:r>
              <w:rPr>
                <w:sz w:val="19"/>
              </w:rPr>
              <w:t>COR- plus first 8 characters</w:t>
            </w:r>
          </w:p>
        </w:tc>
      </w:tr>
      <w:tr>
        <w:trPr>
          <w:cantSplit/>
        </w:trPr>
        <w:tc>
          <w:tcPr>
            <w:tcW w:type="dxa" w:w="2160"/>
            <w:tcMar>
              <w:top w:w="80" w:type="dxa"/>
              <w:start w:w="100" w:type="dxa"/>
              <w:bottom w:w="80" w:type="dxa"/>
              <w:end w:w="100" w:type="dxa"/>
            </w:tcMar>
            <w:vAlign w:val="center"/>
          </w:tcPr>
          <w:p>
            <w:pPr>
              <w:spacing w:before="20" w:after="20"/>
            </w:pPr>
            <w:r>
              <w:rPr>
                <w:sz w:val="19"/>
              </w:rPr>
              <w:t>Evidence package</w:t>
            </w:r>
          </w:p>
        </w:tc>
        <w:tc>
          <w:tcPr>
            <w:tcW w:type="dxa" w:w="3240"/>
            <w:tcMar>
              <w:top w:w="80" w:type="dxa"/>
              <w:start w:w="100" w:type="dxa"/>
              <w:bottom w:w="80" w:type="dxa"/>
              <w:end w:w="100" w:type="dxa"/>
            </w:tcMar>
            <w:vAlign w:val="center"/>
          </w:tcPr>
          <w:p>
            <w:pPr>
              <w:spacing w:before="20" w:after="20"/>
            </w:pPr>
            <w:r>
              <w:rPr>
                <w:sz w:val="19"/>
              </w:rPr>
              <w:t>UUID v4</w:t>
            </w:r>
          </w:p>
        </w:tc>
        <w:tc>
          <w:tcPr>
            <w:tcW w:type="dxa" w:w="3960"/>
            <w:tcMar>
              <w:top w:w="80" w:type="dxa"/>
              <w:start w:w="100" w:type="dxa"/>
              <w:bottom w:w="80" w:type="dxa"/>
              <w:end w:w="100" w:type="dxa"/>
            </w:tcMar>
            <w:vAlign w:val="center"/>
          </w:tcPr>
          <w:p>
            <w:pPr>
              <w:spacing w:before="20" w:after="20"/>
            </w:pPr>
            <w:r>
              <w:rPr>
                <w:sz w:val="19"/>
              </w:rPr>
              <w:t>PKG- plus first 8 characters</w:t>
            </w:r>
          </w:p>
        </w:tc>
      </w:tr>
    </w:tbl>
    <w:p>
      <w:pPr>
        <w:spacing w:after="0"/>
      </w:pPr>
    </w:p>
    <w:p>
      <w:pPr>
        <w:spacing w:before="120" w:after="120"/>
      </w:pPr>
      <w:r>
        <w:rPr>
          <w:b w:val="0"/>
          <w:i w:val="0"/>
        </w:rPr>
        <w:t>The complete UUID is authoritative and exported. Short labels are display conveniences only; the interface provides copyable full identities in record detail. UUID generation adds uniqueness but no ordering semantics. Chronology uses controlled time and explicit sequence numbers.</w:t>
      </w:r>
    </w:p>
    <w:p>
      <w:pPr>
        <w:pStyle w:val="Heading2"/>
        <w:keepNext/>
      </w:pPr>
      <w:r>
        <w:t>10.3 Time</w:t>
      </w:r>
    </w:p>
    <w:p>
      <w:pPr>
        <w:spacing w:before="120" w:after="120"/>
      </w:pPr>
      <w:r>
        <w:rPr>
          <w:b w:val="0"/>
          <w:i w:val="0"/>
        </w:rPr>
        <w:t>All scenario timestamps are serialized as ISO 8601 UTC instants with millisecond precision and are supplied by the controlled scenario clock. Telemetry age is calculated in integer milliseconds: age from 0 through 60,000 ms inclusive is FRESH; age greater than 60,000 ms is STALE; a negative age is INVALID_TIMESTAMP. Wall-clock creation metadata may be recorded separately and is never an engineering input.</w:t>
      </w:r>
    </w:p>
    <w:p>
      <w:pPr>
        <w:pStyle w:val="Heading2"/>
        <w:keepNext/>
      </w:pPr>
      <w:r>
        <w:t>10.4 Engineering Quantities</w:t>
      </w:r>
    </w:p>
    <w:p>
      <w:pPr>
        <w:spacing w:before="120" w:after="120"/>
      </w:pPr>
      <w:r>
        <w:rPr>
          <w:b w:val="0"/>
          <w:i w:val="0"/>
        </w:rPr>
        <w:t>Loads and capacities are stored as integer kilowatts to avoid binary floating-point ambiguity while the interface displays the approved MW values. Customer counts are integers. Loading percentage is derived with decimal arithmetic and displayed to one decimal place, preserving the formal 5.70 MW / 6.00 MW × 100 = 95.0% result. Presentation rounding cannot feed back into a permissive decision.</w:t>
      </w:r>
    </w:p>
    <w:p>
      <w:pPr>
        <w:pStyle w:val="Heading2"/>
        <w:keepNext/>
      </w:pPr>
      <w:r>
        <w:t>10.5 Application Build Identity</w:t>
      </w:r>
    </w:p>
    <w:p>
      <w:pPr>
        <w:spacing w:before="120" w:after="120"/>
      </w:pPr>
      <w:r>
        <w:rPr>
          <w:b w:val="0"/>
          <w:i w:val="0"/>
        </w:rPr>
        <w:t>A build manifest records the Git commit identifier, whether the working tree was dirty when built, Python and Node versions, dependency-lock hashes, frontend bundle hash and backend source hash. Its SHA-256 becomes application_build_id. A dirty marker does not invent a new workflow gate, but it remains visible in evidence. The v1.0 failure and v1.1 direct repeat must reference the same build ID as required by AD-WF-014.</w:t>
      </w:r>
    </w:p>
    <w:p>
      <w:pPr>
        <w:pStyle w:val="Heading1"/>
        <w:keepNext/>
      </w:pPr>
      <w:r>
        <w:t>11. Application Service and API Design</w:t>
      </w:r>
    </w:p>
    <w:p>
      <w:pPr>
        <w:spacing w:before="120" w:after="120"/>
      </w:pPr>
      <w:r>
        <w:rPr>
          <w:b w:val="0"/>
          <w:i w:val="0"/>
        </w:rPr>
        <w:t>The HTTP API is local and versioned at `/api/v1`. It is a typed boundary between the browser and the backend coordinator, not an OT protocol simulation. FastAPI/Pydantic schemas produce OpenAPI/JSON Schema for review, but generated schemas do not become the engineering authority.</w:t>
      </w:r>
    </w:p>
    <w:p>
      <w:pPr>
        <w:pStyle w:val="Heading2"/>
        <w:keepNext/>
      </w:pPr>
      <w:r>
        <w:t>11.1 Query Interfaces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4320"/>
            <w:shd w:fill="E7E7E7"/>
            <w:tcMar>
              <w:top w:w="80" w:type="dxa"/>
              <w:start w:w="100" w:type="dxa"/>
              <w:bottom w:w="80" w:type="dxa"/>
              <w:end w:w="100" w:type="dxa"/>
            </w:tcMar>
            <w:vAlign w:val="center"/>
          </w:tcPr>
          <w:p>
            <w:pPr>
              <w:spacing w:before="40" w:after="40"/>
              <w:jc w:val="center"/>
            </w:pPr>
            <w:r>
              <w:rPr>
                <w:b/>
                <w:sz w:val="17"/>
              </w:rPr>
              <w:t>Interface</w:t>
            </w:r>
          </w:p>
        </w:tc>
        <w:tc>
          <w:tcPr>
            <w:tcW w:type="dxa" w:w="5040"/>
            <w:shd w:fill="E7E7E7"/>
            <w:tcMar>
              <w:top w:w="80" w:type="dxa"/>
              <w:start w:w="100" w:type="dxa"/>
              <w:bottom w:w="80" w:type="dxa"/>
              <w:end w:w="100" w:type="dxa"/>
            </w:tcMar>
            <w:vAlign w:val="center"/>
          </w:tcPr>
          <w:p>
            <w:pPr>
              <w:spacing w:before="40" w:after="40"/>
              <w:jc w:val="center"/>
            </w:pPr>
            <w:r>
              <w:rPr>
                <w:b/>
                <w:sz w:val="17"/>
              </w:rPr>
              <w:t>Purpose</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GET /catalog/configurations</w:t>
            </w:r>
          </w:p>
        </w:tc>
        <w:tc>
          <w:tcPr>
            <w:tcW w:type="dxa" w:w="5040"/>
            <w:tcMar>
              <w:top w:w="80" w:type="dxa"/>
              <w:start w:w="100" w:type="dxa"/>
              <w:bottom w:w="80" w:type="dxa"/>
              <w:end w:w="100" w:type="dxa"/>
            </w:tcMar>
            <w:vAlign w:val="center"/>
          </w:tcPr>
          <w:p>
            <w:pPr>
              <w:spacing w:before="20" w:after="20"/>
            </w:pPr>
            <w:r>
              <w:rPr>
                <w:sz w:val="17"/>
              </w:rPr>
              <w:t>List controlled configuration identities, status and hashes.</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GET /catalog/test-definitions</w:t>
            </w:r>
          </w:p>
        </w:tc>
        <w:tc>
          <w:tcPr>
            <w:tcW w:type="dxa" w:w="5040"/>
            <w:tcMar>
              <w:top w:w="80" w:type="dxa"/>
              <w:start w:w="100" w:type="dxa"/>
              <w:bottom w:w="80" w:type="dxa"/>
              <w:end w:w="100" w:type="dxa"/>
            </w:tcMar>
            <w:vAlign w:val="center"/>
          </w:tcPr>
          <w:p>
            <w:pPr>
              <w:spacing w:before="20" w:after="20"/>
            </w:pPr>
            <w:r>
              <w:rPr>
                <w:sz w:val="17"/>
              </w:rPr>
              <w:t>List approved formal tests and fixed summary metadata.</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GET /runs/{run_id}/snapshot</w:t>
            </w:r>
          </w:p>
        </w:tc>
        <w:tc>
          <w:tcPr>
            <w:tcW w:type="dxa" w:w="5040"/>
            <w:tcMar>
              <w:top w:w="80" w:type="dxa"/>
              <w:start w:w="100" w:type="dxa"/>
              <w:bottom w:w="80" w:type="dxa"/>
              <w:end w:w="100" w:type="dxa"/>
            </w:tcMar>
            <w:vAlign w:val="center"/>
          </w:tcPr>
          <w:p>
            <w:pPr>
              <w:spacing w:before="20" w:after="20"/>
            </w:pPr>
            <w:r>
              <w:rPr>
                <w:sz w:val="17"/>
              </w:rPr>
              <w:t>Return one complete presentation projection with revision and allowed actions.</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GET /runs/{run_id}/events</w:t>
            </w:r>
          </w:p>
        </w:tc>
        <w:tc>
          <w:tcPr>
            <w:tcW w:type="dxa" w:w="5040"/>
            <w:tcMar>
              <w:top w:w="80" w:type="dxa"/>
              <w:start w:w="100" w:type="dxa"/>
              <w:bottom w:w="80" w:type="dxa"/>
              <w:end w:w="100" w:type="dxa"/>
            </w:tcMar>
            <w:vAlign w:val="center"/>
          </w:tcPr>
          <w:p>
            <w:pPr>
              <w:spacing w:before="20" w:after="20"/>
            </w:pPr>
            <w:r>
              <w:rPr>
                <w:sz w:val="17"/>
              </w:rPr>
              <w:t>Return ordered operational events; filtering does not change chronology.</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GET /validation-executions/{id}</w:t>
            </w:r>
          </w:p>
        </w:tc>
        <w:tc>
          <w:tcPr>
            <w:tcW w:type="dxa" w:w="5040"/>
            <w:tcMar>
              <w:top w:w="80" w:type="dxa"/>
              <w:start w:w="100" w:type="dxa"/>
              <w:bottom w:w="80" w:type="dxa"/>
              <w:end w:w="100" w:type="dxa"/>
            </w:tcMar>
            <w:vAlign w:val="center"/>
          </w:tcPr>
          <w:p>
            <w:pPr>
              <w:spacing w:before="20" w:after="20"/>
            </w:pPr>
            <w:r>
              <w:rPr>
                <w:sz w:val="17"/>
              </w:rPr>
              <w:t>Return definition, checkpoints, expected/observed, determination and links.</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GET /evidence/{id}</w:t>
            </w:r>
          </w:p>
        </w:tc>
        <w:tc>
          <w:tcPr>
            <w:tcW w:type="dxa" w:w="5040"/>
            <w:tcMar>
              <w:top w:w="80" w:type="dxa"/>
              <w:start w:w="100" w:type="dxa"/>
              <w:bottom w:w="80" w:type="dxa"/>
              <w:end w:w="100" w:type="dxa"/>
            </w:tcMar>
            <w:vAlign w:val="center"/>
          </w:tcPr>
          <w:p>
            <w:pPr>
              <w:spacing w:before="20" w:after="20"/>
            </w:pPr>
            <w:r>
              <w:rPr>
                <w:sz w:val="17"/>
              </w:rPr>
              <w:t>Return immutable evidence metadata and payload/reference.</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GET /defects/DEF-001</w:t>
            </w:r>
          </w:p>
        </w:tc>
        <w:tc>
          <w:tcPr>
            <w:tcW w:type="dxa" w:w="5040"/>
            <w:tcMar>
              <w:top w:w="80" w:type="dxa"/>
              <w:start w:w="100" w:type="dxa"/>
              <w:bottom w:w="80" w:type="dxa"/>
              <w:end w:w="100" w:type="dxa"/>
            </w:tcMar>
            <w:vAlign w:val="center"/>
          </w:tcPr>
          <w:p>
            <w:pPr>
              <w:spacing w:before="20" w:after="20"/>
            </w:pPr>
            <w:r>
              <w:rPr>
                <w:sz w:val="17"/>
              </w:rPr>
              <w:t>Return investigation record only when the controlled investigation context is available.</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GET /configurations/compare?v1=v1.0&amp;v2=v1.1</w:t>
            </w:r>
          </w:p>
        </w:tc>
        <w:tc>
          <w:tcPr>
            <w:tcW w:type="dxa" w:w="5040"/>
            <w:tcMar>
              <w:top w:w="80" w:type="dxa"/>
              <w:start w:w="100" w:type="dxa"/>
              <w:bottom w:w="80" w:type="dxa"/>
              <w:end w:w="100" w:type="dxa"/>
            </w:tcMar>
            <w:vAlign w:val="center"/>
          </w:tcPr>
          <w:p>
            <w:pPr>
              <w:spacing w:before="20" w:after="20"/>
            </w:pPr>
            <w:r>
              <w:rPr>
                <w:sz w:val="17"/>
              </w:rPr>
              <w:t>Return explicit structured difference for investigation/correction review.</w:t>
            </w:r>
          </w:p>
        </w:tc>
      </w:tr>
    </w:tbl>
    <w:p>
      <w:pPr>
        <w:spacing w:after="0"/>
      </w:pPr>
    </w:p>
    <w:p>
      <w:pPr>
        <w:pStyle w:val="Heading2"/>
        <w:keepNext/>
      </w:pPr>
      <w:r>
        <w:t>11.2 Command Interfaces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4320"/>
            <w:shd w:fill="E7E7E7"/>
            <w:tcMar>
              <w:top w:w="80" w:type="dxa"/>
              <w:start w:w="100" w:type="dxa"/>
              <w:bottom w:w="80" w:type="dxa"/>
              <w:end w:w="100" w:type="dxa"/>
            </w:tcMar>
            <w:vAlign w:val="center"/>
          </w:tcPr>
          <w:p>
            <w:pPr>
              <w:spacing w:before="40" w:after="40"/>
              <w:jc w:val="center"/>
            </w:pPr>
            <w:r>
              <w:rPr>
                <w:b/>
                <w:sz w:val="17"/>
              </w:rPr>
              <w:t>Interface</w:t>
            </w:r>
          </w:p>
        </w:tc>
        <w:tc>
          <w:tcPr>
            <w:tcW w:type="dxa" w:w="5040"/>
            <w:shd w:fill="E7E7E7"/>
            <w:tcMar>
              <w:top w:w="80" w:type="dxa"/>
              <w:start w:w="100" w:type="dxa"/>
              <w:bottom w:w="80" w:type="dxa"/>
              <w:end w:w="100" w:type="dxa"/>
            </w:tcMar>
            <w:vAlign w:val="center"/>
          </w:tcPr>
          <w:p>
            <w:pPr>
              <w:spacing w:before="40" w:after="40"/>
              <w:jc w:val="center"/>
            </w:pPr>
            <w:r>
              <w:rPr>
                <w:b/>
                <w:sz w:val="17"/>
              </w:rPr>
              <w:t>Command responsibility</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POST /runs</w:t>
            </w:r>
          </w:p>
        </w:tc>
        <w:tc>
          <w:tcPr>
            <w:tcW w:type="dxa" w:w="5040"/>
            <w:tcMar>
              <w:top w:w="80" w:type="dxa"/>
              <w:start w:w="100" w:type="dxa"/>
              <w:bottom w:w="80" w:type="dxa"/>
              <w:end w:w="100" w:type="dxa"/>
            </w:tcMar>
            <w:vAlign w:val="center"/>
          </w:tcPr>
          <w:p>
            <w:pPr>
              <w:spacing w:before="20" w:after="20"/>
            </w:pPr>
            <w:r>
              <w:rPr>
                <w:sz w:val="17"/>
              </w:rPr>
              <w:t>Initialise FORMAL or EXPLORATION run from controlled inputs and return initial complete snapshot.</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POST /runs/{run_id}/commands</w:t>
            </w:r>
          </w:p>
        </w:tc>
        <w:tc>
          <w:tcPr>
            <w:tcW w:type="dxa" w:w="5040"/>
            <w:tcMar>
              <w:top w:w="80" w:type="dxa"/>
              <w:start w:w="100" w:type="dxa"/>
              <w:bottom w:w="80" w:type="dxa"/>
              <w:end w:w="100" w:type="dxa"/>
            </w:tcMar>
            <w:vAlign w:val="center"/>
          </w:tcPr>
          <w:p>
            <w:pPr>
              <w:spacing w:before="20" w:after="20"/>
            </w:pPr>
            <w:r>
              <w:rPr>
                <w:sz w:val="17"/>
              </w:rPr>
              <w:t>Submit one Step 7 command envelope: command_id, actor, expected_revision, command_type, target/payload and controlled request time.</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POST /validation-executions</w:t>
            </w:r>
          </w:p>
        </w:tc>
        <w:tc>
          <w:tcPr>
            <w:tcW w:type="dxa" w:w="5040"/>
            <w:tcMar>
              <w:top w:w="80" w:type="dxa"/>
              <w:start w:w="100" w:type="dxa"/>
              <w:bottom w:w="80" w:type="dxa"/>
              <w:end w:w="100" w:type="dxa"/>
            </w:tcMar>
            <w:vAlign w:val="center"/>
          </w:tcPr>
          <w:p>
            <w:pPr>
              <w:spacing w:before="20" w:after="20"/>
            </w:pPr>
            <w:r>
              <w:rPr>
                <w:sz w:val="17"/>
              </w:rPr>
              <w:t>Start a new execution linked to approved definition and run; freeze expected result before action.</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POST /validation-executions/{id}/checkpoints</w:t>
            </w:r>
          </w:p>
        </w:tc>
        <w:tc>
          <w:tcPr>
            <w:tcW w:type="dxa" w:w="5040"/>
            <w:tcMar>
              <w:top w:w="80" w:type="dxa"/>
              <w:start w:w="100" w:type="dxa"/>
              <w:bottom w:w="80" w:type="dxa"/>
              <w:end w:w="100" w:type="dxa"/>
            </w:tcMar>
            <w:vAlign w:val="center"/>
          </w:tcPr>
          <w:p>
            <w:pPr>
              <w:spacing w:before="20" w:after="20"/>
            </w:pPr>
            <w:r>
              <w:rPr>
                <w:sz w:val="17"/>
              </w:rPr>
              <w:t>Capture a defined checkpoint from exact source record IDs without state mutation.</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POST /validation-executions/{id}/complete</w:t>
            </w:r>
          </w:p>
        </w:tc>
        <w:tc>
          <w:tcPr>
            <w:tcW w:type="dxa" w:w="5040"/>
            <w:tcMar>
              <w:top w:w="80" w:type="dxa"/>
              <w:start w:w="100" w:type="dxa"/>
              <w:bottom w:w="80" w:type="dxa"/>
              <w:end w:w="100" w:type="dxa"/>
            </w:tcMar>
            <w:vAlign w:val="center"/>
          </w:tcPr>
          <w:p>
            <w:pPr>
              <w:spacing w:before="20" w:after="20"/>
            </w:pPr>
            <w:r>
              <w:rPr>
                <w:sz w:val="17"/>
              </w:rPr>
              <w:t>Derive observed result from checkpoints, compare and finalise PASS/FAIL.</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POST /defects</w:t>
            </w:r>
          </w:p>
        </w:tc>
        <w:tc>
          <w:tcPr>
            <w:tcW w:type="dxa" w:w="5040"/>
            <w:tcMar>
              <w:top w:w="80" w:type="dxa"/>
              <w:start w:w="100" w:type="dxa"/>
              <w:bottom w:w="80" w:type="dxa"/>
              <w:end w:w="100" w:type="dxa"/>
            </w:tcMar>
            <w:vAlign w:val="center"/>
          </w:tcPr>
          <w:p>
            <w:pPr>
              <w:spacing w:before="20" w:after="20"/>
            </w:pPr>
            <w:r>
              <w:rPr>
                <w:sz w:val="17"/>
              </w:rPr>
              <w:t>Record DEF-001 root-cause conclusion linked to failed execution and evidence.</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POST /corrections</w:t>
            </w:r>
          </w:p>
        </w:tc>
        <w:tc>
          <w:tcPr>
            <w:tcW w:type="dxa" w:w="5040"/>
            <w:tcMar>
              <w:top w:w="80" w:type="dxa"/>
              <w:start w:w="100" w:type="dxa"/>
              <w:bottom w:w="80" w:type="dxa"/>
              <w:end w:w="100" w:type="dxa"/>
            </w:tcMar>
            <w:vAlign w:val="center"/>
          </w:tcPr>
          <w:p>
            <w:pPr>
              <w:spacing w:before="20" w:after="20"/>
            </w:pPr>
            <w:r>
              <w:rPr>
                <w:sz w:val="17"/>
              </w:rPr>
              <w:t>Record approved v1.0-to-v1.1 correction relationship; does not edit configuration in place.</w:t>
            </w:r>
          </w:p>
        </w:tc>
      </w:tr>
      <w:tr>
        <w:trPr>
          <w:cantSplit/>
        </w:trPr>
        <w:tc>
          <w:tcPr>
            <w:tcW w:type="dxa" w:w="4320"/>
            <w:tcMar>
              <w:top w:w="80" w:type="dxa"/>
              <w:start w:w="100" w:type="dxa"/>
              <w:bottom w:w="80" w:type="dxa"/>
              <w:end w:w="100" w:type="dxa"/>
            </w:tcMar>
            <w:vAlign w:val="center"/>
          </w:tcPr>
          <w:p>
            <w:pPr>
              <w:spacing w:before="20" w:after="20"/>
            </w:pPr>
            <w:r>
              <w:rPr>
                <w:rFonts w:ascii="Roboto Mono" w:hAnsi="Roboto Mono" w:eastAsia="Roboto Mono"/>
                <w:color w:val="188038"/>
                <w:sz w:val="17"/>
              </w:rPr>
              <w:t>POST /evidence-packages</w:t>
            </w:r>
          </w:p>
        </w:tc>
        <w:tc>
          <w:tcPr>
            <w:tcW w:type="dxa" w:w="5040"/>
            <w:tcMar>
              <w:top w:w="80" w:type="dxa"/>
              <w:start w:w="100" w:type="dxa"/>
              <w:bottom w:w="80" w:type="dxa"/>
              <w:end w:w="100" w:type="dxa"/>
            </w:tcMar>
            <w:vAlign w:val="center"/>
          </w:tcPr>
          <w:p>
            <w:pPr>
              <w:spacing w:before="20" w:after="20"/>
            </w:pPr>
            <w:r>
              <w:rPr>
                <w:sz w:val="17"/>
              </w:rPr>
              <w:t>Assemble a new immutable export package from one preserved execution or exploratory record set.</w:t>
            </w:r>
          </w:p>
        </w:tc>
      </w:tr>
    </w:tbl>
    <w:p>
      <w:pPr>
        <w:spacing w:after="0"/>
      </w:pPr>
    </w:p>
    <w:p>
      <w:pPr>
        <w:pStyle w:val="Heading2"/>
        <w:keepNext/>
      </w:pPr>
      <w:r>
        <w:t>11.3 Command Result Envelope</w:t>
      </w:r>
    </w:p>
    <w:p>
      <w:pPr>
        <w:spacing w:before="120" w:after="120"/>
      </w:pPr>
      <w:r>
        <w:rPr>
          <w:b w:val="0"/>
          <w:i w:val="0"/>
        </w:rPr>
        <w:t>Every command response includes command_id, accepted flag, reason_code and engineering-readable reason, prior_revision, current_revision, run status, newly created event/assessment IDs and a complete current workspace projection with allowed_actions. An unavailable command returns HTTP conflict/validation semantics as appropriate but leaves the current run unchanged. The browser replaces its state only with the returned complete projection.</w:t>
      </w:r>
    </w:p>
    <w:p>
      <w:pPr>
        <w:pStyle w:val="Heading1"/>
        <w:keepNext/>
      </w:pPr>
      <w:r>
        <w:t>12. Deterministic Command and Transaction Handling</w:t>
      </w:r>
    </w:p>
    <w:p>
      <w:pPr>
        <w:pStyle w:val="Heading2"/>
        <w:keepNext/>
      </w:pPr>
      <w:r>
        <w:t>12.1 State-Changing Sequence</w:t>
      </w:r>
    </w:p>
    <w:p>
      <w:pPr>
        <w:spacing w:before="0" w:after="40"/>
        <w:ind w:left="720" w:hanging="360"/>
      </w:pPr>
      <w:r>
        <w:rPr>
          <w:b/>
        </w:rPr>
        <w:t>•</w:t>
      </w:r>
      <w:r>
        <w:tab/>
        <w:t>validate schema, actor, run, mode, command type and target;</w:t>
      </w:r>
    </w:p>
    <w:p>
      <w:pPr>
        <w:spacing w:before="0" w:after="40"/>
        <w:ind w:left="720" w:hanging="360"/>
      </w:pPr>
      <w:r>
        <w:rPr>
          <w:b/>
        </w:rPr>
        <w:t>•</w:t>
      </w:r>
      <w:r>
        <w:tab/>
        <w:t>check command_id for a prior identical result and return that result if it is a duplicate submission;</w:t>
      </w:r>
    </w:p>
    <w:p>
      <w:pPr>
        <w:spacing w:before="0" w:after="40"/>
        <w:ind w:left="720" w:hanging="360"/>
      </w:pPr>
      <w:r>
        <w:rPr>
          <w:b/>
        </w:rPr>
        <w:t>•</w:t>
      </w:r>
      <w:r>
        <w:tab/>
        <w:t>load current run and compare expected_revision;</w:t>
      </w:r>
    </w:p>
    <w:p>
      <w:pPr>
        <w:spacing w:before="0" w:after="40"/>
        <w:ind w:left="720" w:hanging="360"/>
      </w:pPr>
      <w:r>
        <w:rPr>
          <w:b/>
        </w:rPr>
        <w:t>•</w:t>
      </w:r>
      <w:r>
        <w:tab/>
        <w:t>evaluate Step 7 availability gates and return a reason if unavailable;</w:t>
      </w:r>
    </w:p>
    <w:p>
      <w:pPr>
        <w:spacing w:before="0" w:after="40"/>
        <w:ind w:left="720" w:hanging="360"/>
      </w:pPr>
      <w:r>
        <w:rPr>
          <w:b/>
        </w:rPr>
        <w:t>•</w:t>
      </w:r>
      <w:r>
        <w:tab/>
        <w:t>begin the database transaction and advance controlled time only as defined by the test/workflow input;</w:t>
      </w:r>
    </w:p>
    <w:p>
      <w:pPr>
        <w:spacing w:before="0" w:after="40"/>
        <w:ind w:left="720" w:hanging="360"/>
      </w:pPr>
      <w:r>
        <w:rPr>
          <w:b/>
        </w:rPr>
        <w:t>•</w:t>
      </w:r>
      <w:r>
        <w:tab/>
        <w:t>apply the single authorised scenario, telemetry or device mutation;</w:t>
      </w:r>
    </w:p>
    <w:p>
      <w:pPr>
        <w:spacing w:before="0" w:after="40"/>
        <w:ind w:left="720" w:hanging="360"/>
      </w:pPr>
      <w:r>
        <w:rPr>
          <w:b/>
        </w:rPr>
        <w:t>•</w:t>
      </w:r>
      <w:r>
        <w:tab/>
        <w:t>append initiating event content; increment state_revision;</w:t>
      </w:r>
    </w:p>
    <w:p>
      <w:pPr>
        <w:spacing w:before="0" w:after="40"/>
        <w:ind w:left="720" w:hanging="360"/>
      </w:pPr>
      <w:r>
        <w:rPr>
          <w:b/>
        </w:rPr>
        <w:t>•</w:t>
      </w:r>
      <w:r>
        <w:tab/>
        <w:t>calculate active graph, source paths, energisation, isolation and radiality using deterministic stable ordering;</w:t>
      </w:r>
    </w:p>
    <w:p>
      <w:pPr>
        <w:spacing w:before="0" w:after="40"/>
        <w:ind w:left="720" w:hanging="360"/>
      </w:pPr>
      <w:r>
        <w:rPr>
          <w:b/>
        </w:rPr>
        <w:t>•</w:t>
      </w:r>
      <w:r>
        <w:tab/>
        <w:t>calculate outage sections, customer zones, affected total and restored delta;</w:t>
      </w:r>
    </w:p>
    <w:p>
      <w:pPr>
        <w:spacing w:before="0" w:after="40"/>
        <w:ind w:left="720" w:hanging="360"/>
      </w:pPr>
      <w:r>
        <w:rPr>
          <w:b/>
        </w:rPr>
        <w:t>•</w:t>
      </w:r>
      <w:r>
        <w:tab/>
        <w:t>invalidate superseded assessments and append consequence events;</w:t>
      </w:r>
    </w:p>
    <w:p>
      <w:pPr>
        <w:spacing w:before="0" w:after="40"/>
        <w:ind w:left="720" w:hanging="360"/>
      </w:pPr>
      <w:r>
        <w:rPr>
          <w:b/>
        </w:rPr>
        <w:t>•</w:t>
      </w:r>
      <w:r>
        <w:tab/>
        <w:t>persist one complete revision and commit; and</w:t>
      </w:r>
    </w:p>
    <w:p>
      <w:pPr>
        <w:spacing w:before="0" w:after="40"/>
        <w:ind w:left="720" w:hanging="360"/>
      </w:pPr>
      <w:r>
        <w:rPr>
          <w:b/>
        </w:rPr>
        <w:t>•</w:t>
      </w:r>
      <w:r>
        <w:tab/>
        <w:t>return the newly assembled projection and allowed actions.</w:t>
      </w:r>
    </w:p>
    <w:p>
      <w:pPr>
        <w:pStyle w:val="Heading2"/>
        <w:keepNext/>
      </w:pPr>
      <w:r>
        <w:t>12.2 Assessment-Only Sequence</w:t>
      </w:r>
    </w:p>
    <w:p>
      <w:pPr>
        <w:spacing w:before="120" w:after="120"/>
      </w:pPr>
      <w:r>
        <w:rPr>
          <w:b w:val="0"/>
          <w:i w:val="0"/>
        </w:rPr>
        <w:t>ASSESS_RESTORATION reads one committed run/configuration/revision, discovers a candidate or records no candidate, captures the required telemetry snapshot, evaluates BLOCKED precedence then engineering criteria and capacity, inserts the immutable assessment and assessment events, and returns the updated workspace. It does not change device state, topology snapshot or state_revision. A database transaction still ensures that the assessment and its links are inserted together.</w:t>
      </w:r>
    </w:p>
    <w:p>
      <w:pPr>
        <w:pStyle w:val="Heading2"/>
        <w:keepNext/>
      </w:pPr>
      <w:r>
        <w:t>12.3 Idempotency and Double-Action Protection</w:t>
      </w:r>
    </w:p>
    <w:p>
      <w:pPr>
        <w:spacing w:before="120" w:after="120"/>
      </w:pPr>
      <w:r>
        <w:rPr>
          <w:b w:val="0"/>
          <w:i w:val="0"/>
        </w:rPr>
        <w:t>The browser generates command_id before submission and disables that action while a response is pending. If a retry presents the same command_id and payload, the backend returns the stored result rather than applying the action twice. A reused command_id with different content is rejected as invalid. This is a demonstrator reliability decision and does not alter action availability.</w:t>
      </w:r>
    </w:p>
    <w:p>
      <w:pPr>
        <w:pStyle w:val="Heading1"/>
        <w:keepNext/>
      </w:pPr>
      <w:r>
        <w:t>13. Presentation Architecture</w:t>
      </w:r>
    </w:p>
    <w:p>
      <w:pPr>
        <w:spacing w:before="120" w:after="120"/>
      </w:pPr>
      <w:r>
        <w:rPr>
          <w:b w:val="0"/>
          <w:i w:val="0"/>
        </w:rPr>
        <w:t>The frontend receives backend-generated read models tailored to the workspace. Each read model identifies the run, configuration, revision, mode, workflow stage, evidence class and build before presenting detailed content. The UI can format, sort and filter returned records, but it does not infer energisation, outage, candidate eligibility, action availability or validation judgement.</w:t>
      </w:r>
    </w:p>
    <w:p>
      <w:pPr>
        <w:pStyle w:val="Heading2"/>
        <w:keepNext/>
      </w:pPr>
      <w:r>
        <w:t>13.1 Workspace Projection</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376"/>
            <w:shd w:fill="E7E7E7"/>
            <w:tcMar>
              <w:top w:w="80" w:type="dxa"/>
              <w:start w:w="100" w:type="dxa"/>
              <w:bottom w:w="80" w:type="dxa"/>
              <w:end w:w="100" w:type="dxa"/>
            </w:tcMar>
            <w:vAlign w:val="center"/>
          </w:tcPr>
          <w:p>
            <w:pPr>
              <w:spacing w:before="40" w:after="40"/>
              <w:jc w:val="center"/>
            </w:pPr>
            <w:r>
              <w:rPr>
                <w:b/>
                <w:sz w:val="19"/>
              </w:rPr>
              <w:t>Projection area</w:t>
            </w:r>
          </w:p>
        </w:tc>
        <w:tc>
          <w:tcPr>
            <w:tcW w:type="dxa" w:w="6983"/>
            <w:shd w:fill="E7E7E7"/>
            <w:tcMar>
              <w:top w:w="80" w:type="dxa"/>
              <w:start w:w="100" w:type="dxa"/>
              <w:bottom w:w="80" w:type="dxa"/>
              <w:end w:w="100" w:type="dxa"/>
            </w:tcMar>
            <w:vAlign w:val="center"/>
          </w:tcPr>
          <w:p>
            <w:pPr>
              <w:spacing w:before="40" w:after="40"/>
              <w:jc w:val="center"/>
            </w:pPr>
            <w:r>
              <w:rPr>
                <w:b/>
                <w:sz w:val="19"/>
              </w:rPr>
              <w:t>Content</w:t>
            </w:r>
          </w:p>
        </w:tc>
      </w:tr>
      <w:tr>
        <w:trPr>
          <w:cantSplit/>
        </w:trPr>
        <w:tc>
          <w:tcPr>
            <w:tcW w:type="dxa" w:w="2376"/>
            <w:tcMar>
              <w:top w:w="80" w:type="dxa"/>
              <w:start w:w="100" w:type="dxa"/>
              <w:bottom w:w="80" w:type="dxa"/>
              <w:end w:w="100" w:type="dxa"/>
            </w:tcMar>
            <w:vAlign w:val="center"/>
          </w:tcPr>
          <w:p>
            <w:pPr>
              <w:spacing w:before="20" w:after="20"/>
            </w:pPr>
            <w:r>
              <w:rPr>
                <w:sz w:val="19"/>
              </w:rPr>
              <w:t>Context ribbon</w:t>
            </w:r>
          </w:p>
        </w:tc>
        <w:tc>
          <w:tcPr>
            <w:tcW w:type="dxa" w:w="6983"/>
            <w:tcMar>
              <w:top w:w="80" w:type="dxa"/>
              <w:start w:w="100" w:type="dxa"/>
              <w:bottom w:w="80" w:type="dxa"/>
              <w:end w:w="100" w:type="dxa"/>
            </w:tcMar>
            <w:vAlign w:val="center"/>
          </w:tcPr>
          <w:p>
            <w:pPr>
              <w:spacing w:before="20" w:after="20"/>
            </w:pPr>
            <w:r>
              <w:rPr>
                <w:sz w:val="19"/>
              </w:rPr>
              <w:t>Mode, run ID, configuration, selected/controlled fault section, workflow stage, N-state where applicable, state revision, evidence class and build ID.</w:t>
            </w:r>
          </w:p>
        </w:tc>
      </w:tr>
      <w:tr>
        <w:trPr>
          <w:cantSplit/>
        </w:trPr>
        <w:tc>
          <w:tcPr>
            <w:tcW w:type="dxa" w:w="2376"/>
            <w:tcMar>
              <w:top w:w="80" w:type="dxa"/>
              <w:start w:w="100" w:type="dxa"/>
              <w:bottom w:w="80" w:type="dxa"/>
              <w:end w:w="100" w:type="dxa"/>
            </w:tcMar>
            <w:vAlign w:val="center"/>
          </w:tcPr>
          <w:p>
            <w:pPr>
              <w:spacing w:before="20" w:after="20"/>
            </w:pPr>
            <w:r>
              <w:rPr>
                <w:sz w:val="19"/>
              </w:rPr>
              <w:t>Network projection</w:t>
            </w:r>
          </w:p>
        </w:tc>
        <w:tc>
          <w:tcPr>
            <w:tcW w:type="dxa" w:w="6983"/>
            <w:tcMar>
              <w:top w:w="80" w:type="dxa"/>
              <w:start w:w="100" w:type="dxa"/>
              <w:bottom w:w="80" w:type="dxa"/>
              <w:end w:w="100" w:type="dxa"/>
            </w:tcMar>
            <w:vAlign w:val="center"/>
          </w:tcPr>
          <w:p>
            <w:pPr>
              <w:spacing w:before="20" w:after="20"/>
            </w:pPr>
            <w:r>
              <w:rPr>
                <w:sz w:val="19"/>
              </w:rPr>
              <w:t>Entities/edges with configured identity plus observed device state and derived section state/source attribution supplied separately.</w:t>
            </w:r>
          </w:p>
        </w:tc>
      </w:tr>
      <w:tr>
        <w:trPr>
          <w:cantSplit/>
        </w:trPr>
        <w:tc>
          <w:tcPr>
            <w:tcW w:type="dxa" w:w="2376"/>
            <w:tcMar>
              <w:top w:w="80" w:type="dxa"/>
              <w:start w:w="100" w:type="dxa"/>
              <w:bottom w:w="80" w:type="dxa"/>
              <w:end w:w="100" w:type="dxa"/>
            </w:tcMar>
            <w:vAlign w:val="center"/>
          </w:tcPr>
          <w:p>
            <w:pPr>
              <w:spacing w:before="20" w:after="20"/>
            </w:pPr>
            <w:r>
              <w:rPr>
                <w:sz w:val="19"/>
              </w:rPr>
              <w:t>Summary</w:t>
            </w:r>
          </w:p>
        </w:tc>
        <w:tc>
          <w:tcPr>
            <w:tcW w:type="dxa" w:w="6983"/>
            <w:tcMar>
              <w:top w:w="80" w:type="dxa"/>
              <w:start w:w="100" w:type="dxa"/>
              <w:bottom w:w="80" w:type="dxa"/>
              <w:end w:w="100" w:type="dxa"/>
            </w:tcMar>
            <w:vAlign w:val="center"/>
          </w:tcPr>
          <w:p>
            <w:pPr>
              <w:spacing w:before="20" w:after="20"/>
            </w:pPr>
            <w:r>
              <w:rPr>
                <w:sz w:val="19"/>
              </w:rPr>
              <w:t>Energised/de-energised sections, affected customers, alarm summary and current assessment status.</w:t>
            </w:r>
          </w:p>
        </w:tc>
      </w:tr>
      <w:tr>
        <w:trPr>
          <w:cantSplit/>
        </w:trPr>
        <w:tc>
          <w:tcPr>
            <w:tcW w:type="dxa" w:w="2376"/>
            <w:tcMar>
              <w:top w:w="80" w:type="dxa"/>
              <w:start w:w="100" w:type="dxa"/>
              <w:bottom w:w="80" w:type="dxa"/>
              <w:end w:w="100" w:type="dxa"/>
            </w:tcMar>
            <w:vAlign w:val="center"/>
          </w:tcPr>
          <w:p>
            <w:pPr>
              <w:spacing w:before="20" w:after="20"/>
            </w:pPr>
            <w:r>
              <w:rPr>
                <w:sz w:val="19"/>
              </w:rPr>
              <w:t>Allowed actions</w:t>
            </w:r>
          </w:p>
        </w:tc>
        <w:tc>
          <w:tcPr>
            <w:tcW w:type="dxa" w:w="6983"/>
            <w:tcMar>
              <w:top w:w="80" w:type="dxa"/>
              <w:start w:w="100" w:type="dxa"/>
              <w:bottom w:w="80" w:type="dxa"/>
              <w:end w:w="100" w:type="dxa"/>
            </w:tcMar>
            <w:vAlign w:val="center"/>
          </w:tcPr>
          <w:p>
            <w:pPr>
              <w:spacing w:before="20" w:after="20"/>
            </w:pPr>
            <w:r>
              <w:rPr>
                <w:sz w:val="19"/>
              </w:rPr>
              <w:t>Command type, target, available flag, reason code, reason text, confirmation requirement and expected revision.</w:t>
            </w:r>
          </w:p>
        </w:tc>
      </w:tr>
      <w:tr>
        <w:trPr>
          <w:cantSplit/>
        </w:trPr>
        <w:tc>
          <w:tcPr>
            <w:tcW w:type="dxa" w:w="2376"/>
            <w:tcMar>
              <w:top w:w="80" w:type="dxa"/>
              <w:start w:w="100" w:type="dxa"/>
              <w:bottom w:w="80" w:type="dxa"/>
              <w:end w:w="100" w:type="dxa"/>
            </w:tcMar>
            <w:vAlign w:val="center"/>
          </w:tcPr>
          <w:p>
            <w:pPr>
              <w:spacing w:before="20" w:after="20"/>
            </w:pPr>
            <w:r>
              <w:rPr>
                <w:sz w:val="19"/>
              </w:rPr>
              <w:t>Inspector</w:t>
            </w:r>
          </w:p>
        </w:tc>
        <w:tc>
          <w:tcPr>
            <w:tcW w:type="dxa" w:w="6983"/>
            <w:tcMar>
              <w:top w:w="80" w:type="dxa"/>
              <w:start w:w="100" w:type="dxa"/>
              <w:bottom w:w="80" w:type="dxa"/>
              <w:end w:w="100" w:type="dxa"/>
            </w:tcMar>
            <w:vAlign w:val="center"/>
          </w:tcPr>
          <w:p>
            <w:pPr>
              <w:spacing w:before="20" w:after="20"/>
            </w:pPr>
            <w:r>
              <w:rPr>
                <w:sz w:val="19"/>
              </w:rPr>
              <w:t>Tabbed configured, observed and derived fields plus evidence links where a snapshot exists.</w:t>
            </w:r>
          </w:p>
        </w:tc>
      </w:tr>
      <w:tr>
        <w:trPr>
          <w:cantSplit/>
        </w:trPr>
        <w:tc>
          <w:tcPr>
            <w:tcW w:type="dxa" w:w="2376"/>
            <w:tcMar>
              <w:top w:w="80" w:type="dxa"/>
              <w:start w:w="100" w:type="dxa"/>
              <w:bottom w:w="80" w:type="dxa"/>
              <w:end w:w="100" w:type="dxa"/>
            </w:tcMar>
            <w:vAlign w:val="center"/>
          </w:tcPr>
          <w:p>
            <w:pPr>
              <w:spacing w:before="20" w:after="20"/>
            </w:pPr>
            <w:r>
              <w:rPr>
                <w:sz w:val="19"/>
              </w:rPr>
              <w:t>Timeline</w:t>
            </w:r>
          </w:p>
        </w:tc>
        <w:tc>
          <w:tcPr>
            <w:tcW w:type="dxa" w:w="6983"/>
            <w:tcMar>
              <w:top w:w="80" w:type="dxa"/>
              <w:start w:w="100" w:type="dxa"/>
              <w:bottom w:w="80" w:type="dxa"/>
              <w:end w:w="100" w:type="dxa"/>
            </w:tcMar>
            <w:vAlign w:val="center"/>
          </w:tcPr>
          <w:p>
            <w:pPr>
              <w:spacing w:before="20" w:after="20"/>
            </w:pPr>
            <w:r>
              <w:rPr>
                <w:sz w:val="19"/>
              </w:rPr>
              <w:t>Ordered operational events with source, type, entity, revision and prior/new values.</w:t>
            </w:r>
          </w:p>
        </w:tc>
      </w:tr>
      <w:tr>
        <w:trPr>
          <w:cantSplit/>
        </w:trPr>
        <w:tc>
          <w:tcPr>
            <w:tcW w:type="dxa" w:w="2376"/>
            <w:tcMar>
              <w:top w:w="80" w:type="dxa"/>
              <w:start w:w="100" w:type="dxa"/>
              <w:bottom w:w="80" w:type="dxa"/>
              <w:end w:w="100" w:type="dxa"/>
            </w:tcMar>
            <w:vAlign w:val="center"/>
          </w:tcPr>
          <w:p>
            <w:pPr>
              <w:spacing w:before="20" w:after="20"/>
            </w:pPr>
            <w:r>
              <w:rPr>
                <w:sz w:val="19"/>
              </w:rPr>
              <w:t>Validation progress</w:t>
            </w:r>
          </w:p>
        </w:tc>
        <w:tc>
          <w:tcPr>
            <w:tcW w:type="dxa" w:w="6983"/>
            <w:tcMar>
              <w:top w:w="80" w:type="dxa"/>
              <w:start w:w="100" w:type="dxa"/>
              <w:bottom w:w="80" w:type="dxa"/>
              <w:end w:w="100" w:type="dxa"/>
            </w:tcMar>
            <w:vAlign w:val="center"/>
          </w:tcPr>
          <w:p>
            <w:pPr>
              <w:spacing w:before="20" w:after="20"/>
            </w:pPr>
            <w:r>
              <w:rPr>
                <w:sz w:val="19"/>
              </w:rPr>
              <w:t>Definition, completed checkpoints, expected result, observed result when captured and determination status.</w:t>
            </w:r>
          </w:p>
        </w:tc>
      </w:tr>
    </w:tbl>
    <w:p>
      <w:pPr>
        <w:spacing w:after="0"/>
      </w:pPr>
    </w:p>
    <w:p>
      <w:pPr>
        <w:pStyle w:val="Heading2"/>
        <w:keepNext/>
      </w:pPr>
      <w:r>
        <w:t>13.2 Presentation Layout Metadata</w:t>
      </w:r>
    </w:p>
    <w:p>
      <w:pPr>
        <w:spacing w:before="120" w:after="120"/>
      </w:pPr>
      <w:r>
        <w:rPr>
          <w:b w:val="0"/>
          <w:i w:val="0"/>
        </w:rPr>
        <w:t>The one-line network uses fixed preset x/y coordinates stored in a presentation-only JSON file keyed by stable engineering IDs. The topology engine never reads those coordinates. Cytoscape drag-to-edit and edge creation are disabled; pan, zoom, fit and entity selection are permitted presentation actions only.</w:t>
      </w:r>
    </w:p>
    <w:p>
      <w:pPr>
        <w:pStyle w:val="Heading1"/>
        <w:keepNext/>
      </w:pPr>
      <w:r>
        <w:t>14. View and Screen Register</w:t>
      </w:r>
    </w:p>
    <w:p>
      <w:r>
        <w:drawing>
          <wp:inline>
            <wp:extent cx="5897880" cy="3669792"/>
            <wp:docPr id="2" name="Picture 2" title="Demonstrator navigation model" descr="Diagram linking run setup, operational, telemetry, restoration, formal validation, evidence library and defect investigation views while keeping formal and exploratory records distinct."/>
            <wp:cNvGraphicFramePr>
              <a:graphicFrameLocks noChangeAspect="1"/>
            </wp:cNvGraphicFramePr>
            <a:graphic>
              <a:graphicData uri="http://schemas.openxmlformats.org/drawingml/2006/picture">
                <pic:pic>
                  <pic:nvPicPr>
                    <pic:cNvPr id="0" name="figure-2-view-and-evidence-navigation.png"/>
                    <pic:cNvPicPr/>
                  </pic:nvPicPr>
                  <pic:blipFill>
                    <a:blip r:embed="rId9"/>
                    <a:stretch>
                      <a:fillRect/>
                    </a:stretch>
                  </pic:blipFill>
                  <pic:spPr>
                    <a:xfrm>
                      <a:off x="0" y="0"/>
                      <a:ext cx="5897880" cy="3669792"/>
                    </a:xfrm>
                    <a:prstGeom prst="rect"/>
                  </pic:spPr>
                </pic:pic>
              </a:graphicData>
            </a:graphic>
          </wp:inline>
        </w:drawing>
      </w:r>
    </w:p>
    <w:p>
      <w:pPr>
        <w:spacing w:before="80" w:after="200"/>
        <w:jc w:val="center"/>
      </w:pPr>
      <w:r>
        <w:rPr>
          <w:i/>
          <w:color w:val="434343"/>
        </w:rPr>
        <w:t>Figure 2 — Demonstrator view, evidence and investigation navigation model</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1800"/>
            <w:shd w:fill="E7E7E7"/>
            <w:tcMar>
              <w:top w:w="80" w:type="dxa"/>
              <w:start w:w="100" w:type="dxa"/>
              <w:bottom w:w="80" w:type="dxa"/>
              <w:end w:w="100" w:type="dxa"/>
            </w:tcMar>
            <w:vAlign w:val="center"/>
          </w:tcPr>
          <w:p>
            <w:pPr>
              <w:spacing w:before="40" w:after="40"/>
              <w:jc w:val="center"/>
            </w:pPr>
            <w:r>
              <w:rPr>
                <w:b/>
                <w:sz w:val="16"/>
              </w:rPr>
              <w:t>View</w:t>
            </w:r>
          </w:p>
        </w:tc>
        <w:tc>
          <w:tcPr>
            <w:tcW w:type="dxa" w:w="2232"/>
            <w:shd w:fill="E7E7E7"/>
            <w:tcMar>
              <w:top w:w="80" w:type="dxa"/>
              <w:start w:w="100" w:type="dxa"/>
              <w:bottom w:w="80" w:type="dxa"/>
              <w:end w:w="100" w:type="dxa"/>
            </w:tcMar>
            <w:vAlign w:val="center"/>
          </w:tcPr>
          <w:p>
            <w:pPr>
              <w:spacing w:before="40" w:after="40"/>
              <w:jc w:val="center"/>
            </w:pPr>
            <w:r>
              <w:rPr>
                <w:b/>
                <w:sz w:val="16"/>
              </w:rPr>
              <w:t>Primary purpose</w:t>
            </w:r>
          </w:p>
        </w:tc>
        <w:tc>
          <w:tcPr>
            <w:tcW w:type="dxa" w:w="3888"/>
            <w:shd w:fill="E7E7E7"/>
            <w:tcMar>
              <w:top w:w="80" w:type="dxa"/>
              <w:start w:w="100" w:type="dxa"/>
              <w:bottom w:w="80" w:type="dxa"/>
              <w:end w:w="100" w:type="dxa"/>
            </w:tcMar>
            <w:vAlign w:val="center"/>
          </w:tcPr>
          <w:p>
            <w:pPr>
              <w:spacing w:before="40" w:after="40"/>
              <w:jc w:val="center"/>
            </w:pPr>
            <w:r>
              <w:rPr>
                <w:b/>
                <w:sz w:val="16"/>
              </w:rPr>
              <w:t>Main content</w:t>
            </w:r>
          </w:p>
        </w:tc>
        <w:tc>
          <w:tcPr>
            <w:tcW w:type="dxa" w:w="1440"/>
            <w:shd w:fill="E7E7E7"/>
            <w:tcMar>
              <w:top w:w="80" w:type="dxa"/>
              <w:start w:w="100" w:type="dxa"/>
              <w:bottom w:w="80" w:type="dxa"/>
              <w:end w:w="100" w:type="dxa"/>
            </w:tcMar>
            <w:vAlign w:val="center"/>
          </w:tcPr>
          <w:p>
            <w:pPr>
              <w:spacing w:before="40" w:after="40"/>
              <w:jc w:val="center"/>
            </w:pPr>
            <w:r>
              <w:rPr>
                <w:b/>
                <w:sz w:val="16"/>
              </w:rPr>
              <w:t>State mutation</w:t>
            </w:r>
          </w:p>
        </w:tc>
      </w:tr>
      <w:tr>
        <w:trPr>
          <w:cantSplit/>
        </w:trPr>
        <w:tc>
          <w:tcPr>
            <w:tcW w:type="dxa" w:w="1800"/>
            <w:tcMar>
              <w:top w:w="80" w:type="dxa"/>
              <w:start w:w="100" w:type="dxa"/>
              <w:bottom w:w="80" w:type="dxa"/>
              <w:end w:w="100" w:type="dxa"/>
            </w:tcMar>
            <w:vAlign w:val="center"/>
          </w:tcPr>
          <w:p>
            <w:pPr>
              <w:spacing w:before="20" w:after="20"/>
            </w:pPr>
            <w:r>
              <w:rPr>
                <w:sz w:val="16"/>
              </w:rPr>
              <w:t>Start / Run Setup</w:t>
            </w:r>
          </w:p>
        </w:tc>
        <w:tc>
          <w:tcPr>
            <w:tcW w:type="dxa" w:w="2232"/>
            <w:tcMar>
              <w:top w:w="80" w:type="dxa"/>
              <w:start w:w="100" w:type="dxa"/>
              <w:bottom w:w="80" w:type="dxa"/>
              <w:end w:w="100" w:type="dxa"/>
            </w:tcMar>
            <w:vAlign w:val="center"/>
          </w:tcPr>
          <w:p>
            <w:pPr>
              <w:spacing w:before="20" w:after="20"/>
            </w:pPr>
            <w:r>
              <w:rPr>
                <w:sz w:val="16"/>
              </w:rPr>
              <w:t>Create controlled run or resume review.</w:t>
            </w:r>
          </w:p>
        </w:tc>
        <w:tc>
          <w:tcPr>
            <w:tcW w:type="dxa" w:w="3888"/>
            <w:tcMar>
              <w:top w:w="80" w:type="dxa"/>
              <w:start w:w="100" w:type="dxa"/>
              <w:bottom w:w="80" w:type="dxa"/>
              <w:end w:w="100" w:type="dxa"/>
            </w:tcMar>
            <w:vAlign w:val="center"/>
          </w:tcPr>
          <w:p>
            <w:pPr>
              <w:spacing w:before="20" w:after="20"/>
            </w:pPr>
            <w:r>
              <w:rPr>
                <w:sz w:val="16"/>
              </w:rPr>
              <w:t>Mode, test/configuration, exploration fault selection, build and initial-condition preview.</w:t>
            </w:r>
          </w:p>
        </w:tc>
        <w:tc>
          <w:tcPr>
            <w:tcW w:type="dxa" w:w="1440"/>
            <w:tcMar>
              <w:top w:w="80" w:type="dxa"/>
              <w:start w:w="100" w:type="dxa"/>
              <w:bottom w:w="80" w:type="dxa"/>
              <w:end w:w="100" w:type="dxa"/>
            </w:tcMar>
            <w:vAlign w:val="center"/>
          </w:tcPr>
          <w:p>
            <w:pPr>
              <w:spacing w:before="20" w:after="20"/>
            </w:pPr>
            <w:r>
              <w:rPr>
                <w:sz w:val="16"/>
              </w:rPr>
              <w:t>INITIALISE_RUN only.</w:t>
            </w:r>
          </w:p>
        </w:tc>
      </w:tr>
      <w:tr>
        <w:trPr>
          <w:cantSplit/>
        </w:trPr>
        <w:tc>
          <w:tcPr>
            <w:tcW w:type="dxa" w:w="1800"/>
            <w:tcMar>
              <w:top w:w="80" w:type="dxa"/>
              <w:start w:w="100" w:type="dxa"/>
              <w:bottom w:w="80" w:type="dxa"/>
              <w:end w:w="100" w:type="dxa"/>
            </w:tcMar>
            <w:vAlign w:val="center"/>
          </w:tcPr>
          <w:p>
            <w:pPr>
              <w:spacing w:before="20" w:after="20"/>
            </w:pPr>
            <w:r>
              <w:rPr>
                <w:sz w:val="16"/>
              </w:rPr>
              <w:t>Operational Workspace</w:t>
            </w:r>
          </w:p>
        </w:tc>
        <w:tc>
          <w:tcPr>
            <w:tcW w:type="dxa" w:w="2232"/>
            <w:tcMar>
              <w:top w:w="80" w:type="dxa"/>
              <w:start w:w="100" w:type="dxa"/>
              <w:bottom w:w="80" w:type="dxa"/>
              <w:end w:w="100" w:type="dxa"/>
            </w:tcMar>
            <w:vAlign w:val="center"/>
          </w:tcPr>
          <w:p>
            <w:pPr>
              <w:spacing w:before="20" w:after="20"/>
            </w:pPr>
            <w:r>
              <w:rPr>
                <w:sz w:val="16"/>
              </w:rPr>
              <w:t>Execute and understand approved scenario actions.</w:t>
            </w:r>
          </w:p>
        </w:tc>
        <w:tc>
          <w:tcPr>
            <w:tcW w:type="dxa" w:w="3888"/>
            <w:tcMar>
              <w:top w:w="80" w:type="dxa"/>
              <w:start w:w="100" w:type="dxa"/>
              <w:bottom w:w="80" w:type="dxa"/>
              <w:end w:w="100" w:type="dxa"/>
            </w:tcMar>
            <w:vAlign w:val="center"/>
          </w:tcPr>
          <w:p>
            <w:pPr>
              <w:spacing w:before="20" w:after="20"/>
            </w:pPr>
            <w:r>
              <w:rPr>
                <w:sz w:val="16"/>
              </w:rPr>
              <w:t>One-line, context ribbon, summary, alarm, actions and entity inspector.</w:t>
            </w:r>
          </w:p>
        </w:tc>
        <w:tc>
          <w:tcPr>
            <w:tcW w:type="dxa" w:w="1440"/>
            <w:tcMar>
              <w:top w:w="80" w:type="dxa"/>
              <w:start w:w="100" w:type="dxa"/>
              <w:bottom w:w="80" w:type="dxa"/>
              <w:end w:w="100" w:type="dxa"/>
            </w:tcMar>
            <w:vAlign w:val="center"/>
          </w:tcPr>
          <w:p>
            <w:pPr>
              <w:spacing w:before="20" w:after="20"/>
            </w:pPr>
            <w:r>
              <w:rPr>
                <w:sz w:val="16"/>
              </w:rPr>
              <w:t>Only returned allowed commands.</w:t>
            </w:r>
          </w:p>
        </w:tc>
      </w:tr>
      <w:tr>
        <w:trPr>
          <w:cantSplit/>
        </w:trPr>
        <w:tc>
          <w:tcPr>
            <w:tcW w:type="dxa" w:w="1800"/>
            <w:tcMar>
              <w:top w:w="80" w:type="dxa"/>
              <w:start w:w="100" w:type="dxa"/>
              <w:bottom w:w="80" w:type="dxa"/>
              <w:end w:w="100" w:type="dxa"/>
            </w:tcMar>
            <w:vAlign w:val="center"/>
          </w:tcPr>
          <w:p>
            <w:pPr>
              <w:spacing w:before="20" w:after="20"/>
            </w:pPr>
            <w:r>
              <w:rPr>
                <w:sz w:val="16"/>
              </w:rPr>
              <w:t>Telemetry &amp; Events</w:t>
            </w:r>
          </w:p>
        </w:tc>
        <w:tc>
          <w:tcPr>
            <w:tcW w:type="dxa" w:w="2232"/>
            <w:tcMar>
              <w:top w:w="80" w:type="dxa"/>
              <w:start w:w="100" w:type="dxa"/>
              <w:bottom w:w="80" w:type="dxa"/>
              <w:end w:w="100" w:type="dxa"/>
            </w:tcMar>
            <w:vAlign w:val="center"/>
          </w:tcPr>
          <w:p>
            <w:pPr>
              <w:spacing w:before="20" w:after="20"/>
            </w:pPr>
            <w:r>
              <w:rPr>
                <w:sz w:val="16"/>
              </w:rPr>
              <w:t>Review observation trustworthiness and chronology.</w:t>
            </w:r>
          </w:p>
        </w:tc>
        <w:tc>
          <w:tcPr>
            <w:tcW w:type="dxa" w:w="3888"/>
            <w:tcMar>
              <w:top w:w="80" w:type="dxa"/>
              <w:start w:w="100" w:type="dxa"/>
              <w:bottom w:w="80" w:type="dxa"/>
              <w:end w:w="100" w:type="dxa"/>
            </w:tcMar>
            <w:vAlign w:val="center"/>
          </w:tcPr>
          <w:p>
            <w:pPr>
              <w:spacing w:before="20" w:after="20"/>
            </w:pPr>
            <w:r>
              <w:rPr>
                <w:sz w:val="16"/>
              </w:rPr>
              <w:t>Value/quality/timestamp/age/freshness and 15-type event history.</w:t>
            </w:r>
          </w:p>
        </w:tc>
        <w:tc>
          <w:tcPr>
            <w:tcW w:type="dxa" w:w="1440"/>
            <w:tcMar>
              <w:top w:w="80" w:type="dxa"/>
              <w:start w:w="100" w:type="dxa"/>
              <w:bottom w:w="80" w:type="dxa"/>
              <w:end w:w="100" w:type="dxa"/>
            </w:tcMar>
            <w:vAlign w:val="center"/>
          </w:tcPr>
          <w:p>
            <w:pPr>
              <w:spacing w:before="20" w:after="20"/>
            </w:pPr>
            <w:r>
              <w:rPr>
                <w:sz w:val="16"/>
              </w:rPr>
              <w:t>Allowed telemetry test inputs and alarm acknowledgement only.</w:t>
            </w:r>
          </w:p>
        </w:tc>
      </w:tr>
      <w:tr>
        <w:trPr>
          <w:cantSplit/>
        </w:trPr>
        <w:tc>
          <w:tcPr>
            <w:tcW w:type="dxa" w:w="1800"/>
            <w:tcMar>
              <w:top w:w="80" w:type="dxa"/>
              <w:start w:w="100" w:type="dxa"/>
              <w:bottom w:w="80" w:type="dxa"/>
              <w:end w:w="100" w:type="dxa"/>
            </w:tcMar>
            <w:vAlign w:val="center"/>
          </w:tcPr>
          <w:p>
            <w:pPr>
              <w:spacing w:before="20" w:after="20"/>
            </w:pPr>
            <w:r>
              <w:rPr>
                <w:sz w:val="16"/>
              </w:rPr>
              <w:t>Restoration Assessment</w:t>
            </w:r>
          </w:p>
        </w:tc>
        <w:tc>
          <w:tcPr>
            <w:tcW w:type="dxa" w:w="2232"/>
            <w:tcMar>
              <w:top w:w="80" w:type="dxa"/>
              <w:start w:w="100" w:type="dxa"/>
              <w:bottom w:w="80" w:type="dxa"/>
              <w:end w:w="100" w:type="dxa"/>
            </w:tcMar>
            <w:vAlign w:val="center"/>
          </w:tcPr>
          <w:p>
            <w:pPr>
              <w:spacing w:before="20" w:after="20"/>
            </w:pPr>
            <w:r>
              <w:rPr>
                <w:sz w:val="16"/>
              </w:rPr>
              <w:t>Understand candidate, evidence, permissives and capacity.</w:t>
            </w:r>
          </w:p>
        </w:tc>
        <w:tc>
          <w:tcPr>
            <w:tcW w:type="dxa" w:w="3888"/>
            <w:tcMar>
              <w:top w:w="80" w:type="dxa"/>
              <w:start w:w="100" w:type="dxa"/>
              <w:bottom w:w="80" w:type="dxa"/>
              <w:end w:w="100" w:type="dxa"/>
            </w:tcMar>
            <w:vAlign w:val="center"/>
          </w:tcPr>
          <w:p>
            <w:pPr>
              <w:spacing w:before="20" w:after="20"/>
            </w:pPr>
            <w:r>
              <w:rPr>
                <w:sz w:val="16"/>
              </w:rPr>
              <w:t>Candidate path, required points, criterion table, calculation trace, result and binding.</w:t>
            </w:r>
          </w:p>
        </w:tc>
        <w:tc>
          <w:tcPr>
            <w:tcW w:type="dxa" w:w="1440"/>
            <w:tcMar>
              <w:top w:w="80" w:type="dxa"/>
              <w:start w:w="100" w:type="dxa"/>
              <w:bottom w:w="80" w:type="dxa"/>
              <w:end w:w="100" w:type="dxa"/>
            </w:tcMar>
            <w:vAlign w:val="center"/>
          </w:tcPr>
          <w:p>
            <w:pPr>
              <w:spacing w:before="20" w:after="20"/>
            </w:pPr>
            <w:r>
              <w:rPr>
                <w:sz w:val="16"/>
              </w:rPr>
              <w:t>ASSESS; EXECUTE only when current PERMITTED.</w:t>
            </w:r>
          </w:p>
        </w:tc>
      </w:tr>
      <w:tr>
        <w:trPr>
          <w:cantSplit/>
        </w:trPr>
        <w:tc>
          <w:tcPr>
            <w:tcW w:type="dxa" w:w="1800"/>
            <w:tcMar>
              <w:top w:w="80" w:type="dxa"/>
              <w:start w:w="100" w:type="dxa"/>
              <w:bottom w:w="80" w:type="dxa"/>
              <w:end w:w="100" w:type="dxa"/>
            </w:tcMar>
            <w:vAlign w:val="center"/>
          </w:tcPr>
          <w:p>
            <w:pPr>
              <w:spacing w:before="20" w:after="20"/>
            </w:pPr>
            <w:r>
              <w:rPr>
                <w:sz w:val="16"/>
              </w:rPr>
              <w:t>Formal Validation</w:t>
            </w:r>
          </w:p>
        </w:tc>
        <w:tc>
          <w:tcPr>
            <w:tcW w:type="dxa" w:w="2232"/>
            <w:tcMar>
              <w:top w:w="80" w:type="dxa"/>
              <w:start w:w="100" w:type="dxa"/>
              <w:bottom w:w="80" w:type="dxa"/>
              <w:end w:w="100" w:type="dxa"/>
            </w:tcMar>
            <w:vAlign w:val="center"/>
          </w:tcPr>
          <w:p>
            <w:pPr>
              <w:spacing w:before="20" w:after="20"/>
            </w:pPr>
            <w:r>
              <w:rPr>
                <w:sz w:val="16"/>
              </w:rPr>
              <w:t>Execute approved test and make engineering determination.</w:t>
            </w:r>
          </w:p>
        </w:tc>
        <w:tc>
          <w:tcPr>
            <w:tcW w:type="dxa" w:w="3888"/>
            <w:tcMar>
              <w:top w:w="80" w:type="dxa"/>
              <w:start w:w="100" w:type="dxa"/>
              <w:bottom w:w="80" w:type="dxa"/>
              <w:end w:w="100" w:type="dxa"/>
            </w:tcMar>
            <w:vAlign w:val="center"/>
          </w:tcPr>
          <w:p>
            <w:pPr>
              <w:spacing w:before="20" w:after="20"/>
            </w:pPr>
            <w:r>
              <w:rPr>
                <w:sz w:val="16"/>
              </w:rPr>
              <w:t>Fixed definition, requirement links, checkpoints, expected/observed, evidence and PASS/FAIL.</w:t>
            </w:r>
          </w:p>
        </w:tc>
        <w:tc>
          <w:tcPr>
            <w:tcW w:type="dxa" w:w="1440"/>
            <w:tcMar>
              <w:top w:w="80" w:type="dxa"/>
              <w:start w:w="100" w:type="dxa"/>
              <w:bottom w:w="80" w:type="dxa"/>
              <w:end w:w="100" w:type="dxa"/>
            </w:tcMar>
            <w:vAlign w:val="center"/>
          </w:tcPr>
          <w:p>
            <w:pPr>
              <w:spacing w:before="20" w:after="20"/>
            </w:pPr>
            <w:r>
              <w:rPr>
                <w:sz w:val="16"/>
              </w:rPr>
              <w:t>Checkpoint capture and completion; no expected-result edit.</w:t>
            </w:r>
          </w:p>
        </w:tc>
      </w:tr>
      <w:tr>
        <w:trPr>
          <w:cantSplit/>
        </w:trPr>
        <w:tc>
          <w:tcPr>
            <w:tcW w:type="dxa" w:w="1800"/>
            <w:tcMar>
              <w:top w:w="80" w:type="dxa"/>
              <w:start w:w="100" w:type="dxa"/>
              <w:bottom w:w="80" w:type="dxa"/>
              <w:end w:w="100" w:type="dxa"/>
            </w:tcMar>
            <w:vAlign w:val="center"/>
          </w:tcPr>
          <w:p>
            <w:pPr>
              <w:spacing w:before="20" w:after="20"/>
            </w:pPr>
            <w:r>
              <w:rPr>
                <w:sz w:val="16"/>
              </w:rPr>
              <w:t>Evidence Library</w:t>
            </w:r>
          </w:p>
        </w:tc>
        <w:tc>
          <w:tcPr>
            <w:tcW w:type="dxa" w:w="2232"/>
            <w:tcMar>
              <w:top w:w="80" w:type="dxa"/>
              <w:start w:w="100" w:type="dxa"/>
              <w:bottom w:w="80" w:type="dxa"/>
              <w:end w:w="100" w:type="dxa"/>
            </w:tcMar>
            <w:vAlign w:val="center"/>
          </w:tcPr>
          <w:p>
            <w:pPr>
              <w:spacing w:before="20" w:after="20"/>
            </w:pPr>
            <w:r>
              <w:rPr>
                <w:sz w:val="16"/>
              </w:rPr>
              <w:t>Review preserved formal and exploratory records.</w:t>
            </w:r>
          </w:p>
        </w:tc>
        <w:tc>
          <w:tcPr>
            <w:tcW w:type="dxa" w:w="3888"/>
            <w:tcMar>
              <w:top w:w="80" w:type="dxa"/>
              <w:start w:w="100" w:type="dxa"/>
              <w:bottom w:w="80" w:type="dxa"/>
              <w:end w:w="100" w:type="dxa"/>
            </w:tcMar>
            <w:vAlign w:val="center"/>
          </w:tcPr>
          <w:p>
            <w:pPr>
              <w:spacing w:before="20" w:after="20"/>
            </w:pPr>
            <w:r>
              <w:rPr>
                <w:sz w:val="16"/>
              </w:rPr>
              <w:t>Executions, snapshots, packages and stable links with class filters.</w:t>
            </w:r>
          </w:p>
        </w:tc>
        <w:tc>
          <w:tcPr>
            <w:tcW w:type="dxa" w:w="1440"/>
            <w:tcMar>
              <w:top w:w="80" w:type="dxa"/>
              <w:start w:w="100" w:type="dxa"/>
              <w:bottom w:w="80" w:type="dxa"/>
              <w:end w:w="100" w:type="dxa"/>
            </w:tcMar>
            <w:vAlign w:val="center"/>
          </w:tcPr>
          <w:p>
            <w:pPr>
              <w:spacing w:before="20" w:after="20"/>
            </w:pPr>
            <w:r>
              <w:rPr>
                <w:sz w:val="16"/>
              </w:rPr>
              <w:t>Package generation/review metadata only.</w:t>
            </w:r>
          </w:p>
        </w:tc>
      </w:tr>
      <w:tr>
        <w:trPr>
          <w:cantSplit/>
        </w:trPr>
        <w:tc>
          <w:tcPr>
            <w:tcW w:type="dxa" w:w="1800"/>
            <w:tcMar>
              <w:top w:w="80" w:type="dxa"/>
              <w:start w:w="100" w:type="dxa"/>
              <w:bottom w:w="80" w:type="dxa"/>
              <w:end w:w="100" w:type="dxa"/>
            </w:tcMar>
            <w:vAlign w:val="center"/>
          </w:tcPr>
          <w:p>
            <w:pPr>
              <w:spacing w:before="20" w:after="20"/>
            </w:pPr>
            <w:r>
              <w:rPr>
                <w:sz w:val="16"/>
              </w:rPr>
              <w:t>Defect Investigation</w:t>
            </w:r>
          </w:p>
        </w:tc>
        <w:tc>
          <w:tcPr>
            <w:tcW w:type="dxa" w:w="2232"/>
            <w:tcMar>
              <w:top w:w="80" w:type="dxa"/>
              <w:start w:w="100" w:type="dxa"/>
              <w:bottom w:w="80" w:type="dxa"/>
              <w:end w:w="100" w:type="dxa"/>
            </w:tcMar>
            <w:vAlign w:val="center"/>
          </w:tcPr>
          <w:p>
            <w:pPr>
              <w:spacing w:before="20" w:after="20"/>
            </w:pPr>
            <w:r>
              <w:rPr>
                <w:sz w:val="16"/>
              </w:rPr>
              <w:t>Trace VT-TOP-DEF-001 failure from consequence to source.</w:t>
            </w:r>
          </w:p>
        </w:tc>
        <w:tc>
          <w:tcPr>
            <w:tcW w:type="dxa" w:w="3888"/>
            <w:tcMar>
              <w:top w:w="80" w:type="dxa"/>
              <w:start w:w="100" w:type="dxa"/>
              <w:bottom w:w="80" w:type="dxa"/>
              <w:end w:w="100" w:type="dxa"/>
            </w:tcMar>
            <w:vAlign w:val="center"/>
          </w:tcPr>
          <w:p>
            <w:pPr>
              <w:spacing w:before="20" w:after="20"/>
            </w:pPr>
            <w:r>
              <w:rPr>
                <w:sz w:val="16"/>
              </w:rPr>
              <w:t>Expected/observed, telemetry, source paths, OMS arithmetic, endpoint comparison and DEF-001 record.</w:t>
            </w:r>
          </w:p>
        </w:tc>
        <w:tc>
          <w:tcPr>
            <w:tcW w:type="dxa" w:w="1440"/>
            <w:tcMar>
              <w:top w:w="80" w:type="dxa"/>
              <w:start w:w="100" w:type="dxa"/>
              <w:bottom w:w="80" w:type="dxa"/>
              <w:end w:w="100" w:type="dxa"/>
            </w:tcMar>
            <w:vAlign w:val="center"/>
          </w:tcPr>
          <w:p>
            <w:pPr>
              <w:spacing w:before="20" w:after="20"/>
            </w:pPr>
            <w:r>
              <w:rPr>
                <w:sz w:val="16"/>
              </w:rPr>
              <w:t>Defect/correction engineering records only.</w:t>
            </w:r>
          </w:p>
        </w:tc>
      </w:tr>
      <w:tr>
        <w:trPr>
          <w:cantSplit/>
        </w:trPr>
        <w:tc>
          <w:tcPr>
            <w:tcW w:type="dxa" w:w="1800"/>
            <w:tcMar>
              <w:top w:w="80" w:type="dxa"/>
              <w:start w:w="100" w:type="dxa"/>
              <w:bottom w:w="80" w:type="dxa"/>
              <w:end w:w="100" w:type="dxa"/>
            </w:tcMar>
            <w:vAlign w:val="center"/>
          </w:tcPr>
          <w:p>
            <w:pPr>
              <w:spacing w:before="20" w:after="20"/>
            </w:pPr>
            <w:r>
              <w:rPr>
                <w:sz w:val="16"/>
              </w:rPr>
              <w:t>Engineering Basis</w:t>
            </w:r>
          </w:p>
        </w:tc>
        <w:tc>
          <w:tcPr>
            <w:tcW w:type="dxa" w:w="2232"/>
            <w:tcMar>
              <w:top w:w="80" w:type="dxa"/>
              <w:start w:w="100" w:type="dxa"/>
              <w:bottom w:w="80" w:type="dxa"/>
              <w:end w:w="100" w:type="dxa"/>
            </w:tcMar>
            <w:vAlign w:val="center"/>
          </w:tcPr>
          <w:p>
            <w:pPr>
              <w:spacing w:before="20" w:after="20"/>
            </w:pPr>
            <w:r>
              <w:rPr>
                <w:sz w:val="16"/>
              </w:rPr>
              <w:t>Explain scope and traceability to reviewer.</w:t>
            </w:r>
          </w:p>
        </w:tc>
        <w:tc>
          <w:tcPr>
            <w:tcW w:type="dxa" w:w="3888"/>
            <w:tcMar>
              <w:top w:w="80" w:type="dxa"/>
              <w:start w:w="100" w:type="dxa"/>
              <w:bottom w:w="80" w:type="dxa"/>
              <w:end w:w="100" w:type="dxa"/>
            </w:tcMar>
            <w:vAlign w:val="center"/>
          </w:tcPr>
          <w:p>
            <w:pPr>
              <w:spacing w:before="20" w:after="20"/>
            </w:pPr>
            <w:r>
              <w:rPr>
                <w:sz w:val="16"/>
              </w:rPr>
              <w:t>Fictional/simulated boundary, source documents, requirement/module/view map and build metadata.</w:t>
            </w:r>
          </w:p>
        </w:tc>
        <w:tc>
          <w:tcPr>
            <w:tcW w:type="dxa" w:w="1440"/>
            <w:tcMar>
              <w:top w:w="80" w:type="dxa"/>
              <w:start w:w="100" w:type="dxa"/>
              <w:bottom w:w="80" w:type="dxa"/>
              <w:end w:w="100" w:type="dxa"/>
            </w:tcMar>
            <w:vAlign w:val="center"/>
          </w:tcPr>
          <w:p>
            <w:pPr>
              <w:spacing w:before="20" w:after="20"/>
            </w:pPr>
            <w:r>
              <w:rPr>
                <w:sz w:val="16"/>
              </w:rPr>
              <w:t>None.</w:t>
            </w:r>
          </w:p>
        </w:tc>
      </w:tr>
    </w:tbl>
    <w:p>
      <w:pPr>
        <w:spacing w:after="0"/>
      </w:pPr>
    </w:p>
    <w:p>
      <w:pPr>
        <w:pStyle w:val="Heading1"/>
        <w:keepNext/>
      </w:pPr>
      <w:r>
        <w:t>15. Navigation and Persistent Context</w:t>
      </w:r>
    </w:p>
    <w:p>
      <w:pPr>
        <w:spacing w:before="120" w:after="120"/>
      </w:pPr>
      <w:r>
        <w:rPr>
          <w:b w:val="0"/>
          <w:i w:val="0"/>
        </w:rPr>
        <w:t>The application shell uses a small primary navigation: Start, Operational, Validation, Evidence, Investigation and Engineering Basis. Operational subviews—Overview, Telemetry, Events and Restoration—remain within the same run context. Navigation never creates a workflow transition. If a user leaves and returns, the application reloads the current persisted run projection rather than reconstructing it from browser state.</w:t>
      </w:r>
    </w:p>
    <w:p>
      <w:pPr>
        <w:pStyle w:val="Heading2"/>
        <w:keepNext/>
      </w:pPr>
      <w:r>
        <w:t>15.1 Context Ribbon</w:t>
      </w:r>
    </w:p>
    <w:p>
      <w:pPr>
        <w:spacing w:before="120" w:after="120"/>
      </w:pPr>
      <w:r>
        <w:rPr>
          <w:b w:val="0"/>
          <w:i w:val="0"/>
        </w:rPr>
        <w:t>All run-related views show a persistent ribbon with mode, evidence class, short/full run identity, configuration version, active fault section, workflow stage, formal N-state where applicable, state revision and current assessment status. FORMAL uses a blue/neutral label; EXPLORATION uses a permanent amber label with the words ‘EXPLORATORY — NOT FORMAL VALIDATION EVIDENCE’. Configuration v1.0 uses a controlled ‘DEFECTIVE TEST INPUT’ label only where the selected formal test calls for it, without revealing the incorrect endpoint.</w:t>
      </w:r>
    </w:p>
    <w:p>
      <w:pPr>
        <w:pStyle w:val="Heading2"/>
        <w:keepNext/>
      </w:pPr>
      <w:r>
        <w:t>15.2 Navigation Guards</w:t>
      </w:r>
    </w:p>
    <w:p>
      <w:pPr>
        <w:spacing w:before="120" w:after="120"/>
      </w:pPr>
      <w:r>
        <w:rPr>
          <w:b w:val="0"/>
          <w:i w:val="0"/>
        </w:rPr>
        <w:t>The user may inspect evidence or events at any time without mutating the run. Validation completion is available only when required checkpoints exist. Defect Investigation requires a preserved failed VT-TOP-DEF-001 execution or an explicitly selected completed investigation record. Exploration cannot navigate into formal completion for that run; starting formal validation creates a separate run/execution from an approved definition.</w:t>
      </w:r>
    </w:p>
    <w:p>
      <w:pPr>
        <w:pStyle w:val="Heading1"/>
        <w:keepNext/>
      </w:pPr>
      <w:r>
        <w:t>16. Operational Workspace Design</w:t>
      </w:r>
    </w:p>
    <w:p>
      <w:pPr>
        <w:pStyle w:val="Heading2"/>
        <w:keepNext/>
      </w:pPr>
      <w:r>
        <w:t>16.1 One-Line Network</w:t>
      </w:r>
    </w:p>
    <w:p>
      <w:pPr>
        <w:spacing w:before="120" w:after="120"/>
      </w:pPr>
      <w:r>
        <w:rPr>
          <w:b w:val="0"/>
          <w:i w:val="0"/>
        </w:rPr>
        <w:t>The central one-line shows ZS-01, both consistent feeder chains, breakers, sectionalising switches, four sections per feeder and TS-01. It is a conceptual network representation, not a commercial SCADA mimic. Each entity displays its stable ID; device glyphs show OPEN/CLOSED; sections show derived energisation and source attribution; the active fault uses a separate fault marker so fault state is not confused with de-energisation.</w:t>
      </w:r>
    </w:p>
    <w:p>
      <w:pPr>
        <w:pStyle w:val="Heading2"/>
        <w:keepNext/>
      </w:pPr>
      <w:r>
        <w:t>16.2 Network Summary</w:t>
      </w:r>
    </w:p>
    <w:p>
      <w:pPr>
        <w:spacing w:before="0" w:after="40"/>
        <w:ind w:left="720" w:hanging="360"/>
      </w:pPr>
      <w:r>
        <w:rPr>
          <w:b/>
        </w:rPr>
        <w:t>•</w:t>
      </w:r>
      <w:r>
        <w:tab/>
        <w:t>current derived de-energised section set and affected-customer total;</w:t>
      </w:r>
    </w:p>
    <w:p>
      <w:pPr>
        <w:spacing w:before="0" w:after="40"/>
        <w:ind w:left="720" w:hanging="360"/>
      </w:pPr>
      <w:r>
        <w:rPr>
          <w:b/>
        </w:rPr>
        <w:t>•</w:t>
      </w:r>
      <w:r>
        <w:tab/>
        <w:t>restored-customer delta from the immediately prior published revision;</w:t>
      </w:r>
    </w:p>
    <w:p>
      <w:pPr>
        <w:spacing w:before="0" w:after="40"/>
        <w:ind w:left="720" w:hanging="360"/>
      </w:pPr>
      <w:r>
        <w:rPr>
          <w:b/>
        </w:rPr>
        <w:t>•</w:t>
      </w:r>
      <w:r>
        <w:tab/>
        <w:t>feeder loads/capacities and source attribution as applicable;</w:t>
      </w:r>
    </w:p>
    <w:p>
      <w:pPr>
        <w:spacing w:before="0" w:after="40"/>
        <w:ind w:left="720" w:hanging="360"/>
      </w:pPr>
      <w:r>
        <w:rPr>
          <w:b/>
        </w:rPr>
        <w:t>•</w:t>
      </w:r>
      <w:r>
        <w:tab/>
        <w:t>active and unacknowledged alarms;</w:t>
      </w:r>
    </w:p>
    <w:p>
      <w:pPr>
        <w:spacing w:before="0" w:after="40"/>
        <w:ind w:left="720" w:hanging="360"/>
      </w:pPr>
      <w:r>
        <w:rPr>
          <w:b/>
        </w:rPr>
        <w:t>•</w:t>
      </w:r>
      <w:r>
        <w:tab/>
        <w:t>current restoration result or ‘not assessed’; and</w:t>
      </w:r>
    </w:p>
    <w:p>
      <w:pPr>
        <w:spacing w:before="0" w:after="40"/>
        <w:ind w:left="720" w:hanging="360"/>
      </w:pPr>
      <w:r>
        <w:rPr>
          <w:b/>
        </w:rPr>
        <w:t>•</w:t>
      </w:r>
      <w:r>
        <w:tab/>
        <w:t>engineering-readable explanation of the last accepted or rejected command.</w:t>
      </w:r>
    </w:p>
    <w:p>
      <w:pPr>
        <w:pStyle w:val="Heading2"/>
        <w:keepNext/>
      </w:pPr>
      <w:r>
        <w:t>16.3 Entity Inspector</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584"/>
            <w:shd w:fill="E7E7E7"/>
            <w:tcMar>
              <w:top w:w="80" w:type="dxa"/>
              <w:start w:w="100" w:type="dxa"/>
              <w:bottom w:w="80" w:type="dxa"/>
              <w:end w:w="100" w:type="dxa"/>
            </w:tcMar>
            <w:vAlign w:val="center"/>
          </w:tcPr>
          <w:p>
            <w:pPr>
              <w:spacing w:before="40" w:after="40"/>
              <w:jc w:val="center"/>
            </w:pPr>
            <w:r>
              <w:rPr>
                <w:b/>
                <w:sz w:val="19"/>
              </w:rPr>
              <w:t>Tab</w:t>
            </w:r>
          </w:p>
        </w:tc>
        <w:tc>
          <w:tcPr>
            <w:tcW w:type="dxa" w:w="5472"/>
            <w:shd w:fill="E7E7E7"/>
            <w:tcMar>
              <w:top w:w="80" w:type="dxa"/>
              <w:start w:w="100" w:type="dxa"/>
              <w:bottom w:w="80" w:type="dxa"/>
              <w:end w:w="100" w:type="dxa"/>
            </w:tcMar>
            <w:vAlign w:val="center"/>
          </w:tcPr>
          <w:p>
            <w:pPr>
              <w:spacing w:before="40" w:after="40"/>
              <w:jc w:val="center"/>
            </w:pPr>
            <w:r>
              <w:rPr>
                <w:b/>
                <w:sz w:val="19"/>
              </w:rPr>
              <w:t>Displayed information</w:t>
            </w:r>
          </w:p>
        </w:tc>
        <w:tc>
          <w:tcPr>
            <w:tcW w:type="dxa" w:w="2304"/>
            <w:shd w:fill="E7E7E7"/>
            <w:tcMar>
              <w:top w:w="80" w:type="dxa"/>
              <w:start w:w="100" w:type="dxa"/>
              <w:bottom w:w="80" w:type="dxa"/>
              <w:end w:w="100" w:type="dxa"/>
            </w:tcMar>
            <w:vAlign w:val="center"/>
          </w:tcPr>
          <w:p>
            <w:pPr>
              <w:spacing w:before="40" w:after="40"/>
              <w:jc w:val="center"/>
            </w:pPr>
            <w:r>
              <w:rPr>
                <w:b/>
                <w:sz w:val="19"/>
              </w:rPr>
              <w:t>Restriction</w:t>
            </w:r>
          </w:p>
        </w:tc>
      </w:tr>
      <w:tr>
        <w:trPr>
          <w:cantSplit/>
        </w:trPr>
        <w:tc>
          <w:tcPr>
            <w:tcW w:type="dxa" w:w="1584"/>
            <w:tcMar>
              <w:top w:w="80" w:type="dxa"/>
              <w:start w:w="100" w:type="dxa"/>
              <w:bottom w:w="80" w:type="dxa"/>
              <w:end w:w="100" w:type="dxa"/>
            </w:tcMar>
            <w:vAlign w:val="center"/>
          </w:tcPr>
          <w:p>
            <w:pPr>
              <w:spacing w:before="20" w:after="20"/>
            </w:pPr>
            <w:r>
              <w:rPr>
                <w:sz w:val="19"/>
              </w:rPr>
              <w:t>Configured</w:t>
            </w:r>
          </w:p>
        </w:tc>
        <w:tc>
          <w:tcPr>
            <w:tcW w:type="dxa" w:w="5472"/>
            <w:tcMar>
              <w:top w:w="80" w:type="dxa"/>
              <w:start w:w="100" w:type="dxa"/>
              <w:bottom w:w="80" w:type="dxa"/>
              <w:end w:w="100" w:type="dxa"/>
            </w:tcMar>
            <w:vAlign w:val="center"/>
          </w:tcPr>
          <w:p>
            <w:pPr>
              <w:spacing w:before="20" w:after="20"/>
            </w:pPr>
            <w:r>
              <w:rPr>
                <w:sz w:val="19"/>
              </w:rPr>
              <w:t>Entity ID/type/name, normal state, load/capacity/customer mapping and selected configuration identity.</w:t>
            </w:r>
          </w:p>
        </w:tc>
        <w:tc>
          <w:tcPr>
            <w:tcW w:type="dxa" w:w="2304"/>
            <w:tcMar>
              <w:top w:w="80" w:type="dxa"/>
              <w:start w:w="100" w:type="dxa"/>
              <w:bottom w:w="80" w:type="dxa"/>
              <w:end w:w="100" w:type="dxa"/>
            </w:tcMar>
            <w:vAlign w:val="center"/>
          </w:tcPr>
          <w:p>
            <w:pPr>
              <w:spacing w:before="20" w:after="20"/>
            </w:pPr>
            <w:r>
              <w:rPr>
                <w:sz w:val="19"/>
              </w:rPr>
              <w:t>Detailed v1.0 connectivity endpoints are not highlighted in ordinary operation.</w:t>
            </w:r>
          </w:p>
        </w:tc>
      </w:tr>
      <w:tr>
        <w:trPr>
          <w:cantSplit/>
        </w:trPr>
        <w:tc>
          <w:tcPr>
            <w:tcW w:type="dxa" w:w="1584"/>
            <w:tcMar>
              <w:top w:w="80" w:type="dxa"/>
              <w:start w:w="100" w:type="dxa"/>
              <w:bottom w:w="80" w:type="dxa"/>
              <w:end w:w="100" w:type="dxa"/>
            </w:tcMar>
            <w:vAlign w:val="center"/>
          </w:tcPr>
          <w:p>
            <w:pPr>
              <w:spacing w:before="20" w:after="20"/>
            </w:pPr>
            <w:r>
              <w:rPr>
                <w:sz w:val="19"/>
              </w:rPr>
              <w:t>Observed</w:t>
            </w:r>
          </w:p>
        </w:tc>
        <w:tc>
          <w:tcPr>
            <w:tcW w:type="dxa" w:w="5472"/>
            <w:tcMar>
              <w:top w:w="80" w:type="dxa"/>
              <w:start w:w="100" w:type="dxa"/>
              <w:bottom w:w="80" w:type="dxa"/>
              <w:end w:w="100" w:type="dxa"/>
            </w:tcMar>
            <w:vAlign w:val="center"/>
          </w:tcPr>
          <w:p>
            <w:pPr>
              <w:spacing w:before="20" w:after="20"/>
            </w:pPr>
            <w:r>
              <w:rPr>
                <w:sz w:val="19"/>
              </w:rPr>
              <w:t>Device value, quality, controlled timestamp, age, freshness, alarm and acknowledgement.</w:t>
            </w:r>
          </w:p>
        </w:tc>
        <w:tc>
          <w:tcPr>
            <w:tcW w:type="dxa" w:w="2304"/>
            <w:tcMar>
              <w:top w:w="80" w:type="dxa"/>
              <w:start w:w="100" w:type="dxa"/>
              <w:bottom w:w="80" w:type="dxa"/>
              <w:end w:w="100" w:type="dxa"/>
            </w:tcMar>
            <w:vAlign w:val="center"/>
          </w:tcPr>
          <w:p>
            <w:pPr>
              <w:spacing w:before="20" w:after="20"/>
            </w:pPr>
            <w:r>
              <w:rPr>
                <w:sz w:val="19"/>
              </w:rPr>
              <w:t>Does not display derived energisation as observed SCADA.</w:t>
            </w:r>
          </w:p>
        </w:tc>
      </w:tr>
      <w:tr>
        <w:trPr>
          <w:cantSplit/>
        </w:trPr>
        <w:tc>
          <w:tcPr>
            <w:tcW w:type="dxa" w:w="1584"/>
            <w:tcMar>
              <w:top w:w="80" w:type="dxa"/>
              <w:start w:w="100" w:type="dxa"/>
              <w:bottom w:w="80" w:type="dxa"/>
              <w:end w:w="100" w:type="dxa"/>
            </w:tcMar>
            <w:vAlign w:val="center"/>
          </w:tcPr>
          <w:p>
            <w:pPr>
              <w:spacing w:before="20" w:after="20"/>
            </w:pPr>
            <w:r>
              <w:rPr>
                <w:sz w:val="19"/>
              </w:rPr>
              <w:t>Derived</w:t>
            </w:r>
          </w:p>
        </w:tc>
        <w:tc>
          <w:tcPr>
            <w:tcW w:type="dxa" w:w="5472"/>
            <w:tcMar>
              <w:top w:w="80" w:type="dxa"/>
              <w:start w:w="100" w:type="dxa"/>
              <w:bottom w:w="80" w:type="dxa"/>
              <w:end w:w="100" w:type="dxa"/>
            </w:tcMar>
            <w:vAlign w:val="center"/>
          </w:tcPr>
          <w:p>
            <w:pPr>
              <w:spacing w:before="20" w:after="20"/>
            </w:pPr>
            <w:r>
              <w:rPr>
                <w:sz w:val="19"/>
              </w:rPr>
              <w:t>Energisation, source feeder(s), source path summary, fault status, outage/customer consequence and revision.</w:t>
            </w:r>
          </w:p>
        </w:tc>
        <w:tc>
          <w:tcPr>
            <w:tcW w:type="dxa" w:w="2304"/>
            <w:tcMar>
              <w:top w:w="80" w:type="dxa"/>
              <w:start w:w="100" w:type="dxa"/>
              <w:bottom w:w="80" w:type="dxa"/>
              <w:end w:w="100" w:type="dxa"/>
            </w:tcMar>
            <w:vAlign w:val="center"/>
          </w:tcPr>
          <w:p>
            <w:pPr>
              <w:spacing w:before="20" w:after="20"/>
            </w:pPr>
            <w:r>
              <w:rPr>
                <w:sz w:val="19"/>
              </w:rPr>
              <w:t>Read-only output of backend calculation.</w:t>
            </w:r>
          </w:p>
        </w:tc>
      </w:tr>
      <w:tr>
        <w:trPr>
          <w:cantSplit/>
        </w:trPr>
        <w:tc>
          <w:tcPr>
            <w:tcW w:type="dxa" w:w="1584"/>
            <w:tcMar>
              <w:top w:w="80" w:type="dxa"/>
              <w:start w:w="100" w:type="dxa"/>
              <w:bottom w:w="80" w:type="dxa"/>
              <w:end w:w="100" w:type="dxa"/>
            </w:tcMar>
            <w:vAlign w:val="center"/>
          </w:tcPr>
          <w:p>
            <w:pPr>
              <w:spacing w:before="20" w:after="20"/>
            </w:pPr>
            <w:r>
              <w:rPr>
                <w:sz w:val="19"/>
              </w:rPr>
              <w:t>Evidence</w:t>
            </w:r>
          </w:p>
        </w:tc>
        <w:tc>
          <w:tcPr>
            <w:tcW w:type="dxa" w:w="5472"/>
            <w:tcMar>
              <w:top w:w="80" w:type="dxa"/>
              <w:start w:w="100" w:type="dxa"/>
              <w:bottom w:w="80" w:type="dxa"/>
              <w:end w:w="100" w:type="dxa"/>
            </w:tcMar>
            <w:vAlign w:val="center"/>
          </w:tcPr>
          <w:p>
            <w:pPr>
              <w:spacing w:before="20" w:after="20"/>
            </w:pPr>
            <w:r>
              <w:rPr>
                <w:sz w:val="19"/>
              </w:rPr>
              <w:t>Checkpoint/evidence IDs that captured this entity and revision.</w:t>
            </w:r>
          </w:p>
        </w:tc>
        <w:tc>
          <w:tcPr>
            <w:tcW w:type="dxa" w:w="2304"/>
            <w:tcMar>
              <w:top w:w="80" w:type="dxa"/>
              <w:start w:w="100" w:type="dxa"/>
              <w:bottom w:w="80" w:type="dxa"/>
              <w:end w:w="100" w:type="dxa"/>
            </w:tcMar>
            <w:vAlign w:val="center"/>
          </w:tcPr>
          <w:p>
            <w:pPr>
              <w:spacing w:before="20" w:after="20"/>
            </w:pPr>
            <w:r>
              <w:rPr>
                <w:sz w:val="19"/>
              </w:rPr>
              <w:t>Current mutable state is not relabelled as evidence.</w:t>
            </w:r>
          </w:p>
        </w:tc>
      </w:tr>
    </w:tbl>
    <w:p>
      <w:pPr>
        <w:spacing w:after="0"/>
      </w:pPr>
    </w:p>
    <w:p>
      <w:pPr>
        <w:pStyle w:val="Heading2"/>
        <w:keepNext/>
      </w:pPr>
      <w:r>
        <w:t>16.4 Switching Interaction</w:t>
      </w:r>
    </w:p>
    <w:p>
      <w:pPr>
        <w:spacing w:before="120" w:after="120"/>
      </w:pPr>
      <w:r>
        <w:rPr>
          <w:b w:val="0"/>
          <w:i w:val="0"/>
        </w:rPr>
        <w:t>The user does not click arbitrary network symbols to toggle them. Available actions appear in the action panel with target, requested state, prerequisite summary and confirmation text ‘Simulated operation only — no real equipment control’. Selecting an entity may focus the matching action, but the backend-supplied allowed_actions collection remains authoritative. SW-A12 and SW-A23 are operated separately and every accepted action returns a new complete revision.</w:t>
      </w:r>
    </w:p>
    <w:p>
      <w:pPr>
        <w:pStyle w:val="Heading1"/>
        <w:keepNext/>
      </w:pPr>
      <w:r>
        <w:t>17. Telemetry, Alarm and Event Presentation</w:t>
      </w:r>
    </w:p>
    <w:p>
      <w:pPr>
        <w:pStyle w:val="Heading2"/>
        <w:keepNext/>
      </w:pPr>
      <w:r>
        <w:t>17.1 Telemetry Table</w:t>
      </w:r>
    </w:p>
    <w:p>
      <w:pPr>
        <w:spacing w:before="120" w:after="120"/>
      </w:pPr>
      <w:r>
        <w:rPr>
          <w:b w:val="0"/>
          <w:i w:val="0"/>
        </w:rPr>
        <w:t>The telemetry view lists point/entity, value, GOOD/UNCERTAIN/BAD quality, last-update scenario time, calculated age, FRESH/STALE/INVALID_TIMESTAMP classification, overall validity and reason. It provides exact age in seconds to three decimal places for boundary tests while retaining integer-millisecond storage. Quality and freshness are separate columns.</w:t>
      </w:r>
    </w:p>
    <w:p>
      <w:pPr>
        <w:pStyle w:val="Heading2"/>
        <w:keepNext/>
      </w:pPr>
      <w:r>
        <w:t>17.2 Alarm Interaction</w:t>
      </w:r>
    </w:p>
    <w:p>
      <w:pPr>
        <w:spacing w:before="120" w:after="120"/>
      </w:pPr>
      <w:r>
        <w:rPr>
          <w:b w:val="0"/>
          <w:i w:val="0"/>
        </w:rPr>
        <w:t>An active trip alarm appears in the workspace and alarm list with alarm ID, feeder/device, active state, acknowledgement state and controlled timestamps. Acknowledge is available only when active and unacknowledged. The result updates acknowledgement and event history without a topology revision or customer change.</w:t>
      </w:r>
    </w:p>
    <w:p>
      <w:pPr>
        <w:pStyle w:val="Heading2"/>
        <w:keepNext/>
      </w:pPr>
      <w:r>
        <w:t>17.3 Operational Event Timeline</w:t>
      </w:r>
    </w:p>
    <w:p>
      <w:pPr>
        <w:spacing w:before="120" w:after="120"/>
      </w:pPr>
      <w:r>
        <w:rPr>
          <w:b w:val="0"/>
          <w:i w:val="0"/>
        </w:rPr>
        <w:t>Events are displayed in event_sequence order with controlled time, event type, source, affected entity, revision and prior/new value. Filters may narrow the display but never re-order source history. Engineering records such as PASS/FAIL and DEF-001 are shown as linked annotations outside the operational event stream, preserving the Step 7 distinction.</w:t>
      </w:r>
    </w:p>
    <w:p>
      <w:pPr>
        <w:pStyle w:val="Heading1"/>
        <w:keepNext/>
      </w:pPr>
      <w:r>
        <w:t>18. Restoration Assessment and Action Availability</w:t>
      </w:r>
    </w:p>
    <w:p>
      <w:pPr>
        <w:pStyle w:val="Heading2"/>
        <w:keepNext/>
      </w:pPr>
      <w:r>
        <w:t>18.1 Assessment Presentation</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015"/>
            <w:shd w:fill="E7E7E7"/>
            <w:tcMar>
              <w:top w:w="80" w:type="dxa"/>
              <w:start w:w="100" w:type="dxa"/>
              <w:bottom w:w="80" w:type="dxa"/>
              <w:end w:w="100" w:type="dxa"/>
            </w:tcMar>
            <w:vAlign w:val="center"/>
          </w:tcPr>
          <w:p>
            <w:pPr>
              <w:spacing w:before="40" w:after="40"/>
              <w:jc w:val="center"/>
            </w:pPr>
            <w:r>
              <w:rPr>
                <w:b/>
                <w:sz w:val="19"/>
              </w:rPr>
              <w:t>Panel</w:t>
            </w:r>
          </w:p>
        </w:tc>
        <w:tc>
          <w:tcPr>
            <w:tcW w:type="dxa" w:w="7343"/>
            <w:shd w:fill="E7E7E7"/>
            <w:tcMar>
              <w:top w:w="80" w:type="dxa"/>
              <w:start w:w="100" w:type="dxa"/>
              <w:bottom w:w="80" w:type="dxa"/>
              <w:end w:w="100" w:type="dxa"/>
            </w:tcMar>
            <w:vAlign w:val="center"/>
          </w:tcPr>
          <w:p>
            <w:pPr>
              <w:spacing w:before="40" w:after="40"/>
              <w:jc w:val="center"/>
            </w:pPr>
            <w:r>
              <w:rPr>
                <w:b/>
                <w:sz w:val="19"/>
              </w:rPr>
              <w:t>Required content</w:t>
            </w:r>
          </w:p>
        </w:tc>
      </w:tr>
      <w:tr>
        <w:trPr>
          <w:cantSplit/>
        </w:trPr>
        <w:tc>
          <w:tcPr>
            <w:tcW w:type="dxa" w:w="2015"/>
            <w:tcMar>
              <w:top w:w="80" w:type="dxa"/>
              <w:start w:w="100" w:type="dxa"/>
              <w:bottom w:w="80" w:type="dxa"/>
              <w:end w:w="100" w:type="dxa"/>
            </w:tcMar>
            <w:vAlign w:val="center"/>
          </w:tcPr>
          <w:p>
            <w:pPr>
              <w:spacing w:before="20" w:after="20"/>
            </w:pPr>
            <w:r>
              <w:rPr>
                <w:sz w:val="19"/>
              </w:rPr>
              <w:t>Candidate</w:t>
            </w:r>
          </w:p>
        </w:tc>
        <w:tc>
          <w:tcPr>
            <w:tcW w:type="dxa" w:w="7343"/>
            <w:tcMar>
              <w:top w:w="80" w:type="dxa"/>
              <w:start w:w="100" w:type="dxa"/>
              <w:bottom w:w="80" w:type="dxa"/>
              <w:end w:w="100" w:type="dxa"/>
            </w:tcMar>
            <w:vAlign w:val="center"/>
          </w:tcPr>
          <w:p>
            <w:pPr>
              <w:spacing w:before="20" w:after="20"/>
            </w:pPr>
            <w:r>
              <w:rPr>
                <w:sz w:val="19"/>
              </w:rPr>
              <w:t>Sections, proposed path, affected/alternate feeder roles, switching action and transferable load.</w:t>
            </w:r>
          </w:p>
        </w:tc>
      </w:tr>
      <w:tr>
        <w:trPr>
          <w:cantSplit/>
        </w:trPr>
        <w:tc>
          <w:tcPr>
            <w:tcW w:type="dxa" w:w="2015"/>
            <w:tcMar>
              <w:top w:w="80" w:type="dxa"/>
              <w:start w:w="100" w:type="dxa"/>
              <w:bottom w:w="80" w:type="dxa"/>
              <w:end w:w="100" w:type="dxa"/>
            </w:tcMar>
            <w:vAlign w:val="center"/>
          </w:tcPr>
          <w:p>
            <w:pPr>
              <w:spacing w:before="20" w:after="20"/>
            </w:pPr>
            <w:r>
              <w:rPr>
                <w:sz w:val="19"/>
              </w:rPr>
              <w:t>Evidence set</w:t>
            </w:r>
          </w:p>
        </w:tc>
        <w:tc>
          <w:tcPr>
            <w:tcW w:type="dxa" w:w="7343"/>
            <w:tcMar>
              <w:top w:w="80" w:type="dxa"/>
              <w:start w:w="100" w:type="dxa"/>
              <w:bottom w:w="80" w:type="dxa"/>
              <w:end w:w="100" w:type="dxa"/>
            </w:tcMar>
            <w:vAlign w:val="center"/>
          </w:tcPr>
          <w:p>
            <w:pPr>
              <w:spacing w:before="20" w:after="20"/>
            </w:pPr>
            <w:r>
              <w:rPr>
                <w:sz w:val="19"/>
              </w:rPr>
              <w:t>Every required monitored point with value, quality, timestamp, age, freshness and source record ID.</w:t>
            </w:r>
          </w:p>
        </w:tc>
      </w:tr>
      <w:tr>
        <w:trPr>
          <w:cantSplit/>
        </w:trPr>
        <w:tc>
          <w:tcPr>
            <w:tcW w:type="dxa" w:w="2015"/>
            <w:tcMar>
              <w:top w:w="80" w:type="dxa"/>
              <w:start w:w="100" w:type="dxa"/>
              <w:bottom w:w="80" w:type="dxa"/>
              <w:end w:w="100" w:type="dxa"/>
            </w:tcMar>
            <w:vAlign w:val="center"/>
          </w:tcPr>
          <w:p>
            <w:pPr>
              <w:spacing w:before="20" w:after="20"/>
            </w:pPr>
            <w:r>
              <w:rPr>
                <w:sz w:val="19"/>
              </w:rPr>
              <w:t>Permissives</w:t>
            </w:r>
          </w:p>
        </w:tc>
        <w:tc>
          <w:tcPr>
            <w:tcW w:type="dxa" w:w="7343"/>
            <w:tcMar>
              <w:top w:w="80" w:type="dxa"/>
              <w:start w:w="100" w:type="dxa"/>
              <w:bottom w:w="80" w:type="dxa"/>
              <w:end w:w="100" w:type="dxa"/>
            </w:tcMar>
            <w:vAlign w:val="center"/>
          </w:tcPr>
          <w:p>
            <w:pPr>
              <w:spacing w:before="20" w:after="20"/>
            </w:pPr>
            <w:r>
              <w:rPr>
                <w:sz w:val="19"/>
              </w:rPr>
              <w:t>Fault isolation, alternate-source availability, alternate breaker, radial topology, telemetry validity and capacity results with reasons.</w:t>
            </w:r>
          </w:p>
        </w:tc>
      </w:tr>
      <w:tr>
        <w:trPr>
          <w:cantSplit/>
        </w:trPr>
        <w:tc>
          <w:tcPr>
            <w:tcW w:type="dxa" w:w="2015"/>
            <w:tcMar>
              <w:top w:w="80" w:type="dxa"/>
              <w:start w:w="100" w:type="dxa"/>
              <w:bottom w:w="80" w:type="dxa"/>
              <w:end w:w="100" w:type="dxa"/>
            </w:tcMar>
            <w:vAlign w:val="center"/>
          </w:tcPr>
          <w:p>
            <w:pPr>
              <w:spacing w:before="20" w:after="20"/>
            </w:pPr>
            <w:r>
              <w:rPr>
                <w:sz w:val="19"/>
              </w:rPr>
              <w:t>Calculation</w:t>
            </w:r>
          </w:p>
        </w:tc>
        <w:tc>
          <w:tcPr>
            <w:tcW w:type="dxa" w:w="7343"/>
            <w:tcMar>
              <w:top w:w="80" w:type="dxa"/>
              <w:start w:w="100" w:type="dxa"/>
              <w:bottom w:w="80" w:type="dxa"/>
              <w:end w:w="100" w:type="dxa"/>
            </w:tcMar>
            <w:vAlign w:val="center"/>
          </w:tcPr>
          <w:p>
            <w:pPr>
              <w:spacing w:before="20" w:after="20"/>
            </w:pPr>
            <w:r>
              <w:rPr>
                <w:sz w:val="19"/>
              </w:rPr>
              <w:t>Existing alternate load + transferable load = resulting load; resulting/capacity × 100 with units and precision.</w:t>
            </w:r>
          </w:p>
        </w:tc>
      </w:tr>
      <w:tr>
        <w:trPr>
          <w:cantSplit/>
        </w:trPr>
        <w:tc>
          <w:tcPr>
            <w:tcW w:type="dxa" w:w="2015"/>
            <w:tcMar>
              <w:top w:w="80" w:type="dxa"/>
              <w:start w:w="100" w:type="dxa"/>
              <w:bottom w:w="80" w:type="dxa"/>
              <w:end w:w="100" w:type="dxa"/>
            </w:tcMar>
            <w:vAlign w:val="center"/>
          </w:tcPr>
          <w:p>
            <w:pPr>
              <w:spacing w:before="20" w:after="20"/>
            </w:pPr>
            <w:r>
              <w:rPr>
                <w:sz w:val="19"/>
              </w:rPr>
              <w:t>Outcome</w:t>
            </w:r>
          </w:p>
        </w:tc>
        <w:tc>
          <w:tcPr>
            <w:tcW w:type="dxa" w:w="7343"/>
            <w:tcMar>
              <w:top w:w="80" w:type="dxa"/>
              <w:start w:w="100" w:type="dxa"/>
              <w:bottom w:w="80" w:type="dxa"/>
              <w:end w:w="100" w:type="dxa"/>
            </w:tcMar>
            <w:vAlign w:val="center"/>
          </w:tcPr>
          <w:p>
            <w:pPr>
              <w:spacing w:before="20" w:after="20"/>
            </w:pPr>
            <w:r>
              <w:rPr>
                <w:sz w:val="19"/>
              </w:rPr>
              <w:t>NO_CANDIDATE, BLOCKED, REJECTED or PERMITTED, primary reason, all contributing reasons and assessment ID.</w:t>
            </w:r>
          </w:p>
        </w:tc>
      </w:tr>
      <w:tr>
        <w:trPr>
          <w:cantSplit/>
        </w:trPr>
        <w:tc>
          <w:tcPr>
            <w:tcW w:type="dxa" w:w="2015"/>
            <w:tcMar>
              <w:top w:w="80" w:type="dxa"/>
              <w:start w:w="100" w:type="dxa"/>
              <w:bottom w:w="80" w:type="dxa"/>
              <w:end w:w="100" w:type="dxa"/>
            </w:tcMar>
            <w:vAlign w:val="center"/>
          </w:tcPr>
          <w:p>
            <w:pPr>
              <w:spacing w:before="20" w:after="20"/>
            </w:pPr>
            <w:r>
              <w:rPr>
                <w:sz w:val="19"/>
              </w:rPr>
              <w:t>Binding</w:t>
            </w:r>
          </w:p>
        </w:tc>
        <w:tc>
          <w:tcPr>
            <w:tcW w:type="dxa" w:w="7343"/>
            <w:tcMar>
              <w:top w:w="80" w:type="dxa"/>
              <w:start w:w="100" w:type="dxa"/>
              <w:bottom w:w="80" w:type="dxa"/>
              <w:end w:w="100" w:type="dxa"/>
            </w:tcMar>
            <w:vAlign w:val="center"/>
          </w:tcPr>
          <w:p>
            <w:pPr>
              <w:spacing w:before="20" w:after="20"/>
            </w:pPr>
            <w:r>
              <w:rPr>
                <w:sz w:val="19"/>
              </w:rPr>
              <w:t>Run, configuration, candidate, telemetry snapshot and state revision; current or invalidated status.</w:t>
            </w:r>
          </w:p>
        </w:tc>
      </w:tr>
      <w:tr>
        <w:trPr>
          <w:cantSplit/>
        </w:trPr>
        <w:tc>
          <w:tcPr>
            <w:tcW w:type="dxa" w:w="2015"/>
            <w:tcMar>
              <w:top w:w="80" w:type="dxa"/>
              <w:start w:w="100" w:type="dxa"/>
              <w:bottom w:w="80" w:type="dxa"/>
              <w:end w:w="100" w:type="dxa"/>
            </w:tcMar>
            <w:vAlign w:val="center"/>
          </w:tcPr>
          <w:p>
            <w:pPr>
              <w:spacing w:before="20" w:after="20"/>
            </w:pPr>
            <w:r>
              <w:rPr>
                <w:sz w:val="19"/>
              </w:rPr>
              <w:t>Execution</w:t>
            </w:r>
          </w:p>
        </w:tc>
        <w:tc>
          <w:tcPr>
            <w:tcW w:type="dxa" w:w="7343"/>
            <w:tcMar>
              <w:top w:w="80" w:type="dxa"/>
              <w:start w:w="100" w:type="dxa"/>
              <w:bottom w:w="80" w:type="dxa"/>
              <w:end w:w="100" w:type="dxa"/>
            </w:tcMar>
            <w:vAlign w:val="center"/>
          </w:tcPr>
          <w:p>
            <w:pPr>
              <w:spacing w:before="20" w:after="20"/>
            </w:pPr>
            <w:r>
              <w:rPr>
                <w:sz w:val="19"/>
              </w:rPr>
              <w:t>Available only for current PERMITTED; exact simulated action and confirmation. No override control.</w:t>
            </w:r>
          </w:p>
        </w:tc>
      </w:tr>
    </w:tbl>
    <w:p>
      <w:pPr>
        <w:spacing w:after="0"/>
      </w:pPr>
    </w:p>
    <w:p>
      <w:pPr>
        <w:pStyle w:val="Heading2"/>
        <w:keepNext/>
      </w:pPr>
      <w:r>
        <w:t>18.2 Result Semantics</w:t>
      </w:r>
    </w:p>
    <w:p>
      <w:pPr>
        <w:spacing w:before="120" w:after="120"/>
      </w:pPr>
      <w:r>
        <w:rPr>
          <w:b w:val="0"/>
          <w:i w:val="0"/>
        </w:rPr>
        <w:t>The view lists missing/unreliable evidence before failed engineering criteria when the final result is BLOCKED. REJECTED appears only when all required information is trustworthy and at least one engineering criterion fails. PERMITTED requires all criteria to pass. NO_CANDIDATE remains distinct from the three assessment outcomes because no eligible group/path exists.</w:t>
      </w:r>
    </w:p>
    <w:p>
      <w:pPr>
        <w:pStyle w:val="Heading2"/>
        <w:keepNext/>
      </w:pPr>
      <w:r>
        <w:t>18.3 Invalidation</w:t>
      </w:r>
    </w:p>
    <w:p>
      <w:pPr>
        <w:spacing w:before="120" w:after="120"/>
      </w:pPr>
      <w:r>
        <w:rPr>
          <w:b w:val="0"/>
          <w:i w:val="0"/>
        </w:rPr>
        <w:t>When a relevant change invalidates an assessment, the former result remains visible with an INVALIDATED badge, reason, superseding revision and event link. Execute Restoration disappears from allowed_actions. The user may request a new assessment after reviewing current state; a prior assessment is never silently updated.</w:t>
      </w:r>
    </w:p>
    <w:p>
      <w:pPr>
        <w:pStyle w:val="Heading1"/>
        <w:keepNext/>
      </w:pPr>
      <w:r>
        <w:t>19. Formal Validation Workspace</w:t>
      </w:r>
    </w:p>
    <w:p>
      <w:pPr>
        <w:pStyle w:val="Heading2"/>
        <w:keepNext/>
      </w:pPr>
      <w:r>
        <w:t>19.1 Test Definition Panel</w:t>
      </w:r>
    </w:p>
    <w:p>
      <w:pPr>
        <w:spacing w:before="120" w:after="120"/>
      </w:pPr>
      <w:r>
        <w:rPr>
          <w:b w:val="0"/>
          <w:i w:val="0"/>
        </w:rPr>
        <w:t>Before execution, the workspace shows test ID/version, requirements, objective, required configuration, initial conditions, steps/checkpoints, expected result and comparison rule. These fields are read-only. Starting an execution copies/references them into a new execution record before the first scenario action.</w:t>
      </w:r>
    </w:p>
    <w:p>
      <w:pPr>
        <w:pStyle w:val="Heading2"/>
        <w:keepNext/>
      </w:pPr>
      <w:r>
        <w:t>19.2 Execution Progress</w:t>
      </w:r>
    </w:p>
    <w:p>
      <w:pPr>
        <w:spacing w:before="120" w:after="120"/>
      </w:pPr>
      <w:r>
        <w:rPr>
          <w:b w:val="0"/>
          <w:i w:val="0"/>
        </w:rPr>
        <w:t>A step list shows required action, current eligibility, checkpoint requirement and evidence captured. A checkpoint command records exact record IDs and a canonical snapshot without changing the scenario. The workspace may render a human-readable expected-versus-observed table, but the observed column is populated only from captured evidence.</w:t>
      </w:r>
    </w:p>
    <w:p>
      <w:pPr>
        <w:pStyle w:val="Heading2"/>
        <w:keepNext/>
      </w:pPr>
      <w:r>
        <w:t>19.3 Completion</w:t>
      </w:r>
    </w:p>
    <w:p>
      <w:pPr>
        <w:spacing w:before="120" w:after="120"/>
      </w:pPr>
      <w:r>
        <w:rPr>
          <w:b w:val="0"/>
          <w:i w:val="0"/>
        </w:rPr>
        <w:t>Complete Execution becomes available only when all definition-required steps/checkpoints are present. The backend derives the observed result, applies the approved comparison rule and finalises PASS or FAIL with reason and evidence links. Finalisation freezes the execution. A failed seeded-defect execution exposes the controlled ‘Begin DEF-001 Investigation’ navigation action without modifying the failed record.</w:t>
      </w:r>
    </w:p>
    <w:p>
      <w:pPr>
        <w:pStyle w:val="Heading2"/>
        <w:keepNext/>
      </w:pPr>
      <w:r>
        <w:t>19.4 Negative Test Interpretation</w:t>
      </w:r>
    </w:p>
    <w:p>
      <w:pPr>
        <w:spacing w:before="120" w:after="120"/>
      </w:pPr>
      <w:r>
        <w:rPr>
          <w:b w:val="0"/>
          <w:i w:val="0"/>
        </w:rPr>
        <w:t>For the stale-telemetry negative case, the operational assessment result BLOCKED is compared with the expected BLOCKED result. The engineering validation result is PASS when they agree. The interface therefore labels operational outcome and test determination in separate fields and never treats the word BLOCKED as an automatic test failure.</w:t>
      </w:r>
    </w:p>
    <w:p>
      <w:pPr>
        <w:pStyle w:val="Heading1"/>
        <w:keepNext/>
      </w:pPr>
      <w:r>
        <w:t>20. Exploration Mode Handling</w:t>
      </w:r>
    </w:p>
    <w:p>
      <w:pPr>
        <w:pStyle w:val="Heading2"/>
        <w:keepNext/>
      </w:pPr>
      <w:r>
        <w:t>20.1 Initialisation</w:t>
      </w:r>
    </w:p>
    <w:p>
      <w:pPr>
        <w:spacing w:before="120" w:after="120"/>
      </w:pPr>
      <w:r>
        <w:rPr>
          <w:b w:val="0"/>
          <w:i w:val="0"/>
        </w:rPr>
        <w:t>The Start view offers eight represented section IDs only when EXPLORATION is selected. It fixes configuration v1.1, the selected fault section, the abstract fault type and EXPLORATORY evidence class in the new run. The selection is not written to configuration, and the mode/section cannot change after initialisation; reset/new exploration creates another run.</w:t>
      </w:r>
    </w:p>
    <w:p>
      <w:pPr>
        <w:pStyle w:val="Heading2"/>
        <w:keepNext/>
      </w:pPr>
      <w:r>
        <w:t>20.2 Generic Operation</w:t>
      </w:r>
    </w:p>
    <w:p>
      <w:pPr>
        <w:spacing w:before="120" w:after="120"/>
      </w:pPr>
      <w:r>
        <w:rPr>
          <w:b w:val="0"/>
          <w:i w:val="0"/>
        </w:rPr>
        <w:t>The Operational Workspace is reused, but labels use ‘affected feeder’ and ‘alternate feeder’ values returned by the backend. No label or component assumes FDR-A is affected. Candidate discovery and assessment may legitimately return no candidate, BLOCKED, REJECTED or PERMITTED. The interface explains the actual topology, telemetry or capacity reason and never offers a ‘force restoration’ path.</w:t>
      </w:r>
    </w:p>
    <w:p>
      <w:pPr>
        <w:pStyle w:val="Heading2"/>
        <w:keepNext/>
      </w:pPr>
      <w:r>
        <w:t>20.3 Evidence Boundary</w:t>
      </w:r>
    </w:p>
    <w:p>
      <w:pPr>
        <w:spacing w:before="120" w:after="120"/>
      </w:pPr>
      <w:r>
        <w:rPr>
          <w:b w:val="0"/>
          <w:i w:val="0"/>
        </w:rPr>
        <w:t>Every exploration view and export carries the EXPLORATORY classification. The Evidence Library places exploratory records in a separate filter group, and formal completion endpoints reject an exploratory run. If an exploration case merits validation, an engineer creates an approved test definition outside the run and starts a new formal execution.</w:t>
      </w:r>
    </w:p>
    <w:p>
      <w:pPr>
        <w:pStyle w:val="Heading1"/>
        <w:keepNext/>
      </w:pPr>
      <w:r>
        <w:t>21. Evidence Presentation and Export</w:t>
      </w:r>
    </w:p>
    <w:p>
      <w:pPr>
        <w:pStyle w:val="Heading2"/>
        <w:keepNext/>
      </w:pPr>
      <w:r>
        <w:t>21.1 Evidence Library</w:t>
      </w:r>
    </w:p>
    <w:p>
      <w:pPr>
        <w:spacing w:before="120" w:after="120"/>
      </w:pPr>
      <w:r>
        <w:rPr>
          <w:b w:val="0"/>
          <w:i w:val="0"/>
        </w:rPr>
        <w:t>The Evidence Library lists executions and snapshots by class, test, configuration, result, defect/correction links, build and dates. Selecting a record opens its stable source links, exact captured values and calculation traces. The library can review closed runs without changing the current active run.</w:t>
      </w:r>
    </w:p>
    <w:p>
      <w:pPr>
        <w:pStyle w:val="Heading2"/>
        <w:keepNext/>
      </w:pPr>
      <w:r>
        <w:t>21.2 V1 Evidence Export Format</w:t>
      </w:r>
    </w:p>
    <w:p>
      <w:pPr>
        <w:spacing w:before="120" w:after="120"/>
      </w:pPr>
      <w:r>
        <w:rPr>
          <w:b w:val="0"/>
          <w:i w:val="0"/>
        </w:rPr>
        <w:t>The exact V1 export is a new ZIP package named `PKG-&lt;short-id&gt;-&lt;FORMAL|EXPLORATORY&gt;.zip`. Its contents are self-contained and require no server or external web resource:</w:t>
      </w:r>
    </w:p>
    <w:p>
      <w:pPr>
        <w:spacing w:before="0" w:after="40"/>
        <w:ind w:left="720" w:hanging="360"/>
      </w:pPr>
      <w:r>
        <w:rPr>
          <w:b/>
        </w:rPr>
        <w:t>•</w:t>
      </w:r>
      <w:r>
        <w:tab/>
        <w:t>`report.html` — human-readable, print-ready report with project/test identity, requirement links, expected/observed result, determination, configuration/build identities, diagrams, calculations, event references and review metadata;</w:t>
      </w:r>
    </w:p>
    <w:p>
      <w:pPr>
        <w:spacing w:before="0" w:after="40"/>
        <w:ind w:left="720" w:hanging="360"/>
      </w:pPr>
      <w:r>
        <w:rPr>
          <w:b/>
        </w:rPr>
        <w:t>•</w:t>
      </w:r>
      <w:r>
        <w:tab/>
        <w:t>`manifest.json` — package ID, evidence class, source execution/run IDs, generation build, file list, byte sizes and SHA-256 hashes;</w:t>
      </w:r>
    </w:p>
    <w:p>
      <w:pPr>
        <w:spacing w:before="0" w:after="40"/>
        <w:ind w:left="720" w:hanging="360"/>
      </w:pPr>
      <w:r>
        <w:rPr>
          <w:b/>
        </w:rPr>
        <w:t>•</w:t>
      </w:r>
      <w:r>
        <w:tab/>
        <w:t>`records/*.json` — canonical immutable configuration references, test/execution, checkpoints, telemetry, topology, outage, assessment, event, defect/correction and repeat-link records included by stable ID;</w:t>
      </w:r>
    </w:p>
    <w:p>
      <w:pPr>
        <w:spacing w:before="0" w:after="40"/>
        <w:ind w:left="720" w:hanging="360"/>
      </w:pPr>
      <w:r>
        <w:rPr>
          <w:b/>
        </w:rPr>
        <w:t>•</w:t>
      </w:r>
      <w:r>
        <w:tab/>
        <w:t>`figures/*.svg` or `*.png` — rendered network/evidence figures generated from captured snapshots, clearly subordinate to source JSON; and</w:t>
      </w:r>
    </w:p>
    <w:p>
      <w:pPr>
        <w:spacing w:before="0" w:after="40"/>
        <w:ind w:left="720" w:hanging="360"/>
      </w:pPr>
      <w:r>
        <w:rPr>
          <w:b/>
        </w:rPr>
        <w:t>•</w:t>
      </w:r>
      <w:r>
        <w:tab/>
        <w:t>`README.txt` — fictional/simulated boundary, opening instructions and statement that screenshots/figures do not replace the source records.</w:t>
      </w:r>
    </w:p>
    <w:p>
      <w:pPr>
        <w:spacing w:before="120" w:after="120"/>
      </w:pPr>
      <w:r>
        <w:rPr>
          <w:b w:val="0"/>
          <w:i w:val="0"/>
        </w:rPr>
        <w:t>The report uses relative links to records and figures inside the package. `manifest.json` is written last after hashing all other files; the database stores the manifest hash and export path under a new EvidencePackage record. Regenerating an export creates a new package ID rather than overwriting an earlier package.</w:t>
      </w:r>
    </w:p>
    <w:p>
      <w:pPr>
        <w:pStyle w:val="Heading2"/>
        <w:keepNext/>
      </w:pPr>
      <w:r>
        <w:t>21.3 Formal and Exploratory Exports</w:t>
      </w:r>
    </w:p>
    <w:p>
      <w:pPr>
        <w:spacing w:before="120" w:after="120"/>
      </w:pPr>
      <w:r>
        <w:rPr>
          <w:b w:val="0"/>
          <w:i w:val="0"/>
        </w:rPr>
        <w:t>A FORMAL package must originate from a completed validation execution. An EXPLORATORY package may originate from a closed exploratory run and carries a prominent ‘NOT FORMAL VALIDATION EVIDENCE’ banner in the HTML, manifest and README. Package generation never changes a test determination.</w:t>
      </w:r>
    </w:p>
    <w:p>
      <w:pPr>
        <w:spacing w:before="160" w:after="160"/>
        <w:ind w:left="288" w:right="288"/>
        <w:pBdr>
          <w:bottom w:val="single" w:sz="12" w:color="188038"/>
        </w:pBdr>
      </w:pPr>
      <w:r>
        <w:rPr>
          <w:b/>
          <w:color w:val="188038"/>
        </w:rPr>
        <w:t>V2 Automation Candidate</w:t>
      </w:r>
      <w:r>
        <w:t xml:space="preserve"> — Evidence collection, record linking, completeness checking and report assembly are repetitive and error-prone when performed manually. V2 could assist an engineer by identifying missing categories, assembling traceable packages and explaining discrepancies while preserving human review and immutable V1 source records.</w:t>
      </w:r>
    </w:p>
    <w:p>
      <w:pPr>
        <w:pStyle w:val="Heading1"/>
        <w:keepNext/>
      </w:pPr>
      <w:r>
        <w:t>22. Defect Investigation and Configuration Comparison</w:t>
      </w:r>
    </w:p>
    <w:p>
      <w:pPr>
        <w:pStyle w:val="Heading2"/>
        <w:keepNext/>
      </w:pPr>
      <w:r>
        <w:t>22.1 Entry and Progressive Disclosure</w:t>
      </w:r>
    </w:p>
    <w:p>
      <w:pPr>
        <w:spacing w:before="120" w:after="120"/>
      </w:pPr>
      <w:r>
        <w:rPr>
          <w:b w:val="0"/>
          <w:i w:val="0"/>
        </w:rPr>
        <w:t>The normal v1.0 operational workspace exposes the 400-customer result and unexpected FDR-B source attribution to SEC-A3/A4, but it does not highlight SW-A23’s incorrect endpoint. After VT-TOP-DEF-001 is finalised FAIL, the investigation workspace guides the engineer through preserved evidence from consequence to source. Steps may be inspected in order, but the application does not auto-populate DEF-001 root-cause judgement before the engineer reviews the evidence.</w:t>
      </w:r>
    </w:p>
    <w:p>
      <w:pPr>
        <w:pStyle w:val="Heading2"/>
        <w:keepNext/>
      </w:pPr>
      <w:r>
        <w:t>22.2 Investigation Panels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448"/>
            <w:shd w:fill="E7E7E7"/>
            <w:tcMar>
              <w:top w:w="80" w:type="dxa"/>
              <w:start w:w="100" w:type="dxa"/>
              <w:bottom w:w="80" w:type="dxa"/>
              <w:end w:w="100" w:type="dxa"/>
            </w:tcMar>
            <w:vAlign w:val="center"/>
          </w:tcPr>
          <w:p>
            <w:pPr>
              <w:spacing w:before="40" w:after="40"/>
              <w:jc w:val="center"/>
            </w:pPr>
            <w:r>
              <w:rPr>
                <w:b/>
                <w:sz w:val="19"/>
              </w:rPr>
              <w:t>Panel</w:t>
            </w:r>
          </w:p>
        </w:tc>
        <w:tc>
          <w:tcPr>
            <w:tcW w:type="dxa" w:w="6912"/>
            <w:shd w:fill="E7E7E7"/>
            <w:tcMar>
              <w:top w:w="80" w:type="dxa"/>
              <w:start w:w="100" w:type="dxa"/>
              <w:bottom w:w="80" w:type="dxa"/>
              <w:end w:w="100" w:type="dxa"/>
            </w:tcMar>
            <w:vAlign w:val="center"/>
          </w:tcPr>
          <w:p>
            <w:pPr>
              <w:spacing w:before="40" w:after="40"/>
              <w:jc w:val="center"/>
            </w:pPr>
            <w:r>
              <w:rPr>
                <w:b/>
                <w:sz w:val="19"/>
              </w:rPr>
              <w:t>Evidence / finding</w:t>
            </w:r>
          </w:p>
        </w:tc>
      </w:tr>
      <w:tr>
        <w:trPr>
          <w:cantSplit/>
        </w:trPr>
        <w:tc>
          <w:tcPr>
            <w:tcW w:type="dxa" w:w="2448"/>
            <w:tcMar>
              <w:top w:w="80" w:type="dxa"/>
              <w:start w:w="100" w:type="dxa"/>
              <w:bottom w:w="80" w:type="dxa"/>
              <w:end w:w="100" w:type="dxa"/>
            </w:tcMar>
            <w:vAlign w:val="center"/>
          </w:tcPr>
          <w:p>
            <w:pPr>
              <w:spacing w:before="20" w:after="20"/>
            </w:pPr>
            <w:r>
              <w:rPr>
                <w:sz w:val="19"/>
              </w:rPr>
              <w:t>Execution comparison</w:t>
            </w:r>
          </w:p>
        </w:tc>
        <w:tc>
          <w:tcPr>
            <w:tcW w:type="dxa" w:w="6912"/>
            <w:tcMar>
              <w:top w:w="80" w:type="dxa"/>
              <w:start w:w="100" w:type="dxa"/>
              <w:bottom w:w="80" w:type="dxa"/>
              <w:end w:w="100" w:type="dxa"/>
            </w:tcMar>
            <w:vAlign w:val="center"/>
          </w:tcPr>
          <w:p>
            <w:pPr>
              <w:spacing w:before="20" w:after="20"/>
            </w:pPr>
            <w:r>
              <w:rPr>
                <w:sz w:val="19"/>
              </w:rPr>
              <w:t>Expected 850 versus observed 400, exact run/configuration/build identities and FAIL reason.</w:t>
            </w:r>
          </w:p>
        </w:tc>
      </w:tr>
      <w:tr>
        <w:trPr>
          <w:cantSplit/>
        </w:trPr>
        <w:tc>
          <w:tcPr>
            <w:tcW w:type="dxa" w:w="2448"/>
            <w:tcMar>
              <w:top w:w="80" w:type="dxa"/>
              <w:start w:w="100" w:type="dxa"/>
              <w:bottom w:w="80" w:type="dxa"/>
              <w:end w:w="100" w:type="dxa"/>
            </w:tcMar>
            <w:vAlign w:val="center"/>
          </w:tcPr>
          <w:p>
            <w:pPr>
              <w:spacing w:before="20" w:after="20"/>
            </w:pPr>
            <w:r>
              <w:rPr>
                <w:sz w:val="19"/>
              </w:rPr>
              <w:t>Initiating telemetry</w:t>
            </w:r>
          </w:p>
        </w:tc>
        <w:tc>
          <w:tcPr>
            <w:tcW w:type="dxa" w:w="6912"/>
            <w:tcMar>
              <w:top w:w="80" w:type="dxa"/>
              <w:start w:w="100" w:type="dxa"/>
              <w:bottom w:w="80" w:type="dxa"/>
              <w:end w:w="100" w:type="dxa"/>
            </w:tcMar>
            <w:vAlign w:val="center"/>
          </w:tcPr>
          <w:p>
            <w:pPr>
              <w:spacing w:before="20" w:after="20"/>
            </w:pPr>
            <w:r>
              <w:rPr>
                <w:sz w:val="19"/>
              </w:rPr>
              <w:t>BRK-A OPEN, GOOD and fresh; telemetry error ruled out.</w:t>
            </w:r>
          </w:p>
        </w:tc>
      </w:tr>
      <w:tr>
        <w:trPr>
          <w:cantSplit/>
        </w:trPr>
        <w:tc>
          <w:tcPr>
            <w:tcW w:type="dxa" w:w="2448"/>
            <w:tcMar>
              <w:top w:w="80" w:type="dxa"/>
              <w:start w:w="100" w:type="dxa"/>
              <w:bottom w:w="80" w:type="dxa"/>
              <w:end w:w="100" w:type="dxa"/>
            </w:tcMar>
            <w:vAlign w:val="center"/>
          </w:tcPr>
          <w:p>
            <w:pPr>
              <w:spacing w:before="20" w:after="20"/>
            </w:pPr>
            <w:r>
              <w:rPr>
                <w:sz w:val="19"/>
              </w:rPr>
              <w:t>Section comparison</w:t>
            </w:r>
          </w:p>
        </w:tc>
        <w:tc>
          <w:tcPr>
            <w:tcW w:type="dxa" w:w="6912"/>
            <w:tcMar>
              <w:top w:w="80" w:type="dxa"/>
              <w:start w:w="100" w:type="dxa"/>
              <w:bottom w:w="80" w:type="dxa"/>
              <w:end w:w="100" w:type="dxa"/>
            </w:tcMar>
            <w:vAlign w:val="center"/>
          </w:tcPr>
          <w:p>
            <w:pPr>
              <w:spacing w:before="20" w:after="20"/>
            </w:pPr>
            <w:r>
              <w:rPr>
                <w:sz w:val="19"/>
              </w:rPr>
              <w:t>A1/A2 de-energised; A3/A4 unexpectedly energised from FDR-B.</w:t>
            </w:r>
          </w:p>
        </w:tc>
      </w:tr>
      <w:tr>
        <w:trPr>
          <w:cantSplit/>
        </w:trPr>
        <w:tc>
          <w:tcPr>
            <w:tcW w:type="dxa" w:w="2448"/>
            <w:tcMar>
              <w:top w:w="80" w:type="dxa"/>
              <w:start w:w="100" w:type="dxa"/>
              <w:bottom w:w="80" w:type="dxa"/>
              <w:end w:w="100" w:type="dxa"/>
            </w:tcMar>
            <w:vAlign w:val="center"/>
          </w:tcPr>
          <w:p>
            <w:pPr>
              <w:spacing w:before="20" w:after="20"/>
            </w:pPr>
            <w:r>
              <w:rPr>
                <w:sz w:val="19"/>
              </w:rPr>
              <w:t>OMS arithmetic</w:t>
            </w:r>
          </w:p>
        </w:tc>
        <w:tc>
          <w:tcPr>
            <w:tcW w:type="dxa" w:w="6912"/>
            <w:tcMar>
              <w:top w:w="80" w:type="dxa"/>
              <w:start w:w="100" w:type="dxa"/>
              <w:bottom w:w="80" w:type="dxa"/>
              <w:end w:w="100" w:type="dxa"/>
            </w:tcMar>
            <w:vAlign w:val="center"/>
          </w:tcPr>
          <w:p>
            <w:pPr>
              <w:spacing w:before="20" w:after="20"/>
            </w:pPr>
            <w:r>
              <w:rPr>
                <w:sz w:val="19"/>
              </w:rPr>
              <w:t>Observed de-energised set A1/A2 maps to 180 + 220 = 400; OMS processing is consistent with topology input.</w:t>
            </w:r>
          </w:p>
        </w:tc>
      </w:tr>
      <w:tr>
        <w:trPr>
          <w:cantSplit/>
        </w:trPr>
        <w:tc>
          <w:tcPr>
            <w:tcW w:type="dxa" w:w="2448"/>
            <w:tcMar>
              <w:top w:w="80" w:type="dxa"/>
              <w:start w:w="100" w:type="dxa"/>
              <w:bottom w:w="80" w:type="dxa"/>
              <w:end w:w="100" w:type="dxa"/>
            </w:tcMar>
            <w:vAlign w:val="center"/>
          </w:tcPr>
          <w:p>
            <w:pPr>
              <w:spacing w:before="20" w:after="20"/>
            </w:pPr>
            <w:r>
              <w:rPr>
                <w:sz w:val="19"/>
              </w:rPr>
              <w:t>Source-path trace</w:t>
            </w:r>
          </w:p>
        </w:tc>
        <w:tc>
          <w:tcPr>
            <w:tcW w:type="dxa" w:w="6912"/>
            <w:tcMar>
              <w:top w:w="80" w:type="dxa"/>
              <w:start w:w="100" w:type="dxa"/>
              <w:bottom w:w="80" w:type="dxa"/>
              <w:end w:w="100" w:type="dxa"/>
            </w:tcMar>
            <w:vAlign w:val="center"/>
          </w:tcPr>
          <w:p>
            <w:pPr>
              <w:spacing w:before="20" w:after="20"/>
            </w:pPr>
            <w:r>
              <w:rPr>
                <w:sz w:val="19"/>
              </w:rPr>
              <w:t>SEC-A3 → SW-A23 → SEC-B3 → healthy FDR-B graph.</w:t>
            </w:r>
          </w:p>
        </w:tc>
      </w:tr>
      <w:tr>
        <w:trPr>
          <w:cantSplit/>
        </w:trPr>
        <w:tc>
          <w:tcPr>
            <w:tcW w:type="dxa" w:w="2448"/>
            <w:tcMar>
              <w:top w:w="80" w:type="dxa"/>
              <w:start w:w="100" w:type="dxa"/>
              <w:bottom w:w="80" w:type="dxa"/>
              <w:end w:w="100" w:type="dxa"/>
            </w:tcMar>
            <w:vAlign w:val="center"/>
          </w:tcPr>
          <w:p>
            <w:pPr>
              <w:spacing w:before="20" w:after="20"/>
            </w:pPr>
            <w:r>
              <w:rPr>
                <w:sz w:val="19"/>
              </w:rPr>
              <w:t>Configuration endpoints</w:t>
            </w:r>
          </w:p>
        </w:tc>
        <w:tc>
          <w:tcPr>
            <w:tcW w:type="dxa" w:w="6912"/>
            <w:tcMar>
              <w:top w:w="80" w:type="dxa"/>
              <w:start w:w="100" w:type="dxa"/>
              <w:bottom w:w="80" w:type="dxa"/>
              <w:end w:w="100" w:type="dxa"/>
            </w:tcMar>
            <w:vAlign w:val="center"/>
          </w:tcPr>
          <w:p>
            <w:pPr>
              <w:spacing w:before="20" w:after="20"/>
            </w:pPr>
            <w:r>
              <w:rPr>
                <w:sz w:val="19"/>
              </w:rPr>
              <w:t>v1.0 SEC-B3 ↔ SW-A23 ↔ SEC-A3 compared with intended/v1.1 SEC-A2 ↔ SW-A23 ↔ SEC-A3.</w:t>
            </w:r>
          </w:p>
        </w:tc>
      </w:tr>
      <w:tr>
        <w:trPr>
          <w:cantSplit/>
        </w:trPr>
        <w:tc>
          <w:tcPr>
            <w:tcW w:type="dxa" w:w="2448"/>
            <w:tcMar>
              <w:top w:w="80" w:type="dxa"/>
              <w:start w:w="100" w:type="dxa"/>
              <w:bottom w:w="80" w:type="dxa"/>
              <w:end w:w="100" w:type="dxa"/>
            </w:tcMar>
            <w:vAlign w:val="center"/>
          </w:tcPr>
          <w:p>
            <w:pPr>
              <w:spacing w:before="20" w:after="20"/>
            </w:pPr>
            <w:r>
              <w:rPr>
                <w:sz w:val="19"/>
              </w:rPr>
              <w:t>Root-cause record</w:t>
            </w:r>
          </w:p>
        </w:tc>
        <w:tc>
          <w:tcPr>
            <w:tcW w:type="dxa" w:w="6912"/>
            <w:tcMar>
              <w:top w:w="80" w:type="dxa"/>
              <w:start w:w="100" w:type="dxa"/>
              <w:bottom w:w="80" w:type="dxa"/>
              <w:end w:w="100" w:type="dxa"/>
            </w:tcMar>
            <w:vAlign w:val="center"/>
          </w:tcPr>
          <w:p>
            <w:pPr>
              <w:spacing w:before="20" w:after="20"/>
            </w:pPr>
            <w:r>
              <w:rPr>
                <w:sz w:val="19"/>
              </w:rPr>
              <w:t>DEF-001 propagation: incorrect connectivity → incorrect energisation → incorrect outage set → 450-customer understatement.</w:t>
            </w:r>
          </w:p>
        </w:tc>
      </w:tr>
    </w:tbl>
    <w:p>
      <w:pPr>
        <w:spacing w:after="0"/>
      </w:pPr>
    </w:p>
    <w:p>
      <w:pPr>
        <w:pStyle w:val="Heading2"/>
        <w:keepNext/>
      </w:pPr>
      <w:r>
        <w:t>22.3 Configuration Comparison</w:t>
      </w:r>
    </w:p>
    <w:p>
      <w:pPr>
        <w:spacing w:before="120" w:after="120"/>
      </w:pPr>
      <w:r>
        <w:rPr>
          <w:b w:val="0"/>
          <w:i w:val="0"/>
        </w:rPr>
        <w:t>The compare view reads both immutable configuration packages and shows added/removed endpoint relationships, unchanged assets, loads, capacities, customers and normal states. It must report exactly one approved topology correction involving SW-A23 endpoint 1. The view is available for investigation/correction review and does not provide an editor.</w:t>
      </w:r>
    </w:p>
    <w:p>
      <w:pPr>
        <w:pStyle w:val="Heading2"/>
        <w:keepNext/>
      </w:pPr>
      <w:r>
        <w:t>22.4 Correction and Repeat</w:t>
      </w:r>
    </w:p>
    <w:p>
      <w:pPr>
        <w:spacing w:before="120" w:after="120"/>
      </w:pPr>
      <w:r>
        <w:rPr>
          <w:b w:val="0"/>
          <w:i w:val="0"/>
        </w:rPr>
        <w:t>The correction workflow records the approved v1.0-to-v1.1 relationship and selects the already preserved v1.1 package for a new direct repeat execution. The application displays original FAIL, DEF-001, correction, repeat PASS and later N0–N5 regression as separate linked records. It verifies that application_build_id is unchanged between the comparative topology tests.</w:t>
      </w:r>
    </w:p>
    <w:p>
      <w:pPr>
        <w:spacing w:before="160" w:after="160"/>
        <w:ind w:left="288" w:right="288"/>
        <w:pBdr>
          <w:bottom w:val="single" w:sz="12" w:color="188038"/>
        </w:pBdr>
      </w:pPr>
      <w:r>
        <w:rPr>
          <w:b/>
          <w:color w:val="188038"/>
        </w:rPr>
        <w:t>V2 Automation Candidate</w:t>
      </w:r>
      <w:r>
        <w:t xml:space="preserve"> — Configuration comparison, consequence tracing, affected-requirement identification and regression-test selection are evidence-heavy engineering activities. V2 could propose configuration QA findings and impacted tests, but the engineer would retain authority to confirm root cause, approve correction and interpret assurance evidence.</w:t>
      </w:r>
    </w:p>
    <w:p>
      <w:pPr>
        <w:pStyle w:val="Heading1"/>
        <w:keepNext/>
      </w:pPr>
      <w:r>
        <w:t>23. Action Availability and Interaction Rules</w:t>
      </w:r>
    </w:p>
    <w:p>
      <w:pPr>
        <w:pStyle w:val="Heading2"/>
        <w:keepNext/>
      </w:pPr>
      <w:r>
        <w:t>23.1 Backend-Owned Allowed Actions</w:t>
      </w:r>
    </w:p>
    <w:p>
      <w:pPr>
        <w:spacing w:before="120" w:after="120"/>
      </w:pPr>
      <w:r>
        <w:rPr>
          <w:b w:val="0"/>
          <w:i w:val="0"/>
        </w:rPr>
        <w:t>The snapshot response contains allowed_actions for every relevant command with available/unavailable state and reason. The frontend displays primary available actions and may show unavailable actions disabled when their explanation is educational. Hiding an unavailable action is allowed only where no confusion results; the backend still owns the gate.</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880"/>
            <w:shd w:fill="E7E7E7"/>
            <w:tcMar>
              <w:top w:w="80" w:type="dxa"/>
              <w:start w:w="100" w:type="dxa"/>
              <w:bottom w:w="80" w:type="dxa"/>
              <w:end w:w="100" w:type="dxa"/>
            </w:tcMar>
            <w:vAlign w:val="center"/>
          </w:tcPr>
          <w:p>
            <w:pPr>
              <w:spacing w:before="40" w:after="40"/>
              <w:jc w:val="center"/>
            </w:pPr>
            <w:r>
              <w:rPr>
                <w:b/>
                <w:sz w:val="19"/>
              </w:rPr>
              <w:t>Interaction condition</w:t>
            </w:r>
          </w:p>
        </w:tc>
        <w:tc>
          <w:tcPr>
            <w:tcW w:type="dxa" w:w="6480"/>
            <w:shd w:fill="E7E7E7"/>
            <w:tcMar>
              <w:top w:w="80" w:type="dxa"/>
              <w:start w:w="100" w:type="dxa"/>
              <w:bottom w:w="80" w:type="dxa"/>
              <w:end w:w="100" w:type="dxa"/>
            </w:tcMar>
            <w:vAlign w:val="center"/>
          </w:tcPr>
          <w:p>
            <w:pPr>
              <w:spacing w:before="40" w:after="40"/>
              <w:jc w:val="center"/>
            </w:pPr>
            <w:r>
              <w:rPr>
                <w:b/>
                <w:sz w:val="19"/>
              </w:rPr>
              <w:t>Presentation rule</w:t>
            </w:r>
          </w:p>
        </w:tc>
      </w:tr>
      <w:tr>
        <w:trPr>
          <w:cantSplit/>
        </w:trPr>
        <w:tc>
          <w:tcPr>
            <w:tcW w:type="dxa" w:w="2880"/>
            <w:tcMar>
              <w:top w:w="80" w:type="dxa"/>
              <w:start w:w="100" w:type="dxa"/>
              <w:bottom w:w="80" w:type="dxa"/>
              <w:end w:w="100" w:type="dxa"/>
            </w:tcMar>
            <w:vAlign w:val="center"/>
          </w:tcPr>
          <w:p>
            <w:pPr>
              <w:spacing w:before="20" w:after="20"/>
            </w:pPr>
            <w:r>
              <w:rPr>
                <w:sz w:val="19"/>
              </w:rPr>
              <w:t>Action available</w:t>
            </w:r>
          </w:p>
        </w:tc>
        <w:tc>
          <w:tcPr>
            <w:tcW w:type="dxa" w:w="6480"/>
            <w:tcMar>
              <w:top w:w="80" w:type="dxa"/>
              <w:start w:w="100" w:type="dxa"/>
              <w:bottom w:w="80" w:type="dxa"/>
              <w:end w:w="100" w:type="dxa"/>
            </w:tcMar>
            <w:vAlign w:val="center"/>
          </w:tcPr>
          <w:p>
            <w:pPr>
              <w:spacing w:before="20" w:after="20"/>
            </w:pPr>
            <w:r>
              <w:rPr>
                <w:sz w:val="19"/>
              </w:rPr>
              <w:t>Enabled button with target, requested state, current revision and concise prerequisite summary.</w:t>
            </w:r>
          </w:p>
        </w:tc>
      </w:tr>
      <w:tr>
        <w:trPr>
          <w:cantSplit/>
        </w:trPr>
        <w:tc>
          <w:tcPr>
            <w:tcW w:type="dxa" w:w="2880"/>
            <w:tcMar>
              <w:top w:w="80" w:type="dxa"/>
              <w:start w:w="100" w:type="dxa"/>
              <w:bottom w:w="80" w:type="dxa"/>
              <w:end w:w="100" w:type="dxa"/>
            </w:tcMar>
            <w:vAlign w:val="center"/>
          </w:tcPr>
          <w:p>
            <w:pPr>
              <w:spacing w:before="20" w:after="20"/>
            </w:pPr>
            <w:r>
              <w:rPr>
                <w:sz w:val="19"/>
              </w:rPr>
              <w:t>Unavailable prerequisite</w:t>
            </w:r>
          </w:p>
        </w:tc>
        <w:tc>
          <w:tcPr>
            <w:tcW w:type="dxa" w:w="6480"/>
            <w:tcMar>
              <w:top w:w="80" w:type="dxa"/>
              <w:start w:w="100" w:type="dxa"/>
              <w:bottom w:w="80" w:type="dxa"/>
              <w:end w:w="100" w:type="dxa"/>
            </w:tcMar>
            <w:vAlign w:val="center"/>
          </w:tcPr>
          <w:p>
            <w:pPr>
              <w:spacing w:before="20" w:after="20"/>
            </w:pPr>
            <w:r>
              <w:rPr>
                <w:sz w:val="19"/>
              </w:rPr>
              <w:t>Disabled with exact prior condition or derived source-path reason; no mutation request is sent.</w:t>
            </w:r>
          </w:p>
        </w:tc>
      </w:tr>
      <w:tr>
        <w:trPr>
          <w:cantSplit/>
        </w:trPr>
        <w:tc>
          <w:tcPr>
            <w:tcW w:type="dxa" w:w="2880"/>
            <w:tcMar>
              <w:top w:w="80" w:type="dxa"/>
              <w:start w:w="100" w:type="dxa"/>
              <w:bottom w:w="80" w:type="dxa"/>
              <w:end w:w="100" w:type="dxa"/>
            </w:tcMar>
            <w:vAlign w:val="center"/>
          </w:tcPr>
          <w:p>
            <w:pPr>
              <w:spacing w:before="20" w:after="20"/>
            </w:pPr>
            <w:r>
              <w:rPr>
                <w:sz w:val="19"/>
              </w:rPr>
              <w:t>Stale browser revision</w:t>
            </w:r>
          </w:p>
        </w:tc>
        <w:tc>
          <w:tcPr>
            <w:tcW w:type="dxa" w:w="6480"/>
            <w:tcMar>
              <w:top w:w="80" w:type="dxa"/>
              <w:start w:w="100" w:type="dxa"/>
              <w:bottom w:w="80" w:type="dxa"/>
              <w:end w:w="100" w:type="dxa"/>
            </w:tcMar>
            <w:vAlign w:val="center"/>
          </w:tcPr>
          <w:p>
            <w:pPr>
              <w:spacing w:before="20" w:after="20"/>
            </w:pPr>
            <w:r>
              <w:rPr>
                <w:sz w:val="19"/>
              </w:rPr>
              <w:t>Backend rejects, returns current revision/projection and prompts review before retry.</w:t>
            </w:r>
          </w:p>
        </w:tc>
      </w:tr>
      <w:tr>
        <w:trPr>
          <w:cantSplit/>
        </w:trPr>
        <w:tc>
          <w:tcPr>
            <w:tcW w:type="dxa" w:w="2880"/>
            <w:tcMar>
              <w:top w:w="80" w:type="dxa"/>
              <w:start w:w="100" w:type="dxa"/>
              <w:bottom w:w="80" w:type="dxa"/>
              <w:end w:w="100" w:type="dxa"/>
            </w:tcMar>
            <w:vAlign w:val="center"/>
          </w:tcPr>
          <w:p>
            <w:pPr>
              <w:spacing w:before="20" w:after="20"/>
            </w:pPr>
            <w:r>
              <w:rPr>
                <w:sz w:val="19"/>
              </w:rPr>
              <w:t>Processing in progress</w:t>
            </w:r>
          </w:p>
        </w:tc>
        <w:tc>
          <w:tcPr>
            <w:tcW w:type="dxa" w:w="6480"/>
            <w:tcMar>
              <w:top w:w="80" w:type="dxa"/>
              <w:start w:w="100" w:type="dxa"/>
              <w:bottom w:w="80" w:type="dxa"/>
              <w:end w:w="100" w:type="dxa"/>
            </w:tcMar>
            <w:vAlign w:val="center"/>
          </w:tcPr>
          <w:p>
            <w:pPr>
              <w:spacing w:before="20" w:after="20"/>
            </w:pPr>
            <w:r>
              <w:rPr>
                <w:sz w:val="19"/>
              </w:rPr>
              <w:t>Disable duplicate click; retain command_id for safe retry.</w:t>
            </w:r>
          </w:p>
        </w:tc>
      </w:tr>
      <w:tr>
        <w:trPr>
          <w:cantSplit/>
        </w:trPr>
        <w:tc>
          <w:tcPr>
            <w:tcW w:type="dxa" w:w="2880"/>
            <w:tcMar>
              <w:top w:w="80" w:type="dxa"/>
              <w:start w:w="100" w:type="dxa"/>
              <w:bottom w:w="80" w:type="dxa"/>
              <w:end w:w="100" w:type="dxa"/>
            </w:tcMar>
            <w:vAlign w:val="center"/>
          </w:tcPr>
          <w:p>
            <w:pPr>
              <w:spacing w:before="20" w:after="20"/>
            </w:pPr>
            <w:r>
              <w:rPr>
                <w:sz w:val="19"/>
              </w:rPr>
              <w:t>Simulated switching</w:t>
            </w:r>
          </w:p>
        </w:tc>
        <w:tc>
          <w:tcPr>
            <w:tcW w:type="dxa" w:w="6480"/>
            <w:tcMar>
              <w:top w:w="80" w:type="dxa"/>
              <w:start w:w="100" w:type="dxa"/>
              <w:bottom w:w="80" w:type="dxa"/>
              <w:end w:w="100" w:type="dxa"/>
            </w:tcMar>
            <w:vAlign w:val="center"/>
          </w:tcPr>
          <w:p>
            <w:pPr>
              <w:spacing w:before="20" w:after="20"/>
            </w:pPr>
            <w:r>
              <w:rPr>
                <w:sz w:val="19"/>
              </w:rPr>
              <w:t>Require confirmation naming device/state and stating no real equipment control.</w:t>
            </w:r>
          </w:p>
        </w:tc>
      </w:tr>
      <w:tr>
        <w:trPr>
          <w:cantSplit/>
        </w:trPr>
        <w:tc>
          <w:tcPr>
            <w:tcW w:type="dxa" w:w="2880"/>
            <w:tcMar>
              <w:top w:w="80" w:type="dxa"/>
              <w:start w:w="100" w:type="dxa"/>
              <w:bottom w:w="80" w:type="dxa"/>
              <w:end w:w="100" w:type="dxa"/>
            </w:tcMar>
            <w:vAlign w:val="center"/>
          </w:tcPr>
          <w:p>
            <w:pPr>
              <w:spacing w:before="20" w:after="20"/>
            </w:pPr>
            <w:r>
              <w:rPr>
                <w:sz w:val="19"/>
              </w:rPr>
              <w:t>Assessment invalidated</w:t>
            </w:r>
          </w:p>
        </w:tc>
        <w:tc>
          <w:tcPr>
            <w:tcW w:type="dxa" w:w="6480"/>
            <w:tcMar>
              <w:top w:w="80" w:type="dxa"/>
              <w:start w:w="100" w:type="dxa"/>
              <w:bottom w:w="80" w:type="dxa"/>
              <w:end w:w="100" w:type="dxa"/>
            </w:tcMar>
            <w:vAlign w:val="center"/>
          </w:tcPr>
          <w:p>
            <w:pPr>
              <w:spacing w:before="20" w:after="20"/>
            </w:pPr>
            <w:r>
              <w:rPr>
                <w:sz w:val="19"/>
              </w:rPr>
              <w:t>Remove execution action; show old assessment and reason; offer reassessment only if available.</w:t>
            </w:r>
          </w:p>
        </w:tc>
      </w:tr>
      <w:tr>
        <w:trPr>
          <w:cantSplit/>
        </w:trPr>
        <w:tc>
          <w:tcPr>
            <w:tcW w:type="dxa" w:w="2880"/>
            <w:tcMar>
              <w:top w:w="80" w:type="dxa"/>
              <w:start w:w="100" w:type="dxa"/>
              <w:bottom w:w="80" w:type="dxa"/>
              <w:end w:w="100" w:type="dxa"/>
            </w:tcMar>
            <w:vAlign w:val="center"/>
          </w:tcPr>
          <w:p>
            <w:pPr>
              <w:spacing w:before="20" w:after="20"/>
            </w:pPr>
            <w:r>
              <w:rPr>
                <w:sz w:val="19"/>
              </w:rPr>
              <w:t>Reset</w:t>
            </w:r>
          </w:p>
        </w:tc>
        <w:tc>
          <w:tcPr>
            <w:tcW w:type="dxa" w:w="6480"/>
            <w:tcMar>
              <w:top w:w="80" w:type="dxa"/>
              <w:start w:w="100" w:type="dxa"/>
              <w:bottom w:w="80" w:type="dxa"/>
              <w:end w:w="100" w:type="dxa"/>
            </w:tcMar>
            <w:vAlign w:val="center"/>
          </w:tcPr>
          <w:p>
            <w:pPr>
              <w:spacing w:before="20" w:after="20"/>
            </w:pPr>
            <w:r>
              <w:rPr>
                <w:sz w:val="19"/>
              </w:rPr>
              <w:t>Confirm that a new run will be created and preserved history will remain; reset is not undo.</w:t>
            </w:r>
          </w:p>
        </w:tc>
      </w:tr>
    </w:tbl>
    <w:p>
      <w:pPr>
        <w:spacing w:after="0"/>
      </w:pPr>
    </w:p>
    <w:p>
      <w:pPr>
        <w:pStyle w:val="Heading2"/>
        <w:keepNext/>
      </w:pPr>
      <w:r>
        <w:t>23.2 No Direct State Navigation</w:t>
      </w:r>
    </w:p>
    <w:p>
      <w:pPr>
        <w:spacing w:before="120" w:after="120"/>
      </w:pPr>
      <w:r>
        <w:rPr>
          <w:b w:val="0"/>
          <w:i w:val="0"/>
        </w:rPr>
        <w:t>The interface has no N0–N5 stepper that jumps to a state. N-state labels describe achieved engineering conditions only. A workflow progress indicator may show completed/current/pending steps, but the next step becomes actionable solely from returned allowed_actions and current derived state.</w:t>
      </w:r>
    </w:p>
    <w:p>
      <w:pPr>
        <w:pStyle w:val="Heading1"/>
        <w:keepNext/>
      </w:pPr>
      <w:r>
        <w:t>24. Visual Encoding and Reviewability</w:t>
      </w:r>
    </w:p>
    <w:p>
      <w:pPr>
        <w:pStyle w:val="Heading2"/>
        <w:keepNext/>
      </w:pPr>
      <w:r>
        <w:t>24.1 Network Encoding</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520"/>
            <w:shd w:fill="E7E7E7"/>
            <w:tcMar>
              <w:top w:w="80" w:type="dxa"/>
              <w:start w:w="100" w:type="dxa"/>
              <w:bottom w:w="80" w:type="dxa"/>
              <w:end w:w="100" w:type="dxa"/>
            </w:tcMar>
            <w:vAlign w:val="center"/>
          </w:tcPr>
          <w:p>
            <w:pPr>
              <w:spacing w:before="40" w:after="40"/>
              <w:jc w:val="center"/>
            </w:pPr>
            <w:r>
              <w:rPr>
                <w:b/>
                <w:sz w:val="19"/>
              </w:rPr>
              <w:t>Concept</w:t>
            </w:r>
          </w:p>
        </w:tc>
        <w:tc>
          <w:tcPr>
            <w:tcW w:type="dxa" w:w="6840"/>
            <w:shd w:fill="E7E7E7"/>
            <w:tcMar>
              <w:top w:w="80" w:type="dxa"/>
              <w:start w:w="100" w:type="dxa"/>
              <w:bottom w:w="80" w:type="dxa"/>
              <w:end w:w="100" w:type="dxa"/>
            </w:tcMar>
            <w:vAlign w:val="center"/>
          </w:tcPr>
          <w:p>
            <w:pPr>
              <w:spacing w:before="40" w:after="40"/>
              <w:jc w:val="center"/>
            </w:pPr>
            <w:r>
              <w:rPr>
                <w:b/>
                <w:sz w:val="19"/>
              </w:rPr>
              <w:t>Visual treatment</w:t>
            </w:r>
          </w:p>
        </w:tc>
      </w:tr>
      <w:tr>
        <w:trPr>
          <w:cantSplit/>
        </w:trPr>
        <w:tc>
          <w:tcPr>
            <w:tcW w:type="dxa" w:w="2520"/>
            <w:tcMar>
              <w:top w:w="80" w:type="dxa"/>
              <w:start w:w="100" w:type="dxa"/>
              <w:bottom w:w="80" w:type="dxa"/>
              <w:end w:w="100" w:type="dxa"/>
            </w:tcMar>
            <w:vAlign w:val="center"/>
          </w:tcPr>
          <w:p>
            <w:pPr>
              <w:spacing w:before="20" w:after="20"/>
            </w:pPr>
            <w:r>
              <w:rPr>
                <w:sz w:val="19"/>
              </w:rPr>
              <w:t>Energised section</w:t>
            </w:r>
          </w:p>
        </w:tc>
        <w:tc>
          <w:tcPr>
            <w:tcW w:type="dxa" w:w="6840"/>
            <w:tcMar>
              <w:top w:w="80" w:type="dxa"/>
              <w:start w:w="100" w:type="dxa"/>
              <w:bottom w:w="80" w:type="dxa"/>
              <w:end w:w="100" w:type="dxa"/>
            </w:tcMar>
            <w:vAlign w:val="center"/>
          </w:tcPr>
          <w:p>
            <w:pPr>
              <w:spacing w:before="20" w:after="20"/>
            </w:pPr>
            <w:r>
              <w:rPr>
                <w:sz w:val="19"/>
              </w:rPr>
              <w:t>Solid teal/blue line plus ‘ENERGISED’ text and source feeder badge.</w:t>
            </w:r>
          </w:p>
        </w:tc>
      </w:tr>
      <w:tr>
        <w:trPr>
          <w:cantSplit/>
        </w:trPr>
        <w:tc>
          <w:tcPr>
            <w:tcW w:type="dxa" w:w="2520"/>
            <w:tcMar>
              <w:top w:w="80" w:type="dxa"/>
              <w:start w:w="100" w:type="dxa"/>
              <w:bottom w:w="80" w:type="dxa"/>
              <w:end w:w="100" w:type="dxa"/>
            </w:tcMar>
            <w:vAlign w:val="center"/>
          </w:tcPr>
          <w:p>
            <w:pPr>
              <w:spacing w:before="20" w:after="20"/>
            </w:pPr>
            <w:r>
              <w:rPr>
                <w:sz w:val="19"/>
              </w:rPr>
              <w:t>De-energised section</w:t>
            </w:r>
          </w:p>
        </w:tc>
        <w:tc>
          <w:tcPr>
            <w:tcW w:type="dxa" w:w="6840"/>
            <w:tcMar>
              <w:top w:w="80" w:type="dxa"/>
              <w:start w:w="100" w:type="dxa"/>
              <w:bottom w:w="80" w:type="dxa"/>
              <w:end w:w="100" w:type="dxa"/>
            </w:tcMar>
            <w:vAlign w:val="center"/>
          </w:tcPr>
          <w:p>
            <w:pPr>
              <w:spacing w:before="20" w:after="20"/>
            </w:pPr>
            <w:r>
              <w:rPr>
                <w:sz w:val="19"/>
              </w:rPr>
              <w:t>Grey dashed/desaturated line plus ‘DE-ENERGISED’ text.</w:t>
            </w:r>
          </w:p>
        </w:tc>
      </w:tr>
      <w:tr>
        <w:trPr>
          <w:cantSplit/>
        </w:trPr>
        <w:tc>
          <w:tcPr>
            <w:tcW w:type="dxa" w:w="2520"/>
            <w:tcMar>
              <w:top w:w="80" w:type="dxa"/>
              <w:start w:w="100" w:type="dxa"/>
              <w:bottom w:w="80" w:type="dxa"/>
              <w:end w:w="100" w:type="dxa"/>
            </w:tcMar>
            <w:vAlign w:val="center"/>
          </w:tcPr>
          <w:p>
            <w:pPr>
              <w:spacing w:before="20" w:after="20"/>
            </w:pPr>
            <w:r>
              <w:rPr>
                <w:sz w:val="19"/>
              </w:rPr>
              <w:t>Faulted section</w:t>
            </w:r>
          </w:p>
        </w:tc>
        <w:tc>
          <w:tcPr>
            <w:tcW w:type="dxa" w:w="6840"/>
            <w:tcMar>
              <w:top w:w="80" w:type="dxa"/>
              <w:start w:w="100" w:type="dxa"/>
              <w:bottom w:w="80" w:type="dxa"/>
              <w:end w:w="100" w:type="dxa"/>
            </w:tcMar>
            <w:vAlign w:val="center"/>
          </w:tcPr>
          <w:p>
            <w:pPr>
              <w:spacing w:before="20" w:after="20"/>
            </w:pPr>
            <w:r>
              <w:rPr>
                <w:sz w:val="19"/>
              </w:rPr>
              <w:t>Red fault symbol and ‘FAULTED’ label independent of energisation styling.</w:t>
            </w:r>
          </w:p>
        </w:tc>
      </w:tr>
      <w:tr>
        <w:trPr>
          <w:cantSplit/>
        </w:trPr>
        <w:tc>
          <w:tcPr>
            <w:tcW w:type="dxa" w:w="2520"/>
            <w:tcMar>
              <w:top w:w="80" w:type="dxa"/>
              <w:start w:w="100" w:type="dxa"/>
              <w:bottom w:w="80" w:type="dxa"/>
              <w:end w:w="100" w:type="dxa"/>
            </w:tcMar>
            <w:vAlign w:val="center"/>
          </w:tcPr>
          <w:p>
            <w:pPr>
              <w:spacing w:before="20" w:after="20"/>
            </w:pPr>
            <w:r>
              <w:rPr>
                <w:sz w:val="19"/>
              </w:rPr>
              <w:t>OPEN device</w:t>
            </w:r>
          </w:p>
        </w:tc>
        <w:tc>
          <w:tcPr>
            <w:tcW w:type="dxa" w:w="6840"/>
            <w:tcMar>
              <w:top w:w="80" w:type="dxa"/>
              <w:start w:w="100" w:type="dxa"/>
              <w:bottom w:w="80" w:type="dxa"/>
              <w:end w:w="100" w:type="dxa"/>
            </w:tcMar>
            <w:vAlign w:val="center"/>
          </w:tcPr>
          <w:p>
            <w:pPr>
              <w:spacing w:before="20" w:after="20"/>
            </w:pPr>
            <w:r>
              <w:rPr>
                <w:sz w:val="19"/>
              </w:rPr>
              <w:t>Visible open blade/gap glyph and OPEN text.</w:t>
            </w:r>
          </w:p>
        </w:tc>
      </w:tr>
      <w:tr>
        <w:trPr>
          <w:cantSplit/>
        </w:trPr>
        <w:tc>
          <w:tcPr>
            <w:tcW w:type="dxa" w:w="2520"/>
            <w:tcMar>
              <w:top w:w="80" w:type="dxa"/>
              <w:start w:w="100" w:type="dxa"/>
              <w:bottom w:w="80" w:type="dxa"/>
              <w:end w:w="100" w:type="dxa"/>
            </w:tcMar>
            <w:vAlign w:val="center"/>
          </w:tcPr>
          <w:p>
            <w:pPr>
              <w:spacing w:before="20" w:after="20"/>
            </w:pPr>
            <w:r>
              <w:rPr>
                <w:sz w:val="19"/>
              </w:rPr>
              <w:t>CLOSED device</w:t>
            </w:r>
          </w:p>
        </w:tc>
        <w:tc>
          <w:tcPr>
            <w:tcW w:type="dxa" w:w="6840"/>
            <w:tcMar>
              <w:top w:w="80" w:type="dxa"/>
              <w:start w:w="100" w:type="dxa"/>
              <w:bottom w:w="80" w:type="dxa"/>
              <w:end w:w="100" w:type="dxa"/>
            </w:tcMar>
            <w:vAlign w:val="center"/>
          </w:tcPr>
          <w:p>
            <w:pPr>
              <w:spacing w:before="20" w:after="20"/>
            </w:pPr>
            <w:r>
              <w:rPr>
                <w:sz w:val="19"/>
              </w:rPr>
              <w:t>Continuous glyph and CLOSED text.</w:t>
            </w:r>
          </w:p>
        </w:tc>
      </w:tr>
      <w:tr>
        <w:trPr>
          <w:cantSplit/>
        </w:trPr>
        <w:tc>
          <w:tcPr>
            <w:tcW w:type="dxa" w:w="2520"/>
            <w:tcMar>
              <w:top w:w="80" w:type="dxa"/>
              <w:start w:w="100" w:type="dxa"/>
              <w:bottom w:w="80" w:type="dxa"/>
              <w:end w:w="100" w:type="dxa"/>
            </w:tcMar>
            <w:vAlign w:val="center"/>
          </w:tcPr>
          <w:p>
            <w:pPr>
              <w:spacing w:before="20" w:after="20"/>
            </w:pPr>
            <w:r>
              <w:rPr>
                <w:sz w:val="19"/>
              </w:rPr>
              <w:t>Telemetry quality</w:t>
            </w:r>
          </w:p>
        </w:tc>
        <w:tc>
          <w:tcPr>
            <w:tcW w:type="dxa" w:w="6840"/>
            <w:tcMar>
              <w:top w:w="80" w:type="dxa"/>
              <w:start w:w="100" w:type="dxa"/>
              <w:bottom w:w="80" w:type="dxa"/>
              <w:end w:w="100" w:type="dxa"/>
            </w:tcMar>
            <w:vAlign w:val="center"/>
          </w:tcPr>
          <w:p>
            <w:pPr>
              <w:spacing w:before="20" w:after="20"/>
            </w:pPr>
            <w:r>
              <w:rPr>
                <w:sz w:val="19"/>
              </w:rPr>
              <w:t>GOOD/UNCERTAIN/BAD text badge plus icon; never colour alone.</w:t>
            </w:r>
          </w:p>
        </w:tc>
      </w:tr>
      <w:tr>
        <w:trPr>
          <w:cantSplit/>
        </w:trPr>
        <w:tc>
          <w:tcPr>
            <w:tcW w:type="dxa" w:w="2520"/>
            <w:tcMar>
              <w:top w:w="80" w:type="dxa"/>
              <w:start w:w="100" w:type="dxa"/>
              <w:bottom w:w="80" w:type="dxa"/>
              <w:end w:w="100" w:type="dxa"/>
            </w:tcMar>
            <w:vAlign w:val="center"/>
          </w:tcPr>
          <w:p>
            <w:pPr>
              <w:spacing w:before="20" w:after="20"/>
            </w:pPr>
            <w:r>
              <w:rPr>
                <w:sz w:val="19"/>
              </w:rPr>
              <w:t>Formal / exploratory</w:t>
            </w:r>
          </w:p>
        </w:tc>
        <w:tc>
          <w:tcPr>
            <w:tcW w:type="dxa" w:w="6840"/>
            <w:tcMar>
              <w:top w:w="80" w:type="dxa"/>
              <w:start w:w="100" w:type="dxa"/>
              <w:bottom w:w="80" w:type="dxa"/>
              <w:end w:w="100" w:type="dxa"/>
            </w:tcMar>
            <w:vAlign w:val="center"/>
          </w:tcPr>
          <w:p>
            <w:pPr>
              <w:spacing w:before="20" w:after="20"/>
            </w:pPr>
            <w:r>
              <w:rPr>
                <w:sz w:val="19"/>
              </w:rPr>
              <w:t>Persistent text classification in ribbon and evidence records.</w:t>
            </w:r>
          </w:p>
        </w:tc>
      </w:tr>
      <w:tr>
        <w:trPr>
          <w:cantSplit/>
        </w:trPr>
        <w:tc>
          <w:tcPr>
            <w:tcW w:type="dxa" w:w="2520"/>
            <w:tcMar>
              <w:top w:w="80" w:type="dxa"/>
              <w:start w:w="100" w:type="dxa"/>
              <w:bottom w:w="80" w:type="dxa"/>
              <w:end w:w="100" w:type="dxa"/>
            </w:tcMar>
            <w:vAlign w:val="center"/>
          </w:tcPr>
          <w:p>
            <w:pPr>
              <w:spacing w:before="20" w:after="20"/>
            </w:pPr>
            <w:r>
              <w:rPr>
                <w:sz w:val="19"/>
              </w:rPr>
              <w:t>Assessment result</w:t>
            </w:r>
          </w:p>
        </w:tc>
        <w:tc>
          <w:tcPr>
            <w:tcW w:type="dxa" w:w="6840"/>
            <w:tcMar>
              <w:top w:w="80" w:type="dxa"/>
              <w:start w:w="100" w:type="dxa"/>
              <w:bottom w:w="80" w:type="dxa"/>
              <w:end w:w="100" w:type="dxa"/>
            </w:tcMar>
            <w:vAlign w:val="center"/>
          </w:tcPr>
          <w:p>
            <w:pPr>
              <w:spacing w:before="20" w:after="20"/>
            </w:pPr>
            <w:r>
              <w:rPr>
                <w:sz w:val="19"/>
              </w:rPr>
              <w:t>Distinct word, icon and reason; colour is secondary.</w:t>
            </w:r>
          </w:p>
        </w:tc>
      </w:tr>
      <w:tr>
        <w:trPr>
          <w:cantSplit/>
        </w:trPr>
        <w:tc>
          <w:tcPr>
            <w:tcW w:type="dxa" w:w="2520"/>
            <w:tcMar>
              <w:top w:w="80" w:type="dxa"/>
              <w:start w:w="100" w:type="dxa"/>
              <w:bottom w:w="80" w:type="dxa"/>
              <w:end w:w="100" w:type="dxa"/>
            </w:tcMar>
            <w:vAlign w:val="center"/>
          </w:tcPr>
          <w:p>
            <w:pPr>
              <w:spacing w:before="20" w:after="20"/>
            </w:pPr>
            <w:r>
              <w:rPr>
                <w:sz w:val="19"/>
              </w:rPr>
              <w:t>Selected entity</w:t>
            </w:r>
          </w:p>
        </w:tc>
        <w:tc>
          <w:tcPr>
            <w:tcW w:type="dxa" w:w="6840"/>
            <w:tcMar>
              <w:top w:w="80" w:type="dxa"/>
              <w:start w:w="100" w:type="dxa"/>
              <w:bottom w:w="80" w:type="dxa"/>
              <w:end w:w="100" w:type="dxa"/>
            </w:tcMar>
            <w:vAlign w:val="center"/>
          </w:tcPr>
          <w:p>
            <w:pPr>
              <w:spacing w:before="20" w:after="20"/>
            </w:pPr>
            <w:r>
              <w:rPr>
                <w:sz w:val="19"/>
              </w:rPr>
              <w:t>Outline/focus ring only; selection does not imply electrical state.</w:t>
            </w:r>
          </w:p>
        </w:tc>
      </w:tr>
    </w:tbl>
    <w:p>
      <w:pPr>
        <w:spacing w:after="0"/>
      </w:pPr>
    </w:p>
    <w:p>
      <w:pPr>
        <w:pStyle w:val="Heading2"/>
        <w:keepNext/>
      </w:pPr>
      <w:r>
        <w:t>24.2 Accessibility and Learning</w:t>
      </w:r>
    </w:p>
    <w:p>
      <w:pPr>
        <w:spacing w:before="0" w:after="40"/>
        <w:ind w:left="720" w:hanging="360"/>
      </w:pPr>
      <w:r>
        <w:rPr>
          <w:b/>
        </w:rPr>
        <w:t>•</w:t>
      </w:r>
      <w:r>
        <w:tab/>
        <w:t>all status distinctions use text or symbols in addition to colour;</w:t>
      </w:r>
    </w:p>
    <w:p>
      <w:pPr>
        <w:spacing w:before="0" w:after="40"/>
        <w:ind w:left="720" w:hanging="360"/>
      </w:pPr>
      <w:r>
        <w:rPr>
          <w:b/>
        </w:rPr>
        <w:t>•</w:t>
      </w:r>
      <w:r>
        <w:tab/>
        <w:t>keyboard focus and activation are supported for navigation, actions and entity inspection;</w:t>
      </w:r>
    </w:p>
    <w:p>
      <w:pPr>
        <w:spacing w:before="0" w:after="40"/>
        <w:ind w:left="720" w:hanging="360"/>
      </w:pPr>
      <w:r>
        <w:rPr>
          <w:b/>
        </w:rPr>
        <w:t>•</w:t>
      </w:r>
      <w:r>
        <w:tab/>
        <w:t>network details have a tabular alternative for screen-reader and evidence review;</w:t>
      </w:r>
    </w:p>
    <w:p>
      <w:pPr>
        <w:spacing w:before="0" w:after="40"/>
        <w:ind w:left="720" w:hanging="360"/>
      </w:pPr>
      <w:r>
        <w:rPr>
          <w:b/>
        </w:rPr>
        <w:t>•</w:t>
      </w:r>
      <w:r>
        <w:tab/>
        <w:t>units, precision, formulas and source IDs are visible for calculations;</w:t>
      </w:r>
    </w:p>
    <w:p>
      <w:pPr>
        <w:spacing w:before="0" w:after="40"/>
        <w:ind w:left="720" w:hanging="360"/>
      </w:pPr>
      <w:r>
        <w:rPr>
          <w:b/>
        </w:rPr>
        <w:t>•</w:t>
      </w:r>
      <w:r>
        <w:tab/>
        <w:t>tooltips supplement rather than replace persistent engineering reasons; and</w:t>
      </w:r>
    </w:p>
    <w:p>
      <w:pPr>
        <w:spacing w:before="0" w:after="40"/>
        <w:ind w:left="720" w:hanging="360"/>
      </w:pPr>
      <w:r>
        <w:rPr>
          <w:b/>
        </w:rPr>
        <w:t>•</w:t>
      </w:r>
      <w:r>
        <w:tab/>
        <w:t>the application identifies all data and operations as fictional and simulated.</w:t>
      </w:r>
    </w:p>
    <w:p>
      <w:pPr>
        <w:pStyle w:val="Heading1"/>
        <w:keepNext/>
      </w:pPr>
      <w:r>
        <w:t>25. Error and Diagnostic Handling</w:t>
      </w:r>
    </w:p>
    <w:p>
      <w:pPr>
        <w:spacing w:before="120" w:after="120"/>
      </w:pPr>
      <w:r>
        <w:rPr>
          <w:b w:val="0"/>
          <w:i w:val="0"/>
        </w:rPr>
        <w:t>Expected engineering outcomes—NO_CANDIDATE, BLOCKED and REJECTED—are normal domain results, not application errors. Invalid commands are controlled responses with unchanged state. Unexpected processing failures are diagnostics and remain separate from the 15 operational event types.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376"/>
            <w:shd w:fill="E7E7E7"/>
            <w:tcMar>
              <w:top w:w="80" w:type="dxa"/>
              <w:start w:w="100" w:type="dxa"/>
              <w:bottom w:w="80" w:type="dxa"/>
              <w:end w:w="100" w:type="dxa"/>
            </w:tcMar>
            <w:vAlign w:val="center"/>
          </w:tcPr>
          <w:p>
            <w:pPr>
              <w:spacing w:before="40" w:after="40"/>
              <w:jc w:val="center"/>
            </w:pPr>
            <w:r>
              <w:rPr>
                <w:b/>
                <w:sz w:val="17"/>
              </w:rPr>
              <w:t>Failure class</w:t>
            </w:r>
          </w:p>
        </w:tc>
        <w:tc>
          <w:tcPr>
            <w:tcW w:type="dxa" w:w="3671"/>
            <w:shd w:fill="E7E7E7"/>
            <w:tcMar>
              <w:top w:w="80" w:type="dxa"/>
              <w:start w:w="100" w:type="dxa"/>
              <w:bottom w:w="80" w:type="dxa"/>
              <w:end w:w="100" w:type="dxa"/>
            </w:tcMar>
            <w:vAlign w:val="center"/>
          </w:tcPr>
          <w:p>
            <w:pPr>
              <w:spacing w:before="40" w:after="40"/>
              <w:jc w:val="center"/>
            </w:pPr>
            <w:r>
              <w:rPr>
                <w:b/>
                <w:sz w:val="17"/>
              </w:rPr>
              <w:t>Backend result</w:t>
            </w:r>
          </w:p>
        </w:tc>
        <w:tc>
          <w:tcPr>
            <w:tcW w:type="dxa" w:w="3311"/>
            <w:shd w:fill="E7E7E7"/>
            <w:tcMar>
              <w:top w:w="80" w:type="dxa"/>
              <w:start w:w="100" w:type="dxa"/>
              <w:bottom w:w="80" w:type="dxa"/>
              <w:end w:w="100" w:type="dxa"/>
            </w:tcMar>
            <w:vAlign w:val="center"/>
          </w:tcPr>
          <w:p>
            <w:pPr>
              <w:spacing w:before="40" w:after="40"/>
              <w:jc w:val="center"/>
            </w:pPr>
            <w:r>
              <w:rPr>
                <w:b/>
                <w:sz w:val="17"/>
              </w:rPr>
              <w:t>Workspace result</w:t>
            </w:r>
          </w:p>
        </w:tc>
      </w:tr>
      <w:tr>
        <w:trPr>
          <w:cantSplit/>
        </w:trPr>
        <w:tc>
          <w:tcPr>
            <w:tcW w:type="dxa" w:w="2376"/>
            <w:tcMar>
              <w:top w:w="80" w:type="dxa"/>
              <w:start w:w="100" w:type="dxa"/>
              <w:bottom w:w="80" w:type="dxa"/>
              <w:end w:w="100" w:type="dxa"/>
            </w:tcMar>
            <w:vAlign w:val="center"/>
          </w:tcPr>
          <w:p>
            <w:pPr>
              <w:spacing w:before="20" w:after="20"/>
            </w:pPr>
            <w:r>
              <w:rPr>
                <w:sz w:val="17"/>
              </w:rPr>
              <w:t>Schema/input invalid</w:t>
            </w:r>
          </w:p>
        </w:tc>
        <w:tc>
          <w:tcPr>
            <w:tcW w:type="dxa" w:w="3671"/>
            <w:tcMar>
              <w:top w:w="80" w:type="dxa"/>
              <w:start w:w="100" w:type="dxa"/>
              <w:bottom w:w="80" w:type="dxa"/>
              <w:end w:w="100" w:type="dxa"/>
            </w:tcMar>
            <w:vAlign w:val="center"/>
          </w:tcPr>
          <w:p>
            <w:pPr>
              <w:spacing w:before="20" w:after="20"/>
            </w:pPr>
            <w:r>
              <w:rPr>
                <w:sz w:val="17"/>
              </w:rPr>
              <w:t>Reject before transaction with field/reason details.</w:t>
            </w:r>
          </w:p>
        </w:tc>
        <w:tc>
          <w:tcPr>
            <w:tcW w:type="dxa" w:w="3311"/>
            <w:tcMar>
              <w:top w:w="80" w:type="dxa"/>
              <w:start w:w="100" w:type="dxa"/>
              <w:bottom w:w="80" w:type="dxa"/>
              <w:end w:w="100" w:type="dxa"/>
            </w:tcMar>
            <w:vAlign w:val="center"/>
          </w:tcPr>
          <w:p>
            <w:pPr>
              <w:spacing w:before="20" w:after="20"/>
            </w:pPr>
            <w:r>
              <w:rPr>
                <w:sz w:val="17"/>
              </w:rPr>
              <w:t>Explain correction; no run change.</w:t>
            </w:r>
          </w:p>
        </w:tc>
      </w:tr>
      <w:tr>
        <w:trPr>
          <w:cantSplit/>
        </w:trPr>
        <w:tc>
          <w:tcPr>
            <w:tcW w:type="dxa" w:w="2376"/>
            <w:tcMar>
              <w:top w:w="80" w:type="dxa"/>
              <w:start w:w="100" w:type="dxa"/>
              <w:bottom w:w="80" w:type="dxa"/>
              <w:end w:w="100" w:type="dxa"/>
            </w:tcMar>
            <w:vAlign w:val="center"/>
          </w:tcPr>
          <w:p>
            <w:pPr>
              <w:spacing w:before="20" w:after="20"/>
            </w:pPr>
            <w:r>
              <w:rPr>
                <w:sz w:val="17"/>
              </w:rPr>
              <w:t>Expected revision stale</w:t>
            </w:r>
          </w:p>
        </w:tc>
        <w:tc>
          <w:tcPr>
            <w:tcW w:type="dxa" w:w="3671"/>
            <w:tcMar>
              <w:top w:w="80" w:type="dxa"/>
              <w:start w:w="100" w:type="dxa"/>
              <w:bottom w:w="80" w:type="dxa"/>
              <w:end w:w="100" w:type="dxa"/>
            </w:tcMar>
            <w:vAlign w:val="center"/>
          </w:tcPr>
          <w:p>
            <w:pPr>
              <w:spacing w:before="20" w:after="20"/>
            </w:pPr>
            <w:r>
              <w:rPr>
                <w:sz w:val="17"/>
              </w:rPr>
              <w:t>Conflict with current revision and projection.</w:t>
            </w:r>
          </w:p>
        </w:tc>
        <w:tc>
          <w:tcPr>
            <w:tcW w:type="dxa" w:w="3311"/>
            <w:tcMar>
              <w:top w:w="80" w:type="dxa"/>
              <w:start w:w="100" w:type="dxa"/>
              <w:bottom w:w="80" w:type="dxa"/>
              <w:end w:w="100" w:type="dxa"/>
            </w:tcMar>
            <w:vAlign w:val="center"/>
          </w:tcPr>
          <w:p>
            <w:pPr>
              <w:spacing w:before="20" w:after="20"/>
            </w:pPr>
            <w:r>
              <w:rPr>
                <w:sz w:val="17"/>
              </w:rPr>
              <w:t>Refresh and require review before retry.</w:t>
            </w:r>
          </w:p>
        </w:tc>
      </w:tr>
      <w:tr>
        <w:trPr>
          <w:cantSplit/>
        </w:trPr>
        <w:tc>
          <w:tcPr>
            <w:tcW w:type="dxa" w:w="2376"/>
            <w:tcMar>
              <w:top w:w="80" w:type="dxa"/>
              <w:start w:w="100" w:type="dxa"/>
              <w:bottom w:w="80" w:type="dxa"/>
              <w:end w:w="100" w:type="dxa"/>
            </w:tcMar>
            <w:vAlign w:val="center"/>
          </w:tcPr>
          <w:p>
            <w:pPr>
              <w:spacing w:before="20" w:after="20"/>
            </w:pPr>
            <w:r>
              <w:rPr>
                <w:sz w:val="17"/>
              </w:rPr>
              <w:t>Unavailable engineering action</w:t>
            </w:r>
          </w:p>
        </w:tc>
        <w:tc>
          <w:tcPr>
            <w:tcW w:type="dxa" w:w="3671"/>
            <w:tcMar>
              <w:top w:w="80" w:type="dxa"/>
              <w:start w:w="100" w:type="dxa"/>
              <w:bottom w:w="80" w:type="dxa"/>
              <w:end w:w="100" w:type="dxa"/>
            </w:tcMar>
            <w:vAlign w:val="center"/>
          </w:tcPr>
          <w:p>
            <w:pPr>
              <w:spacing w:before="20" w:after="20"/>
            </w:pPr>
            <w:r>
              <w:rPr>
                <w:sz w:val="17"/>
              </w:rPr>
              <w:t>Reject before mutation with gate reason.</w:t>
            </w:r>
          </w:p>
        </w:tc>
        <w:tc>
          <w:tcPr>
            <w:tcW w:type="dxa" w:w="3311"/>
            <w:tcMar>
              <w:top w:w="80" w:type="dxa"/>
              <w:start w:w="100" w:type="dxa"/>
              <w:bottom w:w="80" w:type="dxa"/>
              <w:end w:w="100" w:type="dxa"/>
            </w:tcMar>
            <w:vAlign w:val="center"/>
          </w:tcPr>
          <w:p>
            <w:pPr>
              <w:spacing w:before="20" w:after="20"/>
            </w:pPr>
            <w:r>
              <w:rPr>
                <w:sz w:val="17"/>
              </w:rPr>
              <w:t>Disabled/reasoned action remains visible as appropriate.</w:t>
            </w:r>
          </w:p>
        </w:tc>
      </w:tr>
      <w:tr>
        <w:trPr>
          <w:cantSplit/>
        </w:trPr>
        <w:tc>
          <w:tcPr>
            <w:tcW w:type="dxa" w:w="2376"/>
            <w:tcMar>
              <w:top w:w="80" w:type="dxa"/>
              <w:start w:w="100" w:type="dxa"/>
              <w:bottom w:w="80" w:type="dxa"/>
              <w:end w:w="100" w:type="dxa"/>
            </w:tcMar>
            <w:vAlign w:val="center"/>
          </w:tcPr>
          <w:p>
            <w:pPr>
              <w:spacing w:before="20" w:after="20"/>
            </w:pPr>
            <w:r>
              <w:rPr>
                <w:sz w:val="17"/>
              </w:rPr>
              <w:t>Configuration hash mismatch</w:t>
            </w:r>
          </w:p>
        </w:tc>
        <w:tc>
          <w:tcPr>
            <w:tcW w:type="dxa" w:w="3671"/>
            <w:tcMar>
              <w:top w:w="80" w:type="dxa"/>
              <w:start w:w="100" w:type="dxa"/>
              <w:bottom w:w="80" w:type="dxa"/>
              <w:end w:w="100" w:type="dxa"/>
            </w:tcMar>
            <w:vAlign w:val="center"/>
          </w:tcPr>
          <w:p>
            <w:pPr>
              <w:spacing w:before="20" w:after="20"/>
            </w:pPr>
            <w:r>
              <w:rPr>
                <w:sz w:val="17"/>
              </w:rPr>
              <w:t>Refuse run initialisation and record diagnostic.</w:t>
            </w:r>
          </w:p>
        </w:tc>
        <w:tc>
          <w:tcPr>
            <w:tcW w:type="dxa" w:w="3311"/>
            <w:tcMar>
              <w:top w:w="80" w:type="dxa"/>
              <w:start w:w="100" w:type="dxa"/>
              <w:bottom w:w="80" w:type="dxa"/>
              <w:end w:w="100" w:type="dxa"/>
            </w:tcMar>
            <w:vAlign w:val="center"/>
          </w:tcPr>
          <w:p>
            <w:pPr>
              <w:spacing w:before="20" w:after="20"/>
            </w:pPr>
            <w:r>
              <w:rPr>
                <w:sz w:val="17"/>
              </w:rPr>
              <w:t>Identify controlled input integrity problem; do not substitute another version.</w:t>
            </w:r>
          </w:p>
        </w:tc>
      </w:tr>
      <w:tr>
        <w:trPr>
          <w:cantSplit/>
        </w:trPr>
        <w:tc>
          <w:tcPr>
            <w:tcW w:type="dxa" w:w="2376"/>
            <w:tcMar>
              <w:top w:w="80" w:type="dxa"/>
              <w:start w:w="100" w:type="dxa"/>
              <w:bottom w:w="80" w:type="dxa"/>
              <w:end w:w="100" w:type="dxa"/>
            </w:tcMar>
            <w:vAlign w:val="center"/>
          </w:tcPr>
          <w:p>
            <w:pPr>
              <w:spacing w:before="20" w:after="20"/>
            </w:pPr>
            <w:r>
              <w:rPr>
                <w:sz w:val="17"/>
              </w:rPr>
              <w:t>Transaction calculation/persistence failure</w:t>
            </w:r>
          </w:p>
        </w:tc>
        <w:tc>
          <w:tcPr>
            <w:tcW w:type="dxa" w:w="3671"/>
            <w:tcMar>
              <w:top w:w="80" w:type="dxa"/>
              <w:start w:w="100" w:type="dxa"/>
              <w:bottom w:w="80" w:type="dxa"/>
              <w:end w:w="100" w:type="dxa"/>
            </w:tcMar>
            <w:vAlign w:val="center"/>
          </w:tcPr>
          <w:p>
            <w:pPr>
              <w:spacing w:before="20" w:after="20"/>
            </w:pPr>
            <w:r>
              <w:rPr>
                <w:sz w:val="17"/>
              </w:rPr>
              <w:t>Rollback; retain prior revision; diagnostic ID.</w:t>
            </w:r>
          </w:p>
        </w:tc>
        <w:tc>
          <w:tcPr>
            <w:tcW w:type="dxa" w:w="3311"/>
            <w:tcMar>
              <w:top w:w="80" w:type="dxa"/>
              <w:start w:w="100" w:type="dxa"/>
              <w:bottom w:w="80" w:type="dxa"/>
              <w:end w:w="100" w:type="dxa"/>
            </w:tcMar>
            <w:vAlign w:val="center"/>
          </w:tcPr>
          <w:p>
            <w:pPr>
              <w:spacing w:before="20" w:after="20"/>
            </w:pPr>
            <w:r>
              <w:rPr>
                <w:sz w:val="17"/>
              </w:rPr>
              <w:t>Show prior stable state and diagnostic reference.</w:t>
            </w:r>
          </w:p>
        </w:tc>
      </w:tr>
      <w:tr>
        <w:trPr>
          <w:cantSplit/>
        </w:trPr>
        <w:tc>
          <w:tcPr>
            <w:tcW w:type="dxa" w:w="2376"/>
            <w:tcMar>
              <w:top w:w="80" w:type="dxa"/>
              <w:start w:w="100" w:type="dxa"/>
              <w:bottom w:w="80" w:type="dxa"/>
              <w:end w:w="100" w:type="dxa"/>
            </w:tcMar>
            <w:vAlign w:val="center"/>
          </w:tcPr>
          <w:p>
            <w:pPr>
              <w:spacing w:before="20" w:after="20"/>
            </w:pPr>
            <w:r>
              <w:rPr>
                <w:sz w:val="17"/>
              </w:rPr>
              <w:t>Export failure</w:t>
            </w:r>
          </w:p>
        </w:tc>
        <w:tc>
          <w:tcPr>
            <w:tcW w:type="dxa" w:w="3671"/>
            <w:tcMar>
              <w:top w:w="80" w:type="dxa"/>
              <w:start w:w="100" w:type="dxa"/>
              <w:bottom w:w="80" w:type="dxa"/>
              <w:end w:w="100" w:type="dxa"/>
            </w:tcMar>
            <w:vAlign w:val="center"/>
          </w:tcPr>
          <w:p>
            <w:pPr>
              <w:spacing w:before="20" w:after="20"/>
            </w:pPr>
            <w:r>
              <w:rPr>
                <w:sz w:val="17"/>
              </w:rPr>
              <w:t>Source evidence unchanged; incomplete temporary package not catalogued.</w:t>
            </w:r>
          </w:p>
        </w:tc>
        <w:tc>
          <w:tcPr>
            <w:tcW w:type="dxa" w:w="3311"/>
            <w:tcMar>
              <w:top w:w="80" w:type="dxa"/>
              <w:start w:w="100" w:type="dxa"/>
              <w:bottom w:w="80" w:type="dxa"/>
              <w:end w:w="100" w:type="dxa"/>
            </w:tcMar>
            <w:vAlign w:val="center"/>
          </w:tcPr>
          <w:p>
            <w:pPr>
              <w:spacing w:before="20" w:after="20"/>
            </w:pPr>
            <w:r>
              <w:rPr>
                <w:sz w:val="17"/>
              </w:rPr>
              <w:t>Allow new export attempt; no overwrite.</w:t>
            </w:r>
          </w:p>
        </w:tc>
      </w:tr>
      <w:tr>
        <w:trPr>
          <w:cantSplit/>
        </w:trPr>
        <w:tc>
          <w:tcPr>
            <w:tcW w:type="dxa" w:w="2376"/>
            <w:tcMar>
              <w:top w:w="80" w:type="dxa"/>
              <w:start w:w="100" w:type="dxa"/>
              <w:bottom w:w="80" w:type="dxa"/>
              <w:end w:w="100" w:type="dxa"/>
            </w:tcMar>
            <w:vAlign w:val="center"/>
          </w:tcPr>
          <w:p>
            <w:pPr>
              <w:spacing w:before="20" w:after="20"/>
            </w:pPr>
            <w:r>
              <w:rPr>
                <w:sz w:val="17"/>
              </w:rPr>
              <w:t>Frontend rendering failure</w:t>
            </w:r>
          </w:p>
        </w:tc>
        <w:tc>
          <w:tcPr>
            <w:tcW w:type="dxa" w:w="3671"/>
            <w:tcMar>
              <w:top w:w="80" w:type="dxa"/>
              <w:start w:w="100" w:type="dxa"/>
              <w:bottom w:w="80" w:type="dxa"/>
              <w:end w:w="100" w:type="dxa"/>
            </w:tcMar>
            <w:vAlign w:val="center"/>
          </w:tcPr>
          <w:p>
            <w:pPr>
              <w:spacing w:before="20" w:after="20"/>
            </w:pPr>
            <w:r>
              <w:rPr>
                <w:sz w:val="17"/>
              </w:rPr>
              <w:t>Backend records unaffected.</w:t>
            </w:r>
          </w:p>
        </w:tc>
        <w:tc>
          <w:tcPr>
            <w:tcW w:type="dxa" w:w="3311"/>
            <w:tcMar>
              <w:top w:w="80" w:type="dxa"/>
              <w:start w:w="100" w:type="dxa"/>
              <w:bottom w:w="80" w:type="dxa"/>
              <w:end w:w="100" w:type="dxa"/>
            </w:tcMar>
            <w:vAlign w:val="center"/>
          </w:tcPr>
          <w:p>
            <w:pPr>
              <w:spacing w:before="20" w:after="20"/>
            </w:pPr>
            <w:r>
              <w:rPr>
                <w:sz w:val="17"/>
              </w:rPr>
              <w:t>Reload exact persisted projection; no inferred recovery action.</w:t>
            </w:r>
          </w:p>
        </w:tc>
      </w:tr>
    </w:tbl>
    <w:p>
      <w:pPr>
        <w:spacing w:after="0"/>
      </w:pPr>
    </w:p>
    <w:p>
      <w:pPr>
        <w:pStyle w:val="Heading1"/>
        <w:keepNext/>
      </w:pPr>
      <w:r>
        <w:t>26. Technology Decisions</w:t>
      </w:r>
    </w:p>
    <w:p>
      <w:pPr>
        <w:spacing w:before="120" w:after="120"/>
      </w:pPr>
      <w:r>
        <w:rPr>
          <w:b w:val="0"/>
          <w:i w:val="0"/>
        </w:rPr>
        <w:t>The stack is selected for a transparent local engineering demonstrator with typed contracts, deterministic transactions, graph processing, reviewable evidence and a clear learning path. Official documentation was reviewed on 9 August 2026. Exact dependency patch versions are pinned in lock files when implementation starts; later changes create a new build identity and require proportionate regression.</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584"/>
            <w:shd w:fill="E7E7E7"/>
            <w:tcMar>
              <w:top w:w="80" w:type="dxa"/>
              <w:start w:w="100" w:type="dxa"/>
              <w:bottom w:w="80" w:type="dxa"/>
              <w:end w:w="100" w:type="dxa"/>
            </w:tcMar>
            <w:vAlign w:val="center"/>
          </w:tcPr>
          <w:p>
            <w:pPr>
              <w:spacing w:before="40" w:after="40"/>
              <w:jc w:val="center"/>
            </w:pPr>
            <w:r>
              <w:rPr>
                <w:b/>
                <w:sz w:val="15"/>
              </w:rPr>
              <w:t>Area</w:t>
            </w:r>
          </w:p>
        </w:tc>
        <w:tc>
          <w:tcPr>
            <w:tcW w:type="dxa" w:w="3024"/>
            <w:shd w:fill="E7E7E7"/>
            <w:tcMar>
              <w:top w:w="80" w:type="dxa"/>
              <w:start w:w="100" w:type="dxa"/>
              <w:bottom w:w="80" w:type="dxa"/>
              <w:end w:w="100" w:type="dxa"/>
            </w:tcMar>
            <w:vAlign w:val="center"/>
          </w:tcPr>
          <w:p>
            <w:pPr>
              <w:spacing w:before="40" w:after="40"/>
              <w:jc w:val="center"/>
            </w:pPr>
            <w:r>
              <w:rPr>
                <w:b/>
                <w:sz w:val="15"/>
              </w:rPr>
              <w:t>Selected technology</w:t>
            </w:r>
          </w:p>
        </w:tc>
        <w:tc>
          <w:tcPr>
            <w:tcW w:type="dxa" w:w="4752"/>
            <w:shd w:fill="E7E7E7"/>
            <w:tcMar>
              <w:top w:w="80" w:type="dxa"/>
              <w:start w:w="100" w:type="dxa"/>
              <w:bottom w:w="80" w:type="dxa"/>
              <w:end w:w="100" w:type="dxa"/>
            </w:tcMar>
            <w:vAlign w:val="center"/>
          </w:tcPr>
          <w:p>
            <w:pPr>
              <w:spacing w:before="40" w:after="40"/>
              <w:jc w:val="center"/>
            </w:pPr>
            <w:r>
              <w:rPr>
                <w:b/>
                <w:sz w:val="15"/>
              </w:rPr>
              <w:t>Design rationale / constraint</w:t>
            </w:r>
          </w:p>
        </w:tc>
      </w:tr>
      <w:tr>
        <w:trPr>
          <w:cantSplit/>
        </w:trPr>
        <w:tc>
          <w:tcPr>
            <w:tcW w:type="dxa" w:w="1584"/>
            <w:tcMar>
              <w:top w:w="80" w:type="dxa"/>
              <w:start w:w="100" w:type="dxa"/>
              <w:bottom w:w="80" w:type="dxa"/>
              <w:end w:w="100" w:type="dxa"/>
            </w:tcMar>
            <w:vAlign w:val="center"/>
          </w:tcPr>
          <w:p>
            <w:pPr>
              <w:spacing w:before="20" w:after="20"/>
            </w:pPr>
            <w:r>
              <w:rPr>
                <w:sz w:val="15"/>
              </w:rPr>
              <w:t>Backend runtime</w:t>
            </w:r>
          </w:p>
        </w:tc>
        <w:tc>
          <w:tcPr>
            <w:tcW w:type="dxa" w:w="3024"/>
            <w:tcMar>
              <w:top w:w="80" w:type="dxa"/>
              <w:start w:w="100" w:type="dxa"/>
              <w:bottom w:w="80" w:type="dxa"/>
              <w:end w:w="100" w:type="dxa"/>
            </w:tcMar>
            <w:vAlign w:val="center"/>
          </w:tcPr>
          <w:p>
            <w:pPr>
              <w:spacing w:before="20" w:after="20"/>
            </w:pPr>
            <w:r>
              <w:rPr>
                <w:sz w:val="15"/>
              </w:rPr>
              <w:t>Python 3.13 maintenance series</w:t>
            </w:r>
          </w:p>
        </w:tc>
        <w:tc>
          <w:tcPr>
            <w:tcW w:type="dxa" w:w="4752"/>
            <w:tcMar>
              <w:top w:w="80" w:type="dxa"/>
              <w:start w:w="100" w:type="dxa"/>
              <w:bottom w:w="80" w:type="dxa"/>
              <w:end w:w="100" w:type="dxa"/>
            </w:tcMar>
            <w:vAlign w:val="center"/>
          </w:tcPr>
          <w:p>
            <w:pPr>
              <w:spacing w:before="20" w:after="20"/>
            </w:pPr>
            <w:r>
              <w:rPr>
                <w:sz w:val="15"/>
              </w:rPr>
              <w:t>Mature supported interpreter for typed domain logic and test tooling; use the conventional GIL build.</w:t>
            </w:r>
          </w:p>
        </w:tc>
      </w:tr>
      <w:tr>
        <w:trPr>
          <w:cantSplit/>
        </w:trPr>
        <w:tc>
          <w:tcPr>
            <w:tcW w:type="dxa" w:w="1584"/>
            <w:tcMar>
              <w:top w:w="80" w:type="dxa"/>
              <w:start w:w="100" w:type="dxa"/>
              <w:bottom w:w="80" w:type="dxa"/>
              <w:end w:w="100" w:type="dxa"/>
            </w:tcMar>
            <w:vAlign w:val="center"/>
          </w:tcPr>
          <w:p>
            <w:pPr>
              <w:spacing w:before="20" w:after="20"/>
            </w:pPr>
            <w:r>
              <w:rPr>
                <w:sz w:val="15"/>
              </w:rPr>
              <w:t>API/schema</w:t>
            </w:r>
          </w:p>
        </w:tc>
        <w:tc>
          <w:tcPr>
            <w:tcW w:type="dxa" w:w="3024"/>
            <w:tcMar>
              <w:top w:w="80" w:type="dxa"/>
              <w:start w:w="100" w:type="dxa"/>
              <w:bottom w:w="80" w:type="dxa"/>
              <w:end w:w="100" w:type="dxa"/>
            </w:tcMar>
            <w:vAlign w:val="center"/>
          </w:tcPr>
          <w:p>
            <w:pPr>
              <w:spacing w:before="20" w:after="20"/>
            </w:pPr>
            <w:r>
              <w:rPr>
                <w:sz w:val="15"/>
              </w:rPr>
              <w:t>FastAPI + Pydantic v2</w:t>
            </w:r>
          </w:p>
        </w:tc>
        <w:tc>
          <w:tcPr>
            <w:tcW w:type="dxa" w:w="4752"/>
            <w:tcMar>
              <w:top w:w="80" w:type="dxa"/>
              <w:start w:w="100" w:type="dxa"/>
              <w:bottom w:w="80" w:type="dxa"/>
              <w:end w:w="100" w:type="dxa"/>
            </w:tcMar>
            <w:vAlign w:val="center"/>
          </w:tcPr>
          <w:p>
            <w:pPr>
              <w:spacing w:before="20" w:after="20"/>
            </w:pPr>
            <w:r>
              <w:rPr>
                <w:sz w:val="15"/>
              </w:rPr>
              <w:t>Typed validation, JSON Schema/OpenAPI and strict request/record models. Domain rules remain explicit services.</w:t>
            </w:r>
          </w:p>
        </w:tc>
      </w:tr>
      <w:tr>
        <w:trPr>
          <w:cantSplit/>
        </w:trPr>
        <w:tc>
          <w:tcPr>
            <w:tcW w:type="dxa" w:w="1584"/>
            <w:tcMar>
              <w:top w:w="80" w:type="dxa"/>
              <w:start w:w="100" w:type="dxa"/>
              <w:bottom w:w="80" w:type="dxa"/>
              <w:end w:w="100" w:type="dxa"/>
            </w:tcMar>
            <w:vAlign w:val="center"/>
          </w:tcPr>
          <w:p>
            <w:pPr>
              <w:spacing w:before="20" w:after="20"/>
            </w:pPr>
            <w:r>
              <w:rPr>
                <w:sz w:val="15"/>
              </w:rPr>
              <w:t>Topology graph</w:t>
            </w:r>
          </w:p>
        </w:tc>
        <w:tc>
          <w:tcPr>
            <w:tcW w:type="dxa" w:w="3024"/>
            <w:tcMar>
              <w:top w:w="80" w:type="dxa"/>
              <w:start w:w="100" w:type="dxa"/>
              <w:bottom w:w="80" w:type="dxa"/>
              <w:end w:w="100" w:type="dxa"/>
            </w:tcMar>
            <w:vAlign w:val="center"/>
          </w:tcPr>
          <w:p>
            <w:pPr>
              <w:spacing w:before="20" w:after="20"/>
            </w:pPr>
            <w:r>
              <w:rPr>
                <w:sz w:val="15"/>
              </w:rPr>
              <w:t>NetworkX undirected Graph</w:t>
            </w:r>
          </w:p>
        </w:tc>
        <w:tc>
          <w:tcPr>
            <w:tcW w:type="dxa" w:w="4752"/>
            <w:tcMar>
              <w:top w:w="80" w:type="dxa"/>
              <w:start w:w="100" w:type="dxa"/>
              <w:bottom w:w="80" w:type="dxa"/>
              <w:end w:w="100" w:type="dxa"/>
            </w:tcMar>
            <w:vAlign w:val="center"/>
          </w:tcPr>
          <w:p>
            <w:pPr>
              <w:spacing w:before="20" w:after="20"/>
            </w:pPr>
            <w:r>
              <w:rPr>
                <w:sz w:val="15"/>
              </w:rPr>
              <w:t>Explicit nodes/edges, traversal, path and cycle support. Stable ordering and domain-owned active-edge/source rules are mandatory.</w:t>
            </w:r>
          </w:p>
        </w:tc>
      </w:tr>
      <w:tr>
        <w:trPr>
          <w:cantSplit/>
        </w:trPr>
        <w:tc>
          <w:tcPr>
            <w:tcW w:type="dxa" w:w="1584"/>
            <w:tcMar>
              <w:top w:w="80" w:type="dxa"/>
              <w:start w:w="100" w:type="dxa"/>
              <w:bottom w:w="80" w:type="dxa"/>
              <w:end w:w="100" w:type="dxa"/>
            </w:tcMar>
            <w:vAlign w:val="center"/>
          </w:tcPr>
          <w:p>
            <w:pPr>
              <w:spacing w:before="20" w:after="20"/>
            </w:pPr>
            <w:r>
              <w:rPr>
                <w:sz w:val="15"/>
              </w:rPr>
              <w:t>Persistence</w:t>
            </w:r>
          </w:p>
        </w:tc>
        <w:tc>
          <w:tcPr>
            <w:tcW w:type="dxa" w:w="3024"/>
            <w:tcMar>
              <w:top w:w="80" w:type="dxa"/>
              <w:start w:w="100" w:type="dxa"/>
              <w:bottom w:w="80" w:type="dxa"/>
              <w:end w:w="100" w:type="dxa"/>
            </w:tcMar>
            <w:vAlign w:val="center"/>
          </w:tcPr>
          <w:p>
            <w:pPr>
              <w:spacing w:before="20" w:after="20"/>
            </w:pPr>
            <w:r>
              <w:rPr>
                <w:sz w:val="15"/>
              </w:rPr>
              <w:t>SQLite via Python `sqlite3` and versioned SQL migrations</w:t>
            </w:r>
          </w:p>
        </w:tc>
        <w:tc>
          <w:tcPr>
            <w:tcW w:type="dxa" w:w="4752"/>
            <w:tcMar>
              <w:top w:w="80" w:type="dxa"/>
              <w:start w:w="100" w:type="dxa"/>
              <w:bottom w:w="80" w:type="dxa"/>
              <w:end w:w="100" w:type="dxa"/>
            </w:tcMar>
            <w:vAlign w:val="center"/>
          </w:tcPr>
          <w:p>
            <w:pPr>
              <w:spacing w:before="20" w:after="20"/>
            </w:pPr>
            <w:r>
              <w:rPr>
                <w:sz w:val="15"/>
              </w:rPr>
              <w:t>Portable local file and atomic transactions without an opaque ORM or distributed database.</w:t>
            </w:r>
          </w:p>
        </w:tc>
      </w:tr>
      <w:tr>
        <w:trPr>
          <w:cantSplit/>
        </w:trPr>
        <w:tc>
          <w:tcPr>
            <w:tcW w:type="dxa" w:w="1584"/>
            <w:tcMar>
              <w:top w:w="80" w:type="dxa"/>
              <w:start w:w="100" w:type="dxa"/>
              <w:bottom w:w="80" w:type="dxa"/>
              <w:end w:w="100" w:type="dxa"/>
            </w:tcMar>
            <w:vAlign w:val="center"/>
          </w:tcPr>
          <w:p>
            <w:pPr>
              <w:spacing w:before="20" w:after="20"/>
            </w:pPr>
            <w:r>
              <w:rPr>
                <w:sz w:val="15"/>
              </w:rPr>
              <w:t>Frontend</w:t>
            </w:r>
          </w:p>
        </w:tc>
        <w:tc>
          <w:tcPr>
            <w:tcW w:type="dxa" w:w="3024"/>
            <w:tcMar>
              <w:top w:w="80" w:type="dxa"/>
              <w:start w:w="100" w:type="dxa"/>
              <w:bottom w:w="80" w:type="dxa"/>
              <w:end w:w="100" w:type="dxa"/>
            </w:tcMar>
            <w:vAlign w:val="center"/>
          </w:tcPr>
          <w:p>
            <w:pPr>
              <w:spacing w:before="20" w:after="20"/>
            </w:pPr>
            <w:r>
              <w:rPr>
                <w:sz w:val="15"/>
              </w:rPr>
              <w:t>React + TypeScript</w:t>
            </w:r>
          </w:p>
        </w:tc>
        <w:tc>
          <w:tcPr>
            <w:tcW w:type="dxa" w:w="4752"/>
            <w:tcMar>
              <w:top w:w="80" w:type="dxa"/>
              <w:start w:w="100" w:type="dxa"/>
              <w:bottom w:w="80" w:type="dxa"/>
              <w:end w:w="100" w:type="dxa"/>
            </w:tcMar>
            <w:vAlign w:val="center"/>
          </w:tcPr>
          <w:p>
            <w:pPr>
              <w:spacing w:before="20" w:after="20"/>
            </w:pPr>
            <w:r>
              <w:rPr>
                <w:sz w:val="15"/>
              </w:rPr>
              <w:t>Typed component/view model for several coordinated engineering workspaces; no server-side rendering required.</w:t>
            </w:r>
          </w:p>
        </w:tc>
      </w:tr>
      <w:tr>
        <w:trPr>
          <w:cantSplit/>
        </w:trPr>
        <w:tc>
          <w:tcPr>
            <w:tcW w:type="dxa" w:w="1584"/>
            <w:tcMar>
              <w:top w:w="80" w:type="dxa"/>
              <w:start w:w="100" w:type="dxa"/>
              <w:bottom w:w="80" w:type="dxa"/>
              <w:end w:w="100" w:type="dxa"/>
            </w:tcMar>
            <w:vAlign w:val="center"/>
          </w:tcPr>
          <w:p>
            <w:pPr>
              <w:spacing w:before="20" w:after="20"/>
            </w:pPr>
            <w:r>
              <w:rPr>
                <w:sz w:val="15"/>
              </w:rPr>
              <w:t>Build tooling</w:t>
            </w:r>
          </w:p>
        </w:tc>
        <w:tc>
          <w:tcPr>
            <w:tcW w:type="dxa" w:w="3024"/>
            <w:tcMar>
              <w:top w:w="80" w:type="dxa"/>
              <w:start w:w="100" w:type="dxa"/>
              <w:bottom w:w="80" w:type="dxa"/>
              <w:end w:w="100" w:type="dxa"/>
            </w:tcMar>
            <w:vAlign w:val="center"/>
          </w:tcPr>
          <w:p>
            <w:pPr>
              <w:spacing w:before="20" w:after="20"/>
            </w:pPr>
            <w:r>
              <w:rPr>
                <w:sz w:val="15"/>
              </w:rPr>
              <w:t>Vite with React TypeScript template</w:t>
            </w:r>
          </w:p>
        </w:tc>
        <w:tc>
          <w:tcPr>
            <w:tcW w:type="dxa" w:w="4752"/>
            <w:tcMar>
              <w:top w:w="80" w:type="dxa"/>
              <w:start w:w="100" w:type="dxa"/>
              <w:bottom w:w="80" w:type="dxa"/>
              <w:end w:w="100" w:type="dxa"/>
            </w:tcMar>
            <w:vAlign w:val="center"/>
          </w:tcPr>
          <w:p>
            <w:pPr>
              <w:spacing w:before="20" w:after="20"/>
            </w:pPr>
            <w:r>
              <w:rPr>
                <w:sz w:val="15"/>
              </w:rPr>
              <w:t>Lean local development and static production bundle served by backend.</w:t>
            </w:r>
          </w:p>
        </w:tc>
      </w:tr>
      <w:tr>
        <w:trPr>
          <w:cantSplit/>
        </w:trPr>
        <w:tc>
          <w:tcPr>
            <w:tcW w:type="dxa" w:w="1584"/>
            <w:tcMar>
              <w:top w:w="80" w:type="dxa"/>
              <w:start w:w="100" w:type="dxa"/>
              <w:bottom w:w="80" w:type="dxa"/>
              <w:end w:w="100" w:type="dxa"/>
            </w:tcMar>
            <w:vAlign w:val="center"/>
          </w:tcPr>
          <w:p>
            <w:pPr>
              <w:spacing w:before="20" w:after="20"/>
            </w:pPr>
            <w:r>
              <w:rPr>
                <w:sz w:val="15"/>
              </w:rPr>
              <w:t>Graph presentation</w:t>
            </w:r>
          </w:p>
        </w:tc>
        <w:tc>
          <w:tcPr>
            <w:tcW w:type="dxa" w:w="3024"/>
            <w:tcMar>
              <w:top w:w="80" w:type="dxa"/>
              <w:start w:w="100" w:type="dxa"/>
              <w:bottom w:w="80" w:type="dxa"/>
              <w:end w:w="100" w:type="dxa"/>
            </w:tcMar>
            <w:vAlign w:val="center"/>
          </w:tcPr>
          <w:p>
            <w:pPr>
              <w:spacing w:before="20" w:after="20"/>
            </w:pPr>
            <w:r>
              <w:rPr>
                <w:sz w:val="15"/>
              </w:rPr>
              <w:t>Cytoscape.js using preset layout</w:t>
            </w:r>
          </w:p>
        </w:tc>
        <w:tc>
          <w:tcPr>
            <w:tcW w:type="dxa" w:w="4752"/>
            <w:tcMar>
              <w:top w:w="80" w:type="dxa"/>
              <w:start w:w="100" w:type="dxa"/>
              <w:bottom w:w="80" w:type="dxa"/>
              <w:end w:w="100" w:type="dxa"/>
            </w:tcMar>
            <w:vAlign w:val="center"/>
          </w:tcPr>
          <w:p>
            <w:pPr>
              <w:spacing w:before="20" w:after="20"/>
            </w:pPr>
            <w:r>
              <w:rPr>
                <w:sz w:val="15"/>
              </w:rPr>
              <w:t>Interactive pan/zoom/selection and engineering one-line styling; no frontend engineering analysis or drag editing.</w:t>
            </w:r>
          </w:p>
        </w:tc>
      </w:tr>
      <w:tr>
        <w:trPr>
          <w:cantSplit/>
        </w:trPr>
        <w:tc>
          <w:tcPr>
            <w:tcW w:type="dxa" w:w="1584"/>
            <w:tcMar>
              <w:top w:w="80" w:type="dxa"/>
              <w:start w:w="100" w:type="dxa"/>
              <w:bottom w:w="80" w:type="dxa"/>
              <w:end w:w="100" w:type="dxa"/>
            </w:tcMar>
            <w:vAlign w:val="center"/>
          </w:tcPr>
          <w:p>
            <w:pPr>
              <w:spacing w:before="20" w:after="20"/>
            </w:pPr>
            <w:r>
              <w:rPr>
                <w:sz w:val="15"/>
              </w:rPr>
              <w:t>Frontend runtime</w:t>
            </w:r>
          </w:p>
        </w:tc>
        <w:tc>
          <w:tcPr>
            <w:tcW w:type="dxa" w:w="3024"/>
            <w:tcMar>
              <w:top w:w="80" w:type="dxa"/>
              <w:start w:w="100" w:type="dxa"/>
              <w:bottom w:w="80" w:type="dxa"/>
              <w:end w:w="100" w:type="dxa"/>
            </w:tcMar>
            <w:vAlign w:val="center"/>
          </w:tcPr>
          <w:p>
            <w:pPr>
              <w:spacing w:before="20" w:after="20"/>
            </w:pPr>
            <w:r>
              <w:rPr>
                <w:sz w:val="15"/>
              </w:rPr>
              <w:t>Node.js 24 LTS and npm</w:t>
            </w:r>
          </w:p>
        </w:tc>
        <w:tc>
          <w:tcPr>
            <w:tcW w:type="dxa" w:w="4752"/>
            <w:tcMar>
              <w:top w:w="80" w:type="dxa"/>
              <w:start w:w="100" w:type="dxa"/>
              <w:bottom w:w="80" w:type="dxa"/>
              <w:end w:w="100" w:type="dxa"/>
            </w:tcMar>
            <w:vAlign w:val="center"/>
          </w:tcPr>
          <w:p>
            <w:pPr>
              <w:spacing w:before="20" w:after="20"/>
            </w:pPr>
            <w:r>
              <w:rPr>
                <w:sz w:val="15"/>
              </w:rPr>
              <w:t>Supported LTS line and standard lockfile workflow.</w:t>
            </w:r>
          </w:p>
        </w:tc>
      </w:tr>
      <w:tr>
        <w:trPr>
          <w:cantSplit/>
        </w:trPr>
        <w:tc>
          <w:tcPr>
            <w:tcW w:type="dxa" w:w="1584"/>
            <w:tcMar>
              <w:top w:w="80" w:type="dxa"/>
              <w:start w:w="100" w:type="dxa"/>
              <w:bottom w:w="80" w:type="dxa"/>
              <w:end w:w="100" w:type="dxa"/>
            </w:tcMar>
            <w:vAlign w:val="center"/>
          </w:tcPr>
          <w:p>
            <w:pPr>
              <w:spacing w:before="20" w:after="20"/>
            </w:pPr>
            <w:r>
              <w:rPr>
                <w:sz w:val="15"/>
              </w:rPr>
              <w:t>Backend tests</w:t>
            </w:r>
          </w:p>
        </w:tc>
        <w:tc>
          <w:tcPr>
            <w:tcW w:type="dxa" w:w="3024"/>
            <w:tcMar>
              <w:top w:w="80" w:type="dxa"/>
              <w:start w:w="100" w:type="dxa"/>
              <w:bottom w:w="80" w:type="dxa"/>
              <w:end w:w="100" w:type="dxa"/>
            </w:tcMar>
            <w:vAlign w:val="center"/>
          </w:tcPr>
          <w:p>
            <w:pPr>
              <w:spacing w:before="20" w:after="20"/>
            </w:pPr>
            <w:r>
              <w:rPr>
                <w:sz w:val="15"/>
              </w:rPr>
              <w:t>pytest</w:t>
            </w:r>
          </w:p>
        </w:tc>
        <w:tc>
          <w:tcPr>
            <w:tcW w:type="dxa" w:w="4752"/>
            <w:tcMar>
              <w:top w:w="80" w:type="dxa"/>
              <w:start w:w="100" w:type="dxa"/>
              <w:bottom w:w="80" w:type="dxa"/>
              <w:end w:w="100" w:type="dxa"/>
            </w:tcMar>
            <w:vAlign w:val="center"/>
          </w:tcPr>
          <w:p>
            <w:pPr>
              <w:spacing w:before="20" w:after="20"/>
            </w:pPr>
            <w:r>
              <w:rPr>
                <w:sz w:val="15"/>
              </w:rPr>
              <w:t>Pure domain, boundary, transaction and API tests.</w:t>
            </w:r>
          </w:p>
        </w:tc>
      </w:tr>
      <w:tr>
        <w:trPr>
          <w:cantSplit/>
        </w:trPr>
        <w:tc>
          <w:tcPr>
            <w:tcW w:type="dxa" w:w="1584"/>
            <w:tcMar>
              <w:top w:w="80" w:type="dxa"/>
              <w:start w:w="100" w:type="dxa"/>
              <w:bottom w:w="80" w:type="dxa"/>
              <w:end w:w="100" w:type="dxa"/>
            </w:tcMar>
            <w:vAlign w:val="center"/>
          </w:tcPr>
          <w:p>
            <w:pPr>
              <w:spacing w:before="20" w:after="20"/>
            </w:pPr>
            <w:r>
              <w:rPr>
                <w:sz w:val="15"/>
              </w:rPr>
              <w:t>Frontend tests</w:t>
            </w:r>
          </w:p>
        </w:tc>
        <w:tc>
          <w:tcPr>
            <w:tcW w:type="dxa" w:w="3024"/>
            <w:tcMar>
              <w:top w:w="80" w:type="dxa"/>
              <w:start w:w="100" w:type="dxa"/>
              <w:bottom w:w="80" w:type="dxa"/>
              <w:end w:w="100" w:type="dxa"/>
            </w:tcMar>
            <w:vAlign w:val="center"/>
          </w:tcPr>
          <w:p>
            <w:pPr>
              <w:spacing w:before="20" w:after="20"/>
            </w:pPr>
            <w:r>
              <w:rPr>
                <w:sz w:val="15"/>
              </w:rPr>
              <w:t>Vitest + Testing Library</w:t>
            </w:r>
          </w:p>
        </w:tc>
        <w:tc>
          <w:tcPr>
            <w:tcW w:type="dxa" w:w="4752"/>
            <w:tcMar>
              <w:top w:w="80" w:type="dxa"/>
              <w:start w:w="100" w:type="dxa"/>
              <w:bottom w:w="80" w:type="dxa"/>
              <w:end w:w="100" w:type="dxa"/>
            </w:tcMar>
            <w:vAlign w:val="center"/>
          </w:tcPr>
          <w:p>
            <w:pPr>
              <w:spacing w:before="20" w:after="20"/>
            </w:pPr>
            <w:r>
              <w:rPr>
                <w:sz w:val="15"/>
              </w:rPr>
              <w:t>Component and view-model behaviour close to Vite/TypeScript setup.</w:t>
            </w:r>
          </w:p>
        </w:tc>
      </w:tr>
      <w:tr>
        <w:trPr>
          <w:cantSplit/>
        </w:trPr>
        <w:tc>
          <w:tcPr>
            <w:tcW w:type="dxa" w:w="1584"/>
            <w:tcMar>
              <w:top w:w="80" w:type="dxa"/>
              <w:start w:w="100" w:type="dxa"/>
              <w:bottom w:w="80" w:type="dxa"/>
              <w:end w:w="100" w:type="dxa"/>
            </w:tcMar>
            <w:vAlign w:val="center"/>
          </w:tcPr>
          <w:p>
            <w:pPr>
              <w:spacing w:before="20" w:after="20"/>
            </w:pPr>
            <w:r>
              <w:rPr>
                <w:sz w:val="15"/>
              </w:rPr>
              <w:t>Workflow tests</w:t>
            </w:r>
          </w:p>
        </w:tc>
        <w:tc>
          <w:tcPr>
            <w:tcW w:type="dxa" w:w="3024"/>
            <w:tcMar>
              <w:top w:w="80" w:type="dxa"/>
              <w:start w:w="100" w:type="dxa"/>
              <w:bottom w:w="80" w:type="dxa"/>
              <w:end w:w="100" w:type="dxa"/>
            </w:tcMar>
            <w:vAlign w:val="center"/>
          </w:tcPr>
          <w:p>
            <w:pPr>
              <w:spacing w:before="20" w:after="20"/>
            </w:pPr>
            <w:r>
              <w:rPr>
                <w:sz w:val="15"/>
              </w:rPr>
              <w:t>Playwright</w:t>
            </w:r>
          </w:p>
        </w:tc>
        <w:tc>
          <w:tcPr>
            <w:tcW w:type="dxa" w:w="4752"/>
            <w:tcMar>
              <w:top w:w="80" w:type="dxa"/>
              <w:start w:w="100" w:type="dxa"/>
              <w:bottom w:w="80" w:type="dxa"/>
              <w:end w:w="100" w:type="dxa"/>
            </w:tcMar>
            <w:vAlign w:val="center"/>
          </w:tcPr>
          <w:p>
            <w:pPr>
              <w:spacing w:before="20" w:after="20"/>
            </w:pPr>
            <w:r>
              <w:rPr>
                <w:sz w:val="15"/>
              </w:rPr>
              <w:t>Browser-level formal/exploration/investigation workflows and evidence-export checks.</w:t>
            </w:r>
          </w:p>
        </w:tc>
      </w:tr>
      <w:tr>
        <w:trPr>
          <w:cantSplit/>
        </w:trPr>
        <w:tc>
          <w:tcPr>
            <w:tcW w:type="dxa" w:w="1584"/>
            <w:tcMar>
              <w:top w:w="80" w:type="dxa"/>
              <w:start w:w="100" w:type="dxa"/>
              <w:bottom w:w="80" w:type="dxa"/>
              <w:end w:w="100" w:type="dxa"/>
            </w:tcMar>
            <w:vAlign w:val="center"/>
          </w:tcPr>
          <w:p>
            <w:pPr>
              <w:spacing w:before="20" w:after="20"/>
            </w:pPr>
            <w:r>
              <w:rPr>
                <w:sz w:val="15"/>
              </w:rPr>
              <w:t>Evidence export</w:t>
            </w:r>
          </w:p>
        </w:tc>
        <w:tc>
          <w:tcPr>
            <w:tcW w:type="dxa" w:w="3024"/>
            <w:tcMar>
              <w:top w:w="80" w:type="dxa"/>
              <w:start w:w="100" w:type="dxa"/>
              <w:bottom w:w="80" w:type="dxa"/>
              <w:end w:w="100" w:type="dxa"/>
            </w:tcMar>
            <w:vAlign w:val="center"/>
          </w:tcPr>
          <w:p>
            <w:pPr>
              <w:spacing w:before="20" w:after="20"/>
            </w:pPr>
            <w:r>
              <w:rPr>
                <w:sz w:val="15"/>
              </w:rPr>
              <w:t>Self-contained HTML + canonical JSON + SHA-256 manifest in ZIP</w:t>
            </w:r>
          </w:p>
        </w:tc>
        <w:tc>
          <w:tcPr>
            <w:tcW w:type="dxa" w:w="4752"/>
            <w:tcMar>
              <w:top w:w="80" w:type="dxa"/>
              <w:start w:w="100" w:type="dxa"/>
              <w:bottom w:w="80" w:type="dxa"/>
              <w:end w:w="100" w:type="dxa"/>
            </w:tcMar>
            <w:vAlign w:val="center"/>
          </w:tcPr>
          <w:p>
            <w:pPr>
              <w:spacing w:before="20" w:after="20"/>
            </w:pPr>
            <w:r>
              <w:rPr>
                <w:sz w:val="15"/>
              </w:rPr>
              <w:t>Reviewable, inspectable and portable without introducing report-generation behaviour into operational modules.</w:t>
            </w:r>
          </w:p>
        </w:tc>
      </w:tr>
    </w:tbl>
    <w:p>
      <w:pPr>
        <w:spacing w:after="0"/>
      </w:pPr>
    </w:p>
    <w:p>
      <w:pPr>
        <w:pStyle w:val="Heading2"/>
        <w:keepNext/>
      </w:pPr>
      <w:r>
        <w:t>26.1 Explicitly Rejected Alternatives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880"/>
            <w:shd w:fill="E7E7E7"/>
            <w:tcMar>
              <w:top w:w="80" w:type="dxa"/>
              <w:start w:w="100" w:type="dxa"/>
              <w:bottom w:w="80" w:type="dxa"/>
              <w:end w:w="100" w:type="dxa"/>
            </w:tcMar>
            <w:vAlign w:val="center"/>
          </w:tcPr>
          <w:p>
            <w:pPr>
              <w:spacing w:before="40" w:after="40"/>
              <w:jc w:val="center"/>
            </w:pPr>
            <w:r>
              <w:rPr>
                <w:b/>
                <w:sz w:val="19"/>
              </w:rPr>
              <w:t>Alternative</w:t>
            </w:r>
          </w:p>
        </w:tc>
        <w:tc>
          <w:tcPr>
            <w:tcW w:type="dxa" w:w="6480"/>
            <w:shd w:fill="E7E7E7"/>
            <w:tcMar>
              <w:top w:w="80" w:type="dxa"/>
              <w:start w:w="100" w:type="dxa"/>
              <w:bottom w:w="80" w:type="dxa"/>
              <w:end w:w="100" w:type="dxa"/>
            </w:tcMar>
            <w:vAlign w:val="center"/>
          </w:tcPr>
          <w:p>
            <w:pPr>
              <w:spacing w:before="40" w:after="40"/>
              <w:jc w:val="center"/>
            </w:pPr>
            <w:r>
              <w:rPr>
                <w:b/>
                <w:sz w:val="19"/>
              </w:rPr>
              <w:t>Reason not selected for V1</w:t>
            </w:r>
          </w:p>
        </w:tc>
      </w:tr>
      <w:tr>
        <w:trPr>
          <w:cantSplit/>
        </w:trPr>
        <w:tc>
          <w:tcPr>
            <w:tcW w:type="dxa" w:w="2880"/>
            <w:tcMar>
              <w:top w:w="80" w:type="dxa"/>
              <w:start w:w="100" w:type="dxa"/>
              <w:bottom w:w="80" w:type="dxa"/>
              <w:end w:w="100" w:type="dxa"/>
            </w:tcMar>
            <w:vAlign w:val="center"/>
          </w:tcPr>
          <w:p>
            <w:pPr>
              <w:spacing w:before="20" w:after="20"/>
            </w:pPr>
            <w:r>
              <w:rPr>
                <w:sz w:val="19"/>
              </w:rPr>
              <w:t>Microservices/message broker</w:t>
            </w:r>
          </w:p>
        </w:tc>
        <w:tc>
          <w:tcPr>
            <w:tcW w:type="dxa" w:w="6480"/>
            <w:tcMar>
              <w:top w:w="80" w:type="dxa"/>
              <w:start w:w="100" w:type="dxa"/>
              <w:bottom w:w="80" w:type="dxa"/>
              <w:end w:w="100" w:type="dxa"/>
            </w:tcMar>
            <w:vAlign w:val="center"/>
          </w:tcPr>
          <w:p>
            <w:pPr>
              <w:spacing w:before="20" w:after="20"/>
            </w:pPr>
            <w:r>
              <w:rPr>
                <w:sz w:val="19"/>
              </w:rPr>
              <w:t>Adds deployment and partial-failure complexity without improving this one-user local work package.</w:t>
            </w:r>
          </w:p>
        </w:tc>
      </w:tr>
      <w:tr>
        <w:trPr>
          <w:cantSplit/>
        </w:trPr>
        <w:tc>
          <w:tcPr>
            <w:tcW w:type="dxa" w:w="2880"/>
            <w:tcMar>
              <w:top w:w="80" w:type="dxa"/>
              <w:start w:w="100" w:type="dxa"/>
              <w:bottom w:w="80" w:type="dxa"/>
              <w:end w:w="100" w:type="dxa"/>
            </w:tcMar>
            <w:vAlign w:val="center"/>
          </w:tcPr>
          <w:p>
            <w:pPr>
              <w:spacing w:before="20" w:after="20"/>
            </w:pPr>
            <w:r>
              <w:rPr>
                <w:sz w:val="19"/>
              </w:rPr>
              <w:t>Streamlit-only application</w:t>
            </w:r>
          </w:p>
        </w:tc>
        <w:tc>
          <w:tcPr>
            <w:tcW w:type="dxa" w:w="6480"/>
            <w:tcMar>
              <w:top w:w="80" w:type="dxa"/>
              <w:start w:w="100" w:type="dxa"/>
              <w:bottom w:w="80" w:type="dxa"/>
              <w:end w:w="100" w:type="dxa"/>
            </w:tcMar>
            <w:vAlign w:val="center"/>
          </w:tcPr>
          <w:p>
            <w:pPr>
              <w:spacing w:before="20" w:after="20"/>
            </w:pPr>
            <w:r>
              <w:rPr>
                <w:sz w:val="19"/>
              </w:rPr>
              <w:t>Fast prototyping, but weaker fit for explicit command/API contracts, rich one-line interaction, view separation and long-lived evidence records.</w:t>
            </w:r>
          </w:p>
        </w:tc>
      </w:tr>
      <w:tr>
        <w:trPr>
          <w:cantSplit/>
        </w:trPr>
        <w:tc>
          <w:tcPr>
            <w:tcW w:type="dxa" w:w="2880"/>
            <w:tcMar>
              <w:top w:w="80" w:type="dxa"/>
              <w:start w:w="100" w:type="dxa"/>
              <w:bottom w:w="80" w:type="dxa"/>
              <w:end w:w="100" w:type="dxa"/>
            </w:tcMar>
            <w:vAlign w:val="center"/>
          </w:tcPr>
          <w:p>
            <w:pPr>
              <w:spacing w:before="20" w:after="20"/>
            </w:pPr>
            <w:r>
              <w:rPr>
                <w:sz w:val="19"/>
              </w:rPr>
              <w:t>Frontend-only graph logic</w:t>
            </w:r>
          </w:p>
        </w:tc>
        <w:tc>
          <w:tcPr>
            <w:tcW w:type="dxa" w:w="6480"/>
            <w:tcMar>
              <w:top w:w="80" w:type="dxa"/>
              <w:start w:w="100" w:type="dxa"/>
              <w:bottom w:w="80" w:type="dxa"/>
              <w:end w:w="100" w:type="dxa"/>
            </w:tcMar>
            <w:vAlign w:val="center"/>
          </w:tcPr>
          <w:p>
            <w:pPr>
              <w:spacing w:before="20" w:after="20"/>
            </w:pPr>
            <w:r>
              <w:rPr>
                <w:sz w:val="19"/>
              </w:rPr>
              <w:t>Would duplicate or expose engineering calculation in the presentation layer.</w:t>
            </w:r>
          </w:p>
        </w:tc>
      </w:tr>
      <w:tr>
        <w:trPr>
          <w:cantSplit/>
        </w:trPr>
        <w:tc>
          <w:tcPr>
            <w:tcW w:type="dxa" w:w="2880"/>
            <w:tcMar>
              <w:top w:w="80" w:type="dxa"/>
              <w:start w:w="100" w:type="dxa"/>
              <w:bottom w:w="80" w:type="dxa"/>
              <w:end w:w="100" w:type="dxa"/>
            </w:tcMar>
            <w:vAlign w:val="center"/>
          </w:tcPr>
          <w:p>
            <w:pPr>
              <w:spacing w:before="20" w:after="20"/>
            </w:pPr>
            <w:r>
              <w:rPr>
                <w:sz w:val="19"/>
              </w:rPr>
              <w:t>Commercial SCADA mimic framework</w:t>
            </w:r>
          </w:p>
        </w:tc>
        <w:tc>
          <w:tcPr>
            <w:tcW w:type="dxa" w:w="6480"/>
            <w:tcMar>
              <w:top w:w="80" w:type="dxa"/>
              <w:start w:w="100" w:type="dxa"/>
              <w:bottom w:w="80" w:type="dxa"/>
              <w:end w:w="100" w:type="dxa"/>
            </w:tcMar>
            <w:vAlign w:val="center"/>
          </w:tcPr>
          <w:p>
            <w:pPr>
              <w:spacing w:before="20" w:after="20"/>
            </w:pPr>
            <w:r>
              <w:rPr>
                <w:sz w:val="19"/>
              </w:rPr>
              <w:t>Would shift attention from engineering reasoning and risk implying product equivalence.</w:t>
            </w:r>
          </w:p>
        </w:tc>
      </w:tr>
      <w:tr>
        <w:trPr>
          <w:cantSplit/>
        </w:trPr>
        <w:tc>
          <w:tcPr>
            <w:tcW w:type="dxa" w:w="2880"/>
            <w:tcMar>
              <w:top w:w="80" w:type="dxa"/>
              <w:start w:w="100" w:type="dxa"/>
              <w:bottom w:w="80" w:type="dxa"/>
              <w:end w:w="100" w:type="dxa"/>
            </w:tcMar>
            <w:vAlign w:val="center"/>
          </w:tcPr>
          <w:p>
            <w:pPr>
              <w:spacing w:before="20" w:after="20"/>
            </w:pPr>
            <w:r>
              <w:rPr>
                <w:sz w:val="19"/>
              </w:rPr>
              <w:t>Cloud database/hosting</w:t>
            </w:r>
          </w:p>
        </w:tc>
        <w:tc>
          <w:tcPr>
            <w:tcW w:type="dxa" w:w="6480"/>
            <w:tcMar>
              <w:top w:w="80" w:type="dxa"/>
              <w:start w:w="100" w:type="dxa"/>
              <w:bottom w:w="80" w:type="dxa"/>
              <w:end w:w="100" w:type="dxa"/>
            </w:tcMar>
            <w:vAlign w:val="center"/>
          </w:tcPr>
          <w:p>
            <w:pPr>
              <w:spacing w:before="20" w:after="20"/>
            </w:pPr>
            <w:r>
              <w:rPr>
                <w:sz w:val="19"/>
              </w:rPr>
              <w:t>Unnecessary external dependency and outside the local fictional/simulated boundary.</w:t>
            </w:r>
          </w:p>
        </w:tc>
      </w:tr>
      <w:tr>
        <w:trPr>
          <w:cantSplit/>
        </w:trPr>
        <w:tc>
          <w:tcPr>
            <w:tcW w:type="dxa" w:w="2880"/>
            <w:tcMar>
              <w:top w:w="80" w:type="dxa"/>
              <w:start w:w="100" w:type="dxa"/>
              <w:bottom w:w="80" w:type="dxa"/>
              <w:end w:w="100" w:type="dxa"/>
            </w:tcMar>
            <w:vAlign w:val="center"/>
          </w:tcPr>
          <w:p>
            <w:pPr>
              <w:spacing w:before="20" w:after="20"/>
            </w:pPr>
            <w:r>
              <w:rPr>
                <w:sz w:val="19"/>
              </w:rPr>
              <w:t>Full event sourcing</w:t>
            </w:r>
          </w:p>
        </w:tc>
        <w:tc>
          <w:tcPr>
            <w:tcW w:type="dxa" w:w="6480"/>
            <w:tcMar>
              <w:top w:w="80" w:type="dxa"/>
              <w:start w:w="100" w:type="dxa"/>
              <w:bottom w:w="80" w:type="dxa"/>
              <w:end w:w="100" w:type="dxa"/>
            </w:tcMar>
            <w:vAlign w:val="center"/>
          </w:tcPr>
          <w:p>
            <w:pPr>
              <w:spacing w:before="20" w:after="20"/>
            </w:pPr>
            <w:r>
              <w:rPr>
                <w:sz w:val="19"/>
              </w:rPr>
              <w:t>Append-only events are required, but rebuilding all current state solely from events adds complexity not needed by V1.</w:t>
            </w:r>
          </w:p>
        </w:tc>
      </w:tr>
      <w:tr>
        <w:trPr>
          <w:cantSplit/>
        </w:trPr>
        <w:tc>
          <w:tcPr>
            <w:tcW w:type="dxa" w:w="2880"/>
            <w:tcMar>
              <w:top w:w="80" w:type="dxa"/>
              <w:start w:w="100" w:type="dxa"/>
              <w:bottom w:w="80" w:type="dxa"/>
              <w:end w:w="100" w:type="dxa"/>
            </w:tcMar>
            <w:vAlign w:val="center"/>
          </w:tcPr>
          <w:p>
            <w:pPr>
              <w:spacing w:before="20" w:after="20"/>
            </w:pPr>
            <w:r>
              <w:rPr>
                <w:sz w:val="19"/>
              </w:rPr>
              <w:t>Free-form configuration editor</w:t>
            </w:r>
          </w:p>
        </w:tc>
        <w:tc>
          <w:tcPr>
            <w:tcW w:type="dxa" w:w="6480"/>
            <w:tcMar>
              <w:top w:w="80" w:type="dxa"/>
              <w:start w:w="100" w:type="dxa"/>
              <w:bottom w:w="80" w:type="dxa"/>
              <w:end w:w="100" w:type="dxa"/>
            </w:tcMar>
            <w:vAlign w:val="center"/>
          </w:tcPr>
          <w:p>
            <w:pPr>
              <w:spacing w:before="20" w:after="20"/>
            </w:pPr>
            <w:r>
              <w:rPr>
                <w:sz w:val="19"/>
              </w:rPr>
              <w:t>Could bypass controlled v1.0/v1.1 inputs and create unapproved engineering behaviour.</w:t>
            </w:r>
          </w:p>
        </w:tc>
      </w:tr>
    </w:tbl>
    <w:p>
      <w:pPr>
        <w:spacing w:after="0"/>
      </w:pPr>
    </w:p>
    <w:p>
      <w:pPr>
        <w:pStyle w:val="Heading2"/>
        <w:keepNext/>
      </w:pPr>
      <w:r>
        <w:t>26.2 Technology References</w:t>
      </w:r>
    </w:p>
    <w:p>
      <w:pPr>
        <w:spacing w:before="0" w:after="40"/>
        <w:ind w:left="720" w:hanging="360"/>
      </w:pPr>
      <w:r>
        <w:rPr>
          <w:b/>
        </w:rPr>
        <w:t>•</w:t>
      </w:r>
      <w:r>
        <w:tab/>
        <w:t>FastAPI Features and OpenAPI/Pydantic integration — https://fastapi.tiangolo.com/features/</w:t>
      </w:r>
    </w:p>
    <w:p>
      <w:pPr>
        <w:spacing w:before="0" w:after="40"/>
        <w:ind w:left="720" w:hanging="360"/>
      </w:pPr>
      <w:r>
        <w:rPr>
          <w:b/>
        </w:rPr>
        <w:t>•</w:t>
      </w:r>
      <w:r>
        <w:tab/>
        <w:t>Pydantic validation and JSON Schema — https://pydantic.dev/docs/validation/latest/get-started/</w:t>
      </w:r>
    </w:p>
    <w:p>
      <w:pPr>
        <w:spacing w:before="0" w:after="40"/>
        <w:ind w:left="720" w:hanging="360"/>
      </w:pPr>
      <w:r>
        <w:rPr>
          <w:b/>
        </w:rPr>
        <w:t>•</w:t>
      </w:r>
      <w:r>
        <w:tab/>
        <w:t>NetworkX graph model and algorithms — https://networkx.org/documentation/stable/reference/introduction.html</w:t>
      </w:r>
    </w:p>
    <w:p>
      <w:pPr>
        <w:spacing w:before="0" w:after="40"/>
        <w:ind w:left="720" w:hanging="360"/>
      </w:pPr>
      <w:r>
        <w:rPr>
          <w:b/>
        </w:rPr>
        <w:t>•</w:t>
      </w:r>
      <w:r>
        <w:tab/>
        <w:t>SQLite transactions — https://www.sqlite.org/lang_transaction.html</w:t>
      </w:r>
    </w:p>
    <w:p>
      <w:pPr>
        <w:spacing w:before="0" w:after="40"/>
        <w:ind w:left="720" w:hanging="360"/>
      </w:pPr>
      <w:r>
        <w:rPr>
          <w:b/>
        </w:rPr>
        <w:t>•</w:t>
      </w:r>
      <w:r>
        <w:tab/>
        <w:t>React with TypeScript — https://react.dev/learn/typescript</w:t>
      </w:r>
    </w:p>
    <w:p>
      <w:pPr>
        <w:spacing w:before="0" w:after="40"/>
        <w:ind w:left="720" w:hanging="360"/>
      </w:pPr>
      <w:r>
        <w:rPr>
          <w:b/>
        </w:rPr>
        <w:t>•</w:t>
      </w:r>
      <w:r>
        <w:tab/>
        <w:t>Vite React/TypeScript templates — https://vite.dev/guide/</w:t>
      </w:r>
    </w:p>
    <w:p>
      <w:pPr>
        <w:spacing w:before="0" w:after="40"/>
        <w:ind w:left="720" w:hanging="360"/>
      </w:pPr>
      <w:r>
        <w:rPr>
          <w:b/>
        </w:rPr>
        <w:t>•</w:t>
      </w:r>
      <w:r>
        <w:tab/>
        <w:t>Cytoscape.js graph visualisation — https://js.cytoscape.org/</w:t>
      </w:r>
    </w:p>
    <w:p>
      <w:pPr>
        <w:spacing w:before="0" w:after="40"/>
        <w:ind w:left="720" w:hanging="360"/>
      </w:pPr>
      <w:r>
        <w:rPr>
          <w:b/>
        </w:rPr>
        <w:t>•</w:t>
      </w:r>
      <w:r>
        <w:tab/>
        <w:t>Node.js release/LTS status — https://nodejs.org/en/about/previous-releases</w:t>
      </w:r>
    </w:p>
    <w:p>
      <w:pPr>
        <w:pStyle w:val="Heading1"/>
        <w:keepNext/>
      </w:pPr>
      <w:r>
        <w:t>27. Implementation Approach</w:t>
      </w:r>
    </w:p>
    <w:p>
      <w:pPr>
        <w:spacing w:before="120" w:after="120"/>
      </w:pPr>
      <w:r>
        <w:rPr>
          <w:b w:val="0"/>
          <w:i w:val="0"/>
        </w:rPr>
        <w:t>Implementation proceeds in engineering-risk order. Each increment identifies requirement IDs, reads the relevant Network Model/System Architecture/Workflow sections, implements generic behaviour and adds tests before expanding the interface.</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872"/>
            <w:shd w:fill="E7E7E7"/>
            <w:tcMar>
              <w:top w:w="80" w:type="dxa"/>
              <w:start w:w="100" w:type="dxa"/>
              <w:bottom w:w="80" w:type="dxa"/>
              <w:end w:w="100" w:type="dxa"/>
            </w:tcMar>
            <w:vAlign w:val="center"/>
          </w:tcPr>
          <w:p>
            <w:pPr>
              <w:spacing w:before="40" w:after="40"/>
              <w:jc w:val="center"/>
            </w:pPr>
            <w:r>
              <w:rPr>
                <w:b/>
                <w:sz w:val="16"/>
              </w:rPr>
              <w:t>Increment</w:t>
            </w:r>
          </w:p>
        </w:tc>
        <w:tc>
          <w:tcPr>
            <w:tcW w:type="dxa" w:w="4896"/>
            <w:shd w:fill="E7E7E7"/>
            <w:tcMar>
              <w:top w:w="80" w:type="dxa"/>
              <w:start w:w="100" w:type="dxa"/>
              <w:bottom w:w="80" w:type="dxa"/>
              <w:end w:w="100" w:type="dxa"/>
            </w:tcMar>
            <w:vAlign w:val="center"/>
          </w:tcPr>
          <w:p>
            <w:pPr>
              <w:spacing w:before="40" w:after="40"/>
              <w:jc w:val="center"/>
            </w:pPr>
            <w:r>
              <w:rPr>
                <w:b/>
                <w:sz w:val="16"/>
              </w:rPr>
              <w:t>Scope</w:t>
            </w:r>
          </w:p>
        </w:tc>
        <w:tc>
          <w:tcPr>
            <w:tcW w:type="dxa" w:w="2592"/>
            <w:shd w:fill="E7E7E7"/>
            <w:tcMar>
              <w:top w:w="80" w:type="dxa"/>
              <w:start w:w="100" w:type="dxa"/>
              <w:bottom w:w="80" w:type="dxa"/>
              <w:end w:w="100" w:type="dxa"/>
            </w:tcMar>
            <w:vAlign w:val="center"/>
          </w:tcPr>
          <w:p>
            <w:pPr>
              <w:spacing w:before="40" w:after="40"/>
              <w:jc w:val="center"/>
            </w:pPr>
            <w:r>
              <w:rPr>
                <w:b/>
                <w:sz w:val="16"/>
              </w:rPr>
              <w:t>Completion evidence</w:t>
            </w:r>
          </w:p>
        </w:tc>
      </w:tr>
      <w:tr>
        <w:trPr>
          <w:cantSplit/>
        </w:trPr>
        <w:tc>
          <w:tcPr>
            <w:tcW w:type="dxa" w:w="1872"/>
            <w:tcMar>
              <w:top w:w="80" w:type="dxa"/>
              <w:start w:w="100" w:type="dxa"/>
              <w:bottom w:w="80" w:type="dxa"/>
              <w:end w:w="100" w:type="dxa"/>
            </w:tcMar>
            <w:vAlign w:val="center"/>
          </w:tcPr>
          <w:p>
            <w:pPr>
              <w:spacing w:before="20" w:after="20"/>
            </w:pPr>
            <w:r>
              <w:rPr>
                <w:sz w:val="16"/>
              </w:rPr>
              <w:t>I1 — Contracts and inputs</w:t>
            </w:r>
          </w:p>
        </w:tc>
        <w:tc>
          <w:tcPr>
            <w:tcW w:type="dxa" w:w="4896"/>
            <w:tcMar>
              <w:top w:w="80" w:type="dxa"/>
              <w:start w:w="100" w:type="dxa"/>
              <w:bottom w:w="80" w:type="dxa"/>
              <w:end w:w="100" w:type="dxa"/>
            </w:tcMar>
            <w:vAlign w:val="center"/>
          </w:tcPr>
          <w:p>
            <w:pPr>
              <w:spacing w:before="20" w:after="20"/>
            </w:pPr>
            <w:r>
              <w:rPr>
                <w:sz w:val="16"/>
              </w:rPr>
              <w:t>Repository scaffold, typed enums/value objects, v1.0/v1.1 JSON packages, hashes and database migrations.</w:t>
            </w:r>
          </w:p>
        </w:tc>
        <w:tc>
          <w:tcPr>
            <w:tcW w:type="dxa" w:w="2592"/>
            <w:tcMar>
              <w:top w:w="80" w:type="dxa"/>
              <w:start w:w="100" w:type="dxa"/>
              <w:bottom w:w="80" w:type="dxa"/>
              <w:end w:w="100" w:type="dxa"/>
            </w:tcMar>
            <w:vAlign w:val="center"/>
          </w:tcPr>
          <w:p>
            <w:pPr>
              <w:spacing w:before="20" w:after="20"/>
            </w:pPr>
            <w:r>
              <w:rPr>
                <w:sz w:val="16"/>
              </w:rPr>
              <w:t>Configuration schema tests and exact SW-A23 difference test.</w:t>
            </w:r>
          </w:p>
        </w:tc>
      </w:tr>
      <w:tr>
        <w:trPr>
          <w:cantSplit/>
        </w:trPr>
        <w:tc>
          <w:tcPr>
            <w:tcW w:type="dxa" w:w="1872"/>
            <w:tcMar>
              <w:top w:w="80" w:type="dxa"/>
              <w:start w:w="100" w:type="dxa"/>
              <w:bottom w:w="80" w:type="dxa"/>
              <w:end w:w="100" w:type="dxa"/>
            </w:tcMar>
            <w:vAlign w:val="center"/>
          </w:tcPr>
          <w:p>
            <w:pPr>
              <w:spacing w:before="20" w:after="20"/>
            </w:pPr>
            <w:r>
              <w:rPr>
                <w:sz w:val="16"/>
              </w:rPr>
              <w:t>I2 — Topology and outage core</w:t>
            </w:r>
          </w:p>
        </w:tc>
        <w:tc>
          <w:tcPr>
            <w:tcW w:type="dxa" w:w="4896"/>
            <w:tcMar>
              <w:top w:w="80" w:type="dxa"/>
              <w:start w:w="100" w:type="dxa"/>
              <w:bottom w:w="80" w:type="dxa"/>
              <w:end w:w="100" w:type="dxa"/>
            </w:tcMar>
            <w:vAlign w:val="center"/>
          </w:tcPr>
          <w:p>
            <w:pPr>
              <w:spacing w:before="20" w:after="20"/>
            </w:pPr>
            <w:r>
              <w:rPr>
                <w:sz w:val="16"/>
              </w:rPr>
              <w:t>Graph construction, active edges, source tracing, energisation, radiality, isolation and OMS mapping.</w:t>
            </w:r>
          </w:p>
        </w:tc>
        <w:tc>
          <w:tcPr>
            <w:tcW w:type="dxa" w:w="2592"/>
            <w:tcMar>
              <w:top w:w="80" w:type="dxa"/>
              <w:start w:w="100" w:type="dxa"/>
              <w:bottom w:w="80" w:type="dxa"/>
              <w:end w:w="100" w:type="dxa"/>
            </w:tcMar>
            <w:vAlign w:val="center"/>
          </w:tcPr>
          <w:p>
            <w:pPr>
              <w:spacing w:before="20" w:after="20"/>
            </w:pPr>
            <w:r>
              <w:rPr>
                <w:sz w:val="16"/>
              </w:rPr>
              <w:t>N0/N1 v1.1 answer-key tests and v1.0 400-customer defect test from normal logic.</w:t>
            </w:r>
          </w:p>
        </w:tc>
      </w:tr>
      <w:tr>
        <w:trPr>
          <w:cantSplit/>
        </w:trPr>
        <w:tc>
          <w:tcPr>
            <w:tcW w:type="dxa" w:w="1872"/>
            <w:tcMar>
              <w:top w:w="80" w:type="dxa"/>
              <w:start w:w="100" w:type="dxa"/>
              <w:bottom w:w="80" w:type="dxa"/>
              <w:end w:w="100" w:type="dxa"/>
            </w:tcMar>
            <w:vAlign w:val="center"/>
          </w:tcPr>
          <w:p>
            <w:pPr>
              <w:spacing w:before="20" w:after="20"/>
            </w:pPr>
            <w:r>
              <w:rPr>
                <w:sz w:val="16"/>
              </w:rPr>
              <w:t>I3 — Scenario transactions</w:t>
            </w:r>
          </w:p>
        </w:tc>
        <w:tc>
          <w:tcPr>
            <w:tcW w:type="dxa" w:w="4896"/>
            <w:tcMar>
              <w:top w:w="80" w:type="dxa"/>
              <w:start w:w="100" w:type="dxa"/>
              <w:bottom w:w="80" w:type="dxa"/>
              <w:end w:w="100" w:type="dxa"/>
            </w:tcMar>
            <w:vAlign w:val="center"/>
          </w:tcPr>
          <w:p>
            <w:pPr>
              <w:spacing w:before="20" w:after="20"/>
            </w:pPr>
            <w:r>
              <w:rPr>
                <w:sz w:val="16"/>
              </w:rPr>
              <w:t>Run context, controlled clock, telemetry/alarm, command gates, revision/order and events.</w:t>
            </w:r>
          </w:p>
        </w:tc>
        <w:tc>
          <w:tcPr>
            <w:tcW w:type="dxa" w:w="2592"/>
            <w:tcMar>
              <w:top w:w="80" w:type="dxa"/>
              <w:start w:w="100" w:type="dxa"/>
              <w:bottom w:w="80" w:type="dxa"/>
              <w:end w:w="100" w:type="dxa"/>
            </w:tcMar>
            <w:vAlign w:val="center"/>
          </w:tcPr>
          <w:p>
            <w:pPr>
              <w:spacing w:before="20" w:after="20"/>
            </w:pPr>
            <w:r>
              <w:rPr>
                <w:sz w:val="16"/>
              </w:rPr>
              <w:t>Atomic rollback, stale revision, acknowledgement and N0→N3 tests.</w:t>
            </w:r>
          </w:p>
        </w:tc>
      </w:tr>
      <w:tr>
        <w:trPr>
          <w:cantSplit/>
        </w:trPr>
        <w:tc>
          <w:tcPr>
            <w:tcW w:type="dxa" w:w="1872"/>
            <w:tcMar>
              <w:top w:w="80" w:type="dxa"/>
              <w:start w:w="100" w:type="dxa"/>
              <w:bottom w:w="80" w:type="dxa"/>
              <w:end w:w="100" w:type="dxa"/>
            </w:tcMar>
            <w:vAlign w:val="center"/>
          </w:tcPr>
          <w:p>
            <w:pPr>
              <w:spacing w:before="20" w:after="20"/>
            </w:pPr>
            <w:r>
              <w:rPr>
                <w:sz w:val="16"/>
              </w:rPr>
              <w:t>I4 — Restoration</w:t>
            </w:r>
          </w:p>
        </w:tc>
        <w:tc>
          <w:tcPr>
            <w:tcW w:type="dxa" w:w="4896"/>
            <w:tcMar>
              <w:top w:w="80" w:type="dxa"/>
              <w:start w:w="100" w:type="dxa"/>
              <w:bottom w:w="80" w:type="dxa"/>
              <w:end w:w="100" w:type="dxa"/>
            </w:tcMar>
            <w:vAlign w:val="center"/>
          </w:tcPr>
          <w:p>
            <w:pPr>
              <w:spacing w:before="20" w:after="20"/>
            </w:pPr>
            <w:r>
              <w:rPr>
                <w:sz w:val="16"/>
              </w:rPr>
              <w:t>Candidate discovery, evidence set, BLOCKED/REJECTED/PERMITTED, capacity and invalidation/execution binding.</w:t>
            </w:r>
          </w:p>
        </w:tc>
        <w:tc>
          <w:tcPr>
            <w:tcW w:type="dxa" w:w="2592"/>
            <w:tcMar>
              <w:top w:w="80" w:type="dxa"/>
              <w:start w:w="100" w:type="dxa"/>
              <w:bottom w:w="80" w:type="dxa"/>
              <w:end w:w="100" w:type="dxa"/>
            </w:tcMar>
            <w:vAlign w:val="center"/>
          </w:tcPr>
          <w:p>
            <w:pPr>
              <w:spacing w:before="20" w:after="20"/>
            </w:pPr>
            <w:r>
              <w:rPr>
                <w:sz w:val="16"/>
              </w:rPr>
              <w:t>Formal N4 5.70 MW/95.0% and negative telemetry tests.</w:t>
            </w:r>
          </w:p>
        </w:tc>
      </w:tr>
      <w:tr>
        <w:trPr>
          <w:cantSplit/>
        </w:trPr>
        <w:tc>
          <w:tcPr>
            <w:tcW w:type="dxa" w:w="1872"/>
            <w:tcMar>
              <w:top w:w="80" w:type="dxa"/>
              <w:start w:w="100" w:type="dxa"/>
              <w:bottom w:w="80" w:type="dxa"/>
              <w:end w:w="100" w:type="dxa"/>
            </w:tcMar>
            <w:vAlign w:val="center"/>
          </w:tcPr>
          <w:p>
            <w:pPr>
              <w:spacing w:before="20" w:after="20"/>
            </w:pPr>
            <w:r>
              <w:rPr>
                <w:sz w:val="16"/>
              </w:rPr>
              <w:t>I5 — Validation/evidence</w:t>
            </w:r>
          </w:p>
        </w:tc>
        <w:tc>
          <w:tcPr>
            <w:tcW w:type="dxa" w:w="4896"/>
            <w:tcMar>
              <w:top w:w="80" w:type="dxa"/>
              <w:start w:w="100" w:type="dxa"/>
              <w:bottom w:w="80" w:type="dxa"/>
              <w:end w:w="100" w:type="dxa"/>
            </w:tcMar>
            <w:vAlign w:val="center"/>
          </w:tcPr>
          <w:p>
            <w:pPr>
              <w:spacing w:before="20" w:after="20"/>
            </w:pPr>
            <w:r>
              <w:rPr>
                <w:sz w:val="16"/>
              </w:rPr>
              <w:t>Definitions, executions, checkpoints, comparison, immutable snapshots and reset preservation.</w:t>
            </w:r>
          </w:p>
        </w:tc>
        <w:tc>
          <w:tcPr>
            <w:tcW w:type="dxa" w:w="2592"/>
            <w:tcMar>
              <w:top w:w="80" w:type="dxa"/>
              <w:start w:w="100" w:type="dxa"/>
              <w:bottom w:w="80" w:type="dxa"/>
              <w:end w:w="100" w:type="dxa"/>
            </w:tcMar>
            <w:vAlign w:val="center"/>
          </w:tcPr>
          <w:p>
            <w:pPr>
              <w:spacing w:before="20" w:after="20"/>
            </w:pPr>
            <w:r>
              <w:rPr>
                <w:sz w:val="16"/>
              </w:rPr>
              <w:t>VT-TOP-DEF-001 FAIL plus immutable evidence tests.</w:t>
            </w:r>
          </w:p>
        </w:tc>
      </w:tr>
      <w:tr>
        <w:trPr>
          <w:cantSplit/>
        </w:trPr>
        <w:tc>
          <w:tcPr>
            <w:tcW w:type="dxa" w:w="1872"/>
            <w:tcMar>
              <w:top w:w="80" w:type="dxa"/>
              <w:start w:w="100" w:type="dxa"/>
              <w:bottom w:w="80" w:type="dxa"/>
              <w:end w:w="100" w:type="dxa"/>
            </w:tcMar>
            <w:vAlign w:val="center"/>
          </w:tcPr>
          <w:p>
            <w:pPr>
              <w:spacing w:before="20" w:after="20"/>
            </w:pPr>
            <w:r>
              <w:rPr>
                <w:sz w:val="16"/>
              </w:rPr>
              <w:t>I6 — Operational UI</w:t>
            </w:r>
          </w:p>
        </w:tc>
        <w:tc>
          <w:tcPr>
            <w:tcW w:type="dxa" w:w="4896"/>
            <w:tcMar>
              <w:top w:w="80" w:type="dxa"/>
              <w:start w:w="100" w:type="dxa"/>
              <w:bottom w:w="80" w:type="dxa"/>
              <w:end w:w="100" w:type="dxa"/>
            </w:tcMar>
            <w:vAlign w:val="center"/>
          </w:tcPr>
          <w:p>
            <w:pPr>
              <w:spacing w:before="20" w:after="20"/>
            </w:pPr>
            <w:r>
              <w:rPr>
                <w:sz w:val="16"/>
              </w:rPr>
              <w:t>Run setup, one-line, context ribbon, inspector, telemetry/events, actions and restoration view.</w:t>
            </w:r>
          </w:p>
        </w:tc>
        <w:tc>
          <w:tcPr>
            <w:tcW w:type="dxa" w:w="2592"/>
            <w:tcMar>
              <w:top w:w="80" w:type="dxa"/>
              <w:start w:w="100" w:type="dxa"/>
              <w:bottom w:w="80" w:type="dxa"/>
              <w:end w:w="100" w:type="dxa"/>
            </w:tcMar>
            <w:vAlign w:val="center"/>
          </w:tcPr>
          <w:p>
            <w:pPr>
              <w:spacing w:before="20" w:after="20"/>
            </w:pPr>
            <w:r>
              <w:rPr>
                <w:sz w:val="16"/>
              </w:rPr>
              <w:t>Component tests and N0–N5 browser workflow.</w:t>
            </w:r>
          </w:p>
        </w:tc>
      </w:tr>
      <w:tr>
        <w:trPr>
          <w:cantSplit/>
        </w:trPr>
        <w:tc>
          <w:tcPr>
            <w:tcW w:type="dxa" w:w="1872"/>
            <w:tcMar>
              <w:top w:w="80" w:type="dxa"/>
              <w:start w:w="100" w:type="dxa"/>
              <w:bottom w:w="80" w:type="dxa"/>
              <w:end w:w="100" w:type="dxa"/>
            </w:tcMar>
            <w:vAlign w:val="center"/>
          </w:tcPr>
          <w:p>
            <w:pPr>
              <w:spacing w:before="20" w:after="20"/>
            </w:pPr>
            <w:r>
              <w:rPr>
                <w:sz w:val="16"/>
              </w:rPr>
              <w:t>I7 — Investigation/correction</w:t>
            </w:r>
          </w:p>
        </w:tc>
        <w:tc>
          <w:tcPr>
            <w:tcW w:type="dxa" w:w="4896"/>
            <w:tcMar>
              <w:top w:w="80" w:type="dxa"/>
              <w:start w:w="100" w:type="dxa"/>
              <w:bottom w:w="80" w:type="dxa"/>
              <w:end w:w="100" w:type="dxa"/>
            </w:tcMar>
            <w:vAlign w:val="center"/>
          </w:tcPr>
          <w:p>
            <w:pPr>
              <w:spacing w:before="20" w:after="20"/>
            </w:pPr>
            <w:r>
              <w:rPr>
                <w:sz w:val="16"/>
              </w:rPr>
              <w:t>Consequence-to-source workspace, config compare, DEF-001/correction/repeat links.</w:t>
            </w:r>
          </w:p>
        </w:tc>
        <w:tc>
          <w:tcPr>
            <w:tcW w:type="dxa" w:w="2592"/>
            <w:tcMar>
              <w:top w:w="80" w:type="dxa"/>
              <w:start w:w="100" w:type="dxa"/>
              <w:bottom w:w="80" w:type="dxa"/>
              <w:end w:w="100" w:type="dxa"/>
            </w:tcMar>
            <w:vAlign w:val="center"/>
          </w:tcPr>
          <w:p>
            <w:pPr>
              <w:spacing w:before="20" w:after="20"/>
            </w:pPr>
            <w:r>
              <w:rPr>
                <w:sz w:val="16"/>
              </w:rPr>
              <w:t>Same-build v1.0 FAIL → v1.1 PASS browser test.</w:t>
            </w:r>
          </w:p>
        </w:tc>
      </w:tr>
      <w:tr>
        <w:trPr>
          <w:cantSplit/>
        </w:trPr>
        <w:tc>
          <w:tcPr>
            <w:tcW w:type="dxa" w:w="1872"/>
            <w:tcMar>
              <w:top w:w="80" w:type="dxa"/>
              <w:start w:w="100" w:type="dxa"/>
              <w:bottom w:w="80" w:type="dxa"/>
              <w:end w:w="100" w:type="dxa"/>
            </w:tcMar>
            <w:vAlign w:val="center"/>
          </w:tcPr>
          <w:p>
            <w:pPr>
              <w:spacing w:before="20" w:after="20"/>
            </w:pPr>
            <w:r>
              <w:rPr>
                <w:sz w:val="16"/>
              </w:rPr>
              <w:t>I8 — Exploration and export</w:t>
            </w:r>
          </w:p>
        </w:tc>
        <w:tc>
          <w:tcPr>
            <w:tcW w:type="dxa" w:w="4896"/>
            <w:tcMar>
              <w:top w:w="80" w:type="dxa"/>
              <w:start w:w="100" w:type="dxa"/>
              <w:bottom w:w="80" w:type="dxa"/>
              <w:end w:w="100" w:type="dxa"/>
            </w:tcMar>
            <w:vAlign w:val="center"/>
          </w:tcPr>
          <w:p>
            <w:pPr>
              <w:spacing w:before="20" w:after="20"/>
            </w:pPr>
            <w:r>
              <w:rPr>
                <w:sz w:val="16"/>
              </w:rPr>
              <w:t>Eight-section selection, generic labels/outcomes, evidence class separation and ZIP export.</w:t>
            </w:r>
          </w:p>
        </w:tc>
        <w:tc>
          <w:tcPr>
            <w:tcW w:type="dxa" w:w="2592"/>
            <w:tcMar>
              <w:top w:w="80" w:type="dxa"/>
              <w:start w:w="100" w:type="dxa"/>
              <w:bottom w:w="80" w:type="dxa"/>
              <w:end w:w="100" w:type="dxa"/>
            </w:tcMar>
            <w:vAlign w:val="center"/>
          </w:tcPr>
          <w:p>
            <w:pPr>
              <w:spacing w:before="20" w:after="20"/>
            </w:pPr>
            <w:r>
              <w:rPr>
                <w:sz w:val="16"/>
              </w:rPr>
              <w:t>Feeder-role reversal, non-guaranteed outcome and package-manifest tests.</w:t>
            </w:r>
          </w:p>
        </w:tc>
      </w:tr>
      <w:tr>
        <w:trPr>
          <w:cantSplit/>
        </w:trPr>
        <w:tc>
          <w:tcPr>
            <w:tcW w:type="dxa" w:w="1872"/>
            <w:tcMar>
              <w:top w:w="80" w:type="dxa"/>
              <w:start w:w="100" w:type="dxa"/>
              <w:bottom w:w="80" w:type="dxa"/>
              <w:end w:w="100" w:type="dxa"/>
            </w:tcMar>
            <w:vAlign w:val="center"/>
          </w:tcPr>
          <w:p>
            <w:pPr>
              <w:spacing w:before="20" w:after="20"/>
            </w:pPr>
            <w:r>
              <w:rPr>
                <w:sz w:val="16"/>
              </w:rPr>
              <w:t>I9 — Packaging/review</w:t>
            </w:r>
          </w:p>
        </w:tc>
        <w:tc>
          <w:tcPr>
            <w:tcW w:type="dxa" w:w="4896"/>
            <w:tcMar>
              <w:top w:w="80" w:type="dxa"/>
              <w:start w:w="100" w:type="dxa"/>
              <w:bottom w:w="80" w:type="dxa"/>
              <w:end w:w="100" w:type="dxa"/>
            </w:tcMar>
            <w:vAlign w:val="center"/>
          </w:tcPr>
          <w:p>
            <w:pPr>
              <w:spacing w:before="20" w:after="20"/>
            </w:pPr>
            <w:r>
              <w:rPr>
                <w:sz w:val="16"/>
              </w:rPr>
              <w:t>One-command local build/start, engineering basis view, accessibility and walkthrough fixtures.</w:t>
            </w:r>
          </w:p>
        </w:tc>
        <w:tc>
          <w:tcPr>
            <w:tcW w:type="dxa" w:w="2592"/>
            <w:tcMar>
              <w:top w:w="80" w:type="dxa"/>
              <w:start w:w="100" w:type="dxa"/>
              <w:bottom w:w="80" w:type="dxa"/>
              <w:end w:w="100" w:type="dxa"/>
            </w:tcMar>
            <w:vAlign w:val="center"/>
          </w:tcPr>
          <w:p>
            <w:pPr>
              <w:spacing w:before="20" w:after="20"/>
            </w:pPr>
            <w:r>
              <w:rPr>
                <w:sz w:val="16"/>
              </w:rPr>
              <w:t>Full regression, clean build manifest and review checklist.</w:t>
            </w:r>
          </w:p>
        </w:tc>
      </w:tr>
    </w:tbl>
    <w:p>
      <w:pPr>
        <w:spacing w:after="0"/>
      </w:pPr>
    </w:p>
    <w:p>
      <w:pPr>
        <w:pStyle w:val="Heading2"/>
        <w:keepNext/>
      </w:pPr>
      <w:r>
        <w:t>27.1 Coding Gate</w:t>
      </w:r>
    </w:p>
    <w:p>
      <w:pPr>
        <w:spacing w:before="120" w:after="120"/>
      </w:pPr>
      <w:r>
        <w:rPr>
          <w:b w:val="0"/>
          <w:i w:val="0"/>
        </w:rPr>
        <w:t>Before a module is coded, the implementing task must name its requirements and read the allocated detailed design sections. If a required test definition, controlled per-step time increment or acceptance rule remains deferred to the Validation Plan, implementation may create an interface/stub but may not invent the value. The question is recorded and resolved before executable logic depends on it.</w:t>
      </w:r>
    </w:p>
    <w:p>
      <w:pPr>
        <w:pStyle w:val="Heading1"/>
        <w:keepNext/>
      </w:pPr>
      <w:r>
        <w:t>28. Test and Verification Strategy</w:t>
      </w:r>
    </w:p>
    <w:p>
      <w:pPr>
        <w:pStyle w:val="Heading2"/>
        <w:keepNext/>
      </w:pPr>
      <w:r>
        <w:t>28.1 Domain Unit Tests</w:t>
      </w:r>
    </w:p>
    <w:p>
      <w:pPr>
        <w:spacing w:before="0" w:after="40"/>
        <w:ind w:left="720" w:hanging="360"/>
      </w:pPr>
      <w:r>
        <w:rPr>
          <w:b/>
        </w:rPr>
        <w:t>•</w:t>
      </w:r>
      <w:r>
        <w:tab/>
        <w:t>configuration schema and stable identifier validation;</w:t>
      </w:r>
    </w:p>
    <w:p>
      <w:pPr>
        <w:spacing w:before="0" w:after="40"/>
        <w:ind w:left="720" w:hanging="360"/>
      </w:pPr>
      <w:r>
        <w:rPr>
          <w:b/>
        </w:rPr>
        <w:t>•</w:t>
      </w:r>
      <w:r>
        <w:tab/>
        <w:t>active graph construction under OPEN/CLOSED observed states;</w:t>
      </w:r>
    </w:p>
    <w:p>
      <w:pPr>
        <w:spacing w:before="0" w:after="40"/>
        <w:ind w:left="720" w:hanging="360"/>
      </w:pPr>
      <w:r>
        <w:rPr>
          <w:b/>
        </w:rPr>
        <w:t>•</w:t>
      </w:r>
      <w:r>
        <w:tab/>
        <w:t>source-path, energisation, fault independence, radiality and isolation proof;</w:t>
      </w:r>
    </w:p>
    <w:p>
      <w:pPr>
        <w:spacing w:before="0" w:after="40"/>
        <w:ind w:left="720" w:hanging="360"/>
      </w:pPr>
      <w:r>
        <w:rPr>
          <w:b/>
        </w:rPr>
        <w:t>•</w:t>
      </w:r>
      <w:r>
        <w:tab/>
        <w:t>OMS section/zone/customer mapping and restored delta;</w:t>
      </w:r>
    </w:p>
    <w:p>
      <w:pPr>
        <w:spacing w:before="0" w:after="40"/>
        <w:ind w:left="720" w:hanging="360"/>
      </w:pPr>
      <w:r>
        <w:rPr>
          <w:b/>
        </w:rPr>
        <w:t>•</w:t>
      </w:r>
      <w:r>
        <w:tab/>
        <w:t>restoration candidate, all permissives, BLOCKED precedence, rejection and exact capacity arithmetic;</w:t>
      </w:r>
    </w:p>
    <w:p>
      <w:pPr>
        <w:spacing w:before="0" w:after="40"/>
        <w:ind w:left="720" w:hanging="360"/>
      </w:pPr>
      <w:r>
        <w:rPr>
          <w:b/>
        </w:rPr>
        <w:t>•</w:t>
      </w:r>
      <w:r>
        <w:tab/>
        <w:t>PAR-TEL-001 at 60.000 s, 60.001 s, future timestamp, UNCERTAIN and BAD; and</w:t>
      </w:r>
    </w:p>
    <w:p>
      <w:pPr>
        <w:spacing w:before="0" w:after="40"/>
        <w:ind w:left="720" w:hanging="360"/>
      </w:pPr>
      <w:r>
        <w:rPr>
          <w:b/>
        </w:rPr>
        <w:t>•</w:t>
      </w:r>
      <w:r>
        <w:tab/>
        <w:t>v1.0/v1.1 normal processing with no defect-specific branch.</w:t>
      </w:r>
    </w:p>
    <w:p>
      <w:pPr>
        <w:pStyle w:val="Heading2"/>
        <w:keepNext/>
      </w:pPr>
      <w:r>
        <w:t>28.2 Transaction and Persistence Tests</w:t>
      </w:r>
    </w:p>
    <w:p>
      <w:pPr>
        <w:spacing w:before="0" w:after="40"/>
        <w:ind w:left="720" w:hanging="360"/>
      </w:pPr>
      <w:r>
        <w:rPr>
          <w:b/>
        </w:rPr>
        <w:t>•</w:t>
      </w:r>
      <w:r>
        <w:tab/>
        <w:t>expected revision mismatch leaves state unchanged;</w:t>
      </w:r>
    </w:p>
    <w:p>
      <w:pPr>
        <w:spacing w:before="0" w:after="40"/>
        <w:ind w:left="720" w:hanging="360"/>
      </w:pPr>
      <w:r>
        <w:rPr>
          <w:b/>
        </w:rPr>
        <w:t>•</w:t>
      </w:r>
      <w:r>
        <w:tab/>
        <w:t>duplicate command_id returns the original result without a second operation;</w:t>
      </w:r>
    </w:p>
    <w:p>
      <w:pPr>
        <w:spacing w:before="0" w:after="40"/>
        <w:ind w:left="720" w:hanging="360"/>
      </w:pPr>
      <w:r>
        <w:rPr>
          <w:b/>
        </w:rPr>
        <w:t>•</w:t>
      </w:r>
      <w:r>
        <w:tab/>
        <w:t>failure during calculation/persistence rolls back the complete command;</w:t>
      </w:r>
    </w:p>
    <w:p>
      <w:pPr>
        <w:spacing w:before="0" w:after="40"/>
        <w:ind w:left="720" w:hanging="360"/>
      </w:pPr>
      <w:r>
        <w:rPr>
          <w:b/>
        </w:rPr>
        <w:t>•</w:t>
      </w:r>
      <w:r>
        <w:tab/>
        <w:t>event_sequence ordering and event coverage match Step 7;</w:t>
      </w:r>
    </w:p>
    <w:p>
      <w:pPr>
        <w:spacing w:before="0" w:after="40"/>
        <w:ind w:left="720" w:hanging="360"/>
      </w:pPr>
      <w:r>
        <w:rPr>
          <w:b/>
        </w:rPr>
        <w:t>•</w:t>
      </w:r>
      <w:r>
        <w:tab/>
        <w:t>assessment invalidation preserves the original assessment;</w:t>
      </w:r>
    </w:p>
    <w:p>
      <w:pPr>
        <w:spacing w:before="0" w:after="40"/>
        <w:ind w:left="720" w:hanging="360"/>
      </w:pPr>
      <w:r>
        <w:rPr>
          <w:b/>
        </w:rPr>
        <w:t>•</w:t>
      </w:r>
      <w:r>
        <w:tab/>
        <w:t>reset creates a new run and preserves history; and</w:t>
      </w:r>
    </w:p>
    <w:p>
      <w:pPr>
        <w:spacing w:before="0" w:after="40"/>
        <w:ind w:left="720" w:hanging="360"/>
      </w:pPr>
      <w:r>
        <w:rPr>
          <w:b/>
        </w:rPr>
        <w:t>•</w:t>
      </w:r>
      <w:r>
        <w:tab/>
        <w:t>finalised evidence, executions, defects and corrections reject overwrite/delete.</w:t>
      </w:r>
    </w:p>
    <w:p>
      <w:pPr>
        <w:pStyle w:val="Heading2"/>
        <w:keepNext/>
      </w:pPr>
      <w:r>
        <w:t>28.3 API, Component and End-to-End Tests</w:t>
      </w:r>
    </w:p>
    <w:p>
      <w:pPr>
        <w:spacing w:before="120" w:after="120"/>
      </w:pPr>
      <w:r>
        <w:rPr>
          <w:b w:val="0"/>
          <w:i w:val="0"/>
        </w:rPr>
        <w:t>API tests verify typed schemas, reason codes and complete snapshot responses. Component tests verify that state classes remain visually distinct, actions use backend availability, expected results are read-only and exploration labels persist. Playwright executes the formal v1.1 N0–N5 sequence, stale-telemetry negative case, v1.0 failure/investigation/v1.1 repeat/regression chain and representative Feeder B exploration role reversal.</w:t>
      </w:r>
    </w:p>
    <w:p>
      <w:pPr>
        <w:pStyle w:val="Heading2"/>
        <w:keepNext/>
      </w:pPr>
      <w:r>
        <w:t>28.4 Evidence Export Tests</w:t>
      </w:r>
    </w:p>
    <w:p>
      <w:pPr>
        <w:spacing w:before="0" w:after="40"/>
        <w:ind w:left="720" w:hanging="360"/>
      </w:pPr>
      <w:r>
        <w:rPr>
          <w:b/>
        </w:rPr>
        <w:t>•</w:t>
      </w:r>
      <w:r>
        <w:tab/>
        <w:t>package is generated only from preserved source records and receives a new package ID;</w:t>
      </w:r>
    </w:p>
    <w:p>
      <w:pPr>
        <w:spacing w:before="0" w:after="40"/>
        <w:ind w:left="720" w:hanging="360"/>
      </w:pPr>
      <w:r>
        <w:rPr>
          <w:b/>
        </w:rPr>
        <w:t>•</w:t>
      </w:r>
      <w:r>
        <w:tab/>
        <w:t>every manifest entry exists and its SHA-256 matches;</w:t>
      </w:r>
    </w:p>
    <w:p>
      <w:pPr>
        <w:spacing w:before="0" w:after="40"/>
        <w:ind w:left="720" w:hanging="360"/>
      </w:pPr>
      <w:r>
        <w:rPr>
          <w:b/>
        </w:rPr>
        <w:t>•</w:t>
      </w:r>
      <w:r>
        <w:tab/>
        <w:t>HTML contains stable relative links and no external dependencies;</w:t>
      </w:r>
    </w:p>
    <w:p>
      <w:pPr>
        <w:spacing w:before="0" w:after="40"/>
        <w:ind w:left="720" w:hanging="360"/>
      </w:pPr>
      <w:r>
        <w:rPr>
          <w:b/>
        </w:rPr>
        <w:t>•</w:t>
      </w:r>
      <w:r>
        <w:tab/>
        <w:t>FORMAL and EXPLORATORY banners/classes match the source record;</w:t>
      </w:r>
    </w:p>
    <w:p>
      <w:pPr>
        <w:spacing w:before="0" w:after="40"/>
        <w:ind w:left="720" w:hanging="360"/>
      </w:pPr>
      <w:r>
        <w:rPr>
          <w:b/>
        </w:rPr>
        <w:t>•</w:t>
      </w:r>
      <w:r>
        <w:tab/>
        <w:t>expected/observed/calculations equal captured canonical JSON; and</w:t>
      </w:r>
    </w:p>
    <w:p>
      <w:pPr>
        <w:spacing w:before="0" w:after="40"/>
        <w:ind w:left="720" w:hanging="360"/>
      </w:pPr>
      <w:r>
        <w:rPr>
          <w:b/>
        </w:rPr>
        <w:t>•</w:t>
      </w:r>
      <w:r>
        <w:tab/>
        <w:t>regenerating does not overwrite or alter the first package or execution.</w:t>
      </w:r>
    </w:p>
    <w:p>
      <w:pPr>
        <w:pStyle w:val="Heading1"/>
        <w:keepNext/>
      </w:pPr>
      <w:r>
        <w:t>29. Local Safety, Security and Data Boundary</w:t>
      </w:r>
    </w:p>
    <w:p>
      <w:pPr>
        <w:spacing w:before="120" w:after="120"/>
      </w:pPr>
      <w:r>
        <w:rPr>
          <w:b w:val="0"/>
          <w:i w:val="0"/>
        </w:rPr>
        <w:t>V1 binds to `127.0.0.1` by default, uses only fictional project data and makes no outbound network connection at runtime. It has no authentication because it is a one-user local demonstrator, but this shall not be represented as an acceptable production OT security design. The interface and exports state ‘Simulated operation only — no real equipment control’ and identify conceptual SCADA/ADMS/OMS/GIS roles.</w:t>
      </w:r>
    </w:p>
    <w:p>
      <w:pPr>
        <w:spacing w:before="120" w:after="120"/>
      </w:pPr>
      <w:r>
        <w:rPr>
          <w:b w:val="0"/>
          <w:i w:val="0"/>
        </w:rPr>
        <w:t>Configuration/evidence paths are resolved beneath controlled project directories; supplied IDs are validated before use. The application does not execute user-supplied code, accept arbitrary file-system paths or expose a topology editor. Dependency versions and hashes are recorded for reproducibility, and secrets are neither required nor stored.</w:t>
      </w:r>
    </w:p>
    <w:p>
      <w:pPr>
        <w:pStyle w:val="Heading1"/>
        <w:keepNext/>
      </w:pPr>
      <w:r>
        <w:t>30. Requirements and Baseline Allocation</w:t>
      </w:r>
    </w:p>
    <w:p>
      <w:pPr>
        <w:spacing w:before="120" w:after="120"/>
      </w:pPr>
      <w:r>
        <w:rPr>
          <w:b w:val="0"/>
          <w:i w:val="0"/>
        </w:rPr>
        <w:t>All 124 unique formal requirements remain allocated. This demonstrator allocation identifies the principal module and view that implement/present each group; it does not replace exact requirement wording or verification method.</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232"/>
            <w:shd w:fill="E7E7E7"/>
            <w:tcMar>
              <w:top w:w="80" w:type="dxa"/>
              <w:start w:w="100" w:type="dxa"/>
              <w:bottom w:w="80" w:type="dxa"/>
              <w:end w:w="100" w:type="dxa"/>
            </w:tcMar>
            <w:vAlign w:val="center"/>
          </w:tcPr>
          <w:p>
            <w:pPr>
              <w:spacing w:before="40" w:after="40"/>
              <w:jc w:val="center"/>
            </w:pPr>
            <w:r>
              <w:rPr>
                <w:b/>
                <w:sz w:val="16"/>
              </w:rPr>
              <w:t>Requirement group</w:t>
            </w:r>
          </w:p>
        </w:tc>
        <w:tc>
          <w:tcPr>
            <w:tcW w:type="dxa" w:w="3600"/>
            <w:shd w:fill="E7E7E7"/>
            <w:tcMar>
              <w:top w:w="80" w:type="dxa"/>
              <w:start w:w="100" w:type="dxa"/>
              <w:bottom w:w="80" w:type="dxa"/>
              <w:end w:w="100" w:type="dxa"/>
            </w:tcMar>
            <w:vAlign w:val="center"/>
          </w:tcPr>
          <w:p>
            <w:pPr>
              <w:spacing w:before="40" w:after="40"/>
              <w:jc w:val="center"/>
            </w:pPr>
            <w:r>
              <w:rPr>
                <w:b/>
                <w:sz w:val="16"/>
              </w:rPr>
              <w:t>Principal backend responsibility</w:t>
            </w:r>
          </w:p>
        </w:tc>
        <w:tc>
          <w:tcPr>
            <w:tcW w:type="dxa" w:w="3528"/>
            <w:shd w:fill="E7E7E7"/>
            <w:tcMar>
              <w:top w:w="80" w:type="dxa"/>
              <w:start w:w="100" w:type="dxa"/>
              <w:bottom w:w="80" w:type="dxa"/>
              <w:end w:w="100" w:type="dxa"/>
            </w:tcMar>
            <w:vAlign w:val="center"/>
          </w:tcPr>
          <w:p>
            <w:pPr>
              <w:spacing w:before="40" w:after="40"/>
              <w:jc w:val="center"/>
            </w:pPr>
            <w:r>
              <w:rPr>
                <w:b/>
                <w:sz w:val="16"/>
              </w:rPr>
              <w:t>Primary view / verification</w:t>
            </w:r>
          </w:p>
        </w:tc>
      </w:tr>
      <w:tr>
        <w:trPr>
          <w:cantSplit/>
        </w:trPr>
        <w:tc>
          <w:tcPr>
            <w:tcW w:type="dxa" w:w="2232"/>
            <w:tcMar>
              <w:top w:w="80" w:type="dxa"/>
              <w:start w:w="100" w:type="dxa"/>
              <w:bottom w:w="80" w:type="dxa"/>
              <w:end w:w="100" w:type="dxa"/>
            </w:tcMar>
            <w:vAlign w:val="center"/>
          </w:tcPr>
          <w:p>
            <w:pPr>
              <w:spacing w:before="20" w:after="20"/>
            </w:pPr>
            <w:r>
              <w:rPr>
                <w:sz w:val="16"/>
              </w:rPr>
              <w:t>REQ-NET-001–011</w:t>
            </w:r>
          </w:p>
        </w:tc>
        <w:tc>
          <w:tcPr>
            <w:tcW w:type="dxa" w:w="3600"/>
            <w:tcMar>
              <w:top w:w="80" w:type="dxa"/>
              <w:start w:w="100" w:type="dxa"/>
              <w:bottom w:w="80" w:type="dxa"/>
              <w:end w:w="100" w:type="dxa"/>
            </w:tcMar>
            <w:vAlign w:val="center"/>
          </w:tcPr>
          <w:p>
            <w:pPr>
              <w:spacing w:before="20" w:after="20"/>
            </w:pPr>
            <w:r>
              <w:rPr>
                <w:sz w:val="16"/>
              </w:rPr>
              <w:t>configuration</w:t>
            </w:r>
          </w:p>
        </w:tc>
        <w:tc>
          <w:tcPr>
            <w:tcW w:type="dxa" w:w="3528"/>
            <w:tcMar>
              <w:top w:w="80" w:type="dxa"/>
              <w:start w:w="100" w:type="dxa"/>
              <w:bottom w:w="80" w:type="dxa"/>
              <w:end w:w="100" w:type="dxa"/>
            </w:tcMar>
            <w:vAlign w:val="center"/>
          </w:tcPr>
          <w:p>
            <w:pPr>
              <w:spacing w:before="20" w:after="20"/>
            </w:pPr>
            <w:r>
              <w:rPr>
                <w:sz w:val="16"/>
              </w:rPr>
              <w:t>Run Setup, Configured inspector; schema/inspection tests.</w:t>
            </w:r>
          </w:p>
        </w:tc>
      </w:tr>
      <w:tr>
        <w:trPr>
          <w:cantSplit/>
        </w:trPr>
        <w:tc>
          <w:tcPr>
            <w:tcW w:type="dxa" w:w="2232"/>
            <w:tcMar>
              <w:top w:w="80" w:type="dxa"/>
              <w:start w:w="100" w:type="dxa"/>
              <w:bottom w:w="80" w:type="dxa"/>
              <w:end w:w="100" w:type="dxa"/>
            </w:tcMar>
            <w:vAlign w:val="center"/>
          </w:tcPr>
          <w:p>
            <w:pPr>
              <w:spacing w:before="20" w:after="20"/>
            </w:pPr>
            <w:r>
              <w:rPr>
                <w:sz w:val="16"/>
              </w:rPr>
              <w:t>REQ-TOP-001–009</w:t>
            </w:r>
          </w:p>
        </w:tc>
        <w:tc>
          <w:tcPr>
            <w:tcW w:type="dxa" w:w="3600"/>
            <w:tcMar>
              <w:top w:w="80" w:type="dxa"/>
              <w:start w:w="100" w:type="dxa"/>
              <w:bottom w:w="80" w:type="dxa"/>
              <w:end w:w="100" w:type="dxa"/>
            </w:tcMar>
            <w:vAlign w:val="center"/>
          </w:tcPr>
          <w:p>
            <w:pPr>
              <w:spacing w:before="20" w:after="20"/>
            </w:pPr>
            <w:r>
              <w:rPr>
                <w:sz w:val="16"/>
              </w:rPr>
              <w:t>topology + scenario coordinator</w:t>
            </w:r>
          </w:p>
        </w:tc>
        <w:tc>
          <w:tcPr>
            <w:tcW w:type="dxa" w:w="3528"/>
            <w:tcMar>
              <w:top w:w="80" w:type="dxa"/>
              <w:start w:w="100" w:type="dxa"/>
              <w:bottom w:w="80" w:type="dxa"/>
              <w:end w:w="100" w:type="dxa"/>
            </w:tcMar>
            <w:vAlign w:val="center"/>
          </w:tcPr>
          <w:p>
            <w:pPr>
              <w:spacing w:before="20" w:after="20"/>
            </w:pPr>
            <w:r>
              <w:rPr>
                <w:sz w:val="16"/>
              </w:rPr>
              <w:t>Operational/Derived inspector; domain and N-state tests.</w:t>
            </w:r>
          </w:p>
        </w:tc>
      </w:tr>
      <w:tr>
        <w:trPr>
          <w:cantSplit/>
        </w:trPr>
        <w:tc>
          <w:tcPr>
            <w:tcW w:type="dxa" w:w="2232"/>
            <w:tcMar>
              <w:top w:w="80" w:type="dxa"/>
              <w:start w:w="100" w:type="dxa"/>
              <w:bottom w:w="80" w:type="dxa"/>
              <w:end w:w="100" w:type="dxa"/>
            </w:tcMar>
            <w:vAlign w:val="center"/>
          </w:tcPr>
          <w:p>
            <w:pPr>
              <w:spacing w:before="20" w:after="20"/>
            </w:pPr>
            <w:r>
              <w:rPr>
                <w:sz w:val="16"/>
              </w:rPr>
              <w:t>REQ-TEL-001–010</w:t>
            </w:r>
          </w:p>
        </w:tc>
        <w:tc>
          <w:tcPr>
            <w:tcW w:type="dxa" w:w="3600"/>
            <w:tcMar>
              <w:top w:w="80" w:type="dxa"/>
              <w:start w:w="100" w:type="dxa"/>
              <w:bottom w:w="80" w:type="dxa"/>
              <w:end w:w="100" w:type="dxa"/>
            </w:tcMar>
            <w:vAlign w:val="center"/>
          </w:tcPr>
          <w:p>
            <w:pPr>
              <w:spacing w:before="20" w:after="20"/>
            </w:pPr>
            <w:r>
              <w:rPr>
                <w:sz w:val="16"/>
              </w:rPr>
              <w:t>telemetry + controlled clock</w:t>
            </w:r>
          </w:p>
        </w:tc>
        <w:tc>
          <w:tcPr>
            <w:tcW w:type="dxa" w:w="3528"/>
            <w:tcMar>
              <w:top w:w="80" w:type="dxa"/>
              <w:start w:w="100" w:type="dxa"/>
              <w:bottom w:w="80" w:type="dxa"/>
              <w:end w:w="100" w:type="dxa"/>
            </w:tcMar>
            <w:vAlign w:val="center"/>
          </w:tcPr>
          <w:p>
            <w:pPr>
              <w:spacing w:before="20" w:after="20"/>
            </w:pPr>
            <w:r>
              <w:rPr>
                <w:sz w:val="16"/>
              </w:rPr>
              <w:t>Telemetry view; boundary-value tests.</w:t>
            </w:r>
          </w:p>
        </w:tc>
      </w:tr>
      <w:tr>
        <w:trPr>
          <w:cantSplit/>
        </w:trPr>
        <w:tc>
          <w:tcPr>
            <w:tcW w:type="dxa" w:w="2232"/>
            <w:tcMar>
              <w:top w:w="80" w:type="dxa"/>
              <w:start w:w="100" w:type="dxa"/>
              <w:bottom w:w="80" w:type="dxa"/>
              <w:end w:w="100" w:type="dxa"/>
            </w:tcMar>
            <w:vAlign w:val="center"/>
          </w:tcPr>
          <w:p>
            <w:pPr>
              <w:spacing w:before="20" w:after="20"/>
            </w:pPr>
            <w:r>
              <w:rPr>
                <w:sz w:val="16"/>
              </w:rPr>
              <w:t>REQ-ALM-001–005</w:t>
            </w:r>
          </w:p>
        </w:tc>
        <w:tc>
          <w:tcPr>
            <w:tcW w:type="dxa" w:w="3600"/>
            <w:tcMar>
              <w:top w:w="80" w:type="dxa"/>
              <w:start w:w="100" w:type="dxa"/>
              <w:bottom w:w="80" w:type="dxa"/>
              <w:end w:w="100" w:type="dxa"/>
            </w:tcMar>
            <w:vAlign w:val="center"/>
          </w:tcPr>
          <w:p>
            <w:pPr>
              <w:spacing w:before="20" w:after="20"/>
            </w:pPr>
            <w:r>
              <w:rPr>
                <w:sz w:val="16"/>
              </w:rPr>
              <w:t>telemetry/alarm + events</w:t>
            </w:r>
          </w:p>
        </w:tc>
        <w:tc>
          <w:tcPr>
            <w:tcW w:type="dxa" w:w="3528"/>
            <w:tcMar>
              <w:top w:w="80" w:type="dxa"/>
              <w:start w:w="100" w:type="dxa"/>
              <w:bottom w:w="80" w:type="dxa"/>
              <w:end w:w="100" w:type="dxa"/>
            </w:tcMar>
            <w:vAlign w:val="center"/>
          </w:tcPr>
          <w:p>
            <w:pPr>
              <w:spacing w:before="20" w:after="20"/>
            </w:pPr>
            <w:r>
              <w:rPr>
                <w:sz w:val="16"/>
              </w:rPr>
              <w:t>Operational alarm and Events; functional tests.</w:t>
            </w:r>
          </w:p>
        </w:tc>
      </w:tr>
      <w:tr>
        <w:trPr>
          <w:cantSplit/>
        </w:trPr>
        <w:tc>
          <w:tcPr>
            <w:tcW w:type="dxa" w:w="2232"/>
            <w:tcMar>
              <w:top w:w="80" w:type="dxa"/>
              <w:start w:w="100" w:type="dxa"/>
              <w:bottom w:w="80" w:type="dxa"/>
              <w:end w:w="100" w:type="dxa"/>
            </w:tcMar>
            <w:vAlign w:val="center"/>
          </w:tcPr>
          <w:p>
            <w:pPr>
              <w:spacing w:before="20" w:after="20"/>
            </w:pPr>
            <w:r>
              <w:rPr>
                <w:sz w:val="16"/>
              </w:rPr>
              <w:t>REQ-OUT-001–007</w:t>
            </w:r>
          </w:p>
        </w:tc>
        <w:tc>
          <w:tcPr>
            <w:tcW w:type="dxa" w:w="3600"/>
            <w:tcMar>
              <w:top w:w="80" w:type="dxa"/>
              <w:start w:w="100" w:type="dxa"/>
              <w:bottom w:w="80" w:type="dxa"/>
              <w:end w:w="100" w:type="dxa"/>
            </w:tcMar>
            <w:vAlign w:val="center"/>
          </w:tcPr>
          <w:p>
            <w:pPr>
              <w:spacing w:before="20" w:after="20"/>
            </w:pPr>
            <w:r>
              <w:rPr>
                <w:sz w:val="16"/>
              </w:rPr>
              <w:t>outage</w:t>
            </w:r>
          </w:p>
        </w:tc>
        <w:tc>
          <w:tcPr>
            <w:tcW w:type="dxa" w:w="3528"/>
            <w:tcMar>
              <w:top w:w="80" w:type="dxa"/>
              <w:start w:w="100" w:type="dxa"/>
              <w:bottom w:w="80" w:type="dxa"/>
              <w:end w:w="100" w:type="dxa"/>
            </w:tcMar>
            <w:vAlign w:val="center"/>
          </w:tcPr>
          <w:p>
            <w:pPr>
              <w:spacing w:before="20" w:after="20"/>
            </w:pPr>
            <w:r>
              <w:rPr>
                <w:sz w:val="16"/>
              </w:rPr>
              <w:t>Operational summary and evidence; calculated-result tests.</w:t>
            </w:r>
          </w:p>
        </w:tc>
      </w:tr>
      <w:tr>
        <w:trPr>
          <w:cantSplit/>
        </w:trPr>
        <w:tc>
          <w:tcPr>
            <w:tcW w:type="dxa" w:w="2232"/>
            <w:tcMar>
              <w:top w:w="80" w:type="dxa"/>
              <w:start w:w="100" w:type="dxa"/>
              <w:bottom w:w="80" w:type="dxa"/>
              <w:end w:w="100" w:type="dxa"/>
            </w:tcMar>
            <w:vAlign w:val="center"/>
          </w:tcPr>
          <w:p>
            <w:pPr>
              <w:spacing w:before="20" w:after="20"/>
            </w:pPr>
            <w:r>
              <w:rPr>
                <w:sz w:val="16"/>
              </w:rPr>
              <w:t>REQ-RST-001–029</w:t>
            </w:r>
          </w:p>
        </w:tc>
        <w:tc>
          <w:tcPr>
            <w:tcW w:type="dxa" w:w="3600"/>
            <w:tcMar>
              <w:top w:w="80" w:type="dxa"/>
              <w:start w:w="100" w:type="dxa"/>
              <w:bottom w:w="80" w:type="dxa"/>
              <w:end w:w="100" w:type="dxa"/>
            </w:tcMar>
            <w:vAlign w:val="center"/>
          </w:tcPr>
          <w:p>
            <w:pPr>
              <w:spacing w:before="20" w:after="20"/>
            </w:pPr>
            <w:r>
              <w:rPr>
                <w:sz w:val="16"/>
              </w:rPr>
              <w:t>restoration + topology/telemetry/outage inputs</w:t>
            </w:r>
          </w:p>
        </w:tc>
        <w:tc>
          <w:tcPr>
            <w:tcW w:type="dxa" w:w="3528"/>
            <w:tcMar>
              <w:top w:w="80" w:type="dxa"/>
              <w:start w:w="100" w:type="dxa"/>
              <w:bottom w:w="80" w:type="dxa"/>
              <w:end w:w="100" w:type="dxa"/>
            </w:tcMar>
            <w:vAlign w:val="center"/>
          </w:tcPr>
          <w:p>
            <w:pPr>
              <w:spacing w:before="20" w:after="20"/>
            </w:pPr>
            <w:r>
              <w:rPr>
                <w:sz w:val="16"/>
              </w:rPr>
              <w:t>Restoration Assessment; scenario/calculation/negative tests.</w:t>
            </w:r>
          </w:p>
        </w:tc>
      </w:tr>
      <w:tr>
        <w:trPr>
          <w:cantSplit/>
        </w:trPr>
        <w:tc>
          <w:tcPr>
            <w:tcW w:type="dxa" w:w="2232"/>
            <w:tcMar>
              <w:top w:w="80" w:type="dxa"/>
              <w:start w:w="100" w:type="dxa"/>
              <w:bottom w:w="80" w:type="dxa"/>
              <w:end w:w="100" w:type="dxa"/>
            </w:tcMar>
            <w:vAlign w:val="center"/>
          </w:tcPr>
          <w:p>
            <w:pPr>
              <w:spacing w:before="20" w:after="20"/>
            </w:pPr>
            <w:r>
              <w:rPr>
                <w:sz w:val="16"/>
              </w:rPr>
              <w:t>REQ-EXP-001–007</w:t>
            </w:r>
          </w:p>
        </w:tc>
        <w:tc>
          <w:tcPr>
            <w:tcW w:type="dxa" w:w="3600"/>
            <w:tcMar>
              <w:top w:w="80" w:type="dxa"/>
              <w:start w:w="100" w:type="dxa"/>
              <w:bottom w:w="80" w:type="dxa"/>
              <w:end w:w="100" w:type="dxa"/>
            </w:tcMar>
            <w:vAlign w:val="center"/>
          </w:tcPr>
          <w:p>
            <w:pPr>
              <w:spacing w:before="20" w:after="20"/>
            </w:pPr>
            <w:r>
              <w:rPr>
                <w:sz w:val="16"/>
              </w:rPr>
              <w:t>scenario/common engine + validation class</w:t>
            </w:r>
          </w:p>
        </w:tc>
        <w:tc>
          <w:tcPr>
            <w:tcW w:type="dxa" w:w="3528"/>
            <w:tcMar>
              <w:top w:w="80" w:type="dxa"/>
              <w:start w:w="100" w:type="dxa"/>
              <w:bottom w:w="80" w:type="dxa"/>
              <w:end w:w="100" w:type="dxa"/>
            </w:tcMar>
            <w:vAlign w:val="center"/>
          </w:tcPr>
          <w:p>
            <w:pPr>
              <w:spacing w:before="20" w:after="20"/>
            </w:pPr>
            <w:r>
              <w:rPr>
                <w:sz w:val="16"/>
              </w:rPr>
              <w:t>Exploration Run Setup/Workspace/Evidence; role-reversal tests.</w:t>
            </w:r>
          </w:p>
        </w:tc>
      </w:tr>
      <w:tr>
        <w:trPr>
          <w:cantSplit/>
        </w:trPr>
        <w:tc>
          <w:tcPr>
            <w:tcW w:type="dxa" w:w="2232"/>
            <w:tcMar>
              <w:top w:w="80" w:type="dxa"/>
              <w:start w:w="100" w:type="dxa"/>
              <w:bottom w:w="80" w:type="dxa"/>
              <w:end w:w="100" w:type="dxa"/>
            </w:tcMar>
            <w:vAlign w:val="center"/>
          </w:tcPr>
          <w:p>
            <w:pPr>
              <w:spacing w:before="20" w:after="20"/>
            </w:pPr>
            <w:r>
              <w:rPr>
                <w:sz w:val="16"/>
              </w:rPr>
              <w:t>REQ-EVT-001–011</w:t>
            </w:r>
          </w:p>
        </w:tc>
        <w:tc>
          <w:tcPr>
            <w:tcW w:type="dxa" w:w="3600"/>
            <w:tcMar>
              <w:top w:w="80" w:type="dxa"/>
              <w:start w:w="100" w:type="dxa"/>
              <w:bottom w:w="80" w:type="dxa"/>
              <w:end w:w="100" w:type="dxa"/>
            </w:tcMar>
            <w:vAlign w:val="center"/>
          </w:tcPr>
          <w:p>
            <w:pPr>
              <w:spacing w:before="20" w:after="20"/>
            </w:pPr>
            <w:r>
              <w:rPr>
                <w:sz w:val="16"/>
              </w:rPr>
              <w:t>events</w:t>
            </w:r>
          </w:p>
        </w:tc>
        <w:tc>
          <w:tcPr>
            <w:tcW w:type="dxa" w:w="3528"/>
            <w:tcMar>
              <w:top w:w="80" w:type="dxa"/>
              <w:start w:w="100" w:type="dxa"/>
              <w:bottom w:w="80" w:type="dxa"/>
              <w:end w:w="100" w:type="dxa"/>
            </w:tcMar>
            <w:vAlign w:val="center"/>
          </w:tcPr>
          <w:p>
            <w:pPr>
              <w:spacing w:before="20" w:after="20"/>
            </w:pPr>
            <w:r>
              <w:rPr>
                <w:sz w:val="16"/>
              </w:rPr>
              <w:t>Event timeline/export; ordering and coverage tests.</w:t>
            </w:r>
          </w:p>
        </w:tc>
      </w:tr>
      <w:tr>
        <w:trPr>
          <w:cantSplit/>
        </w:trPr>
        <w:tc>
          <w:tcPr>
            <w:tcW w:type="dxa" w:w="2232"/>
            <w:tcMar>
              <w:top w:w="80" w:type="dxa"/>
              <w:start w:w="100" w:type="dxa"/>
              <w:bottom w:w="80" w:type="dxa"/>
              <w:end w:w="100" w:type="dxa"/>
            </w:tcMar>
            <w:vAlign w:val="center"/>
          </w:tcPr>
          <w:p>
            <w:pPr>
              <w:spacing w:before="20" w:after="20"/>
            </w:pPr>
            <w:r>
              <w:rPr>
                <w:sz w:val="16"/>
              </w:rPr>
              <w:t>REQ-VAL-001–014</w:t>
            </w:r>
          </w:p>
        </w:tc>
        <w:tc>
          <w:tcPr>
            <w:tcW w:type="dxa" w:w="3600"/>
            <w:tcMar>
              <w:top w:w="80" w:type="dxa"/>
              <w:start w:w="100" w:type="dxa"/>
              <w:bottom w:w="80" w:type="dxa"/>
              <w:end w:w="100" w:type="dxa"/>
            </w:tcMar>
            <w:vAlign w:val="center"/>
          </w:tcPr>
          <w:p>
            <w:pPr>
              <w:spacing w:before="20" w:after="20"/>
            </w:pPr>
            <w:r>
              <w:rPr>
                <w:sz w:val="16"/>
              </w:rPr>
              <w:t>validation/evidence</w:t>
            </w:r>
          </w:p>
        </w:tc>
        <w:tc>
          <w:tcPr>
            <w:tcW w:type="dxa" w:w="3528"/>
            <w:tcMar>
              <w:top w:w="80" w:type="dxa"/>
              <w:start w:w="100" w:type="dxa"/>
              <w:bottom w:w="80" w:type="dxa"/>
              <w:end w:w="100" w:type="dxa"/>
            </w:tcMar>
            <w:vAlign w:val="center"/>
          </w:tcPr>
          <w:p>
            <w:pPr>
              <w:spacing w:before="20" w:after="20"/>
            </w:pPr>
            <w:r>
              <w:rPr>
                <w:sz w:val="16"/>
              </w:rPr>
              <w:t>Formal Validation/Evidence; execution and immutability tests.</w:t>
            </w:r>
          </w:p>
        </w:tc>
      </w:tr>
      <w:tr>
        <w:trPr>
          <w:cantSplit/>
        </w:trPr>
        <w:tc>
          <w:tcPr>
            <w:tcW w:type="dxa" w:w="2232"/>
            <w:tcMar>
              <w:top w:w="80" w:type="dxa"/>
              <w:start w:w="100" w:type="dxa"/>
              <w:bottom w:w="80" w:type="dxa"/>
              <w:end w:w="100" w:type="dxa"/>
            </w:tcMar>
            <w:vAlign w:val="center"/>
          </w:tcPr>
          <w:p>
            <w:pPr>
              <w:spacing w:before="20" w:after="20"/>
            </w:pPr>
            <w:r>
              <w:rPr>
                <w:sz w:val="16"/>
              </w:rPr>
              <w:t>REQ-CFG-001–012</w:t>
            </w:r>
          </w:p>
        </w:tc>
        <w:tc>
          <w:tcPr>
            <w:tcW w:type="dxa" w:w="3600"/>
            <w:tcMar>
              <w:top w:w="80" w:type="dxa"/>
              <w:start w:w="100" w:type="dxa"/>
              <w:bottom w:w="80" w:type="dxa"/>
              <w:end w:w="100" w:type="dxa"/>
            </w:tcMar>
            <w:vAlign w:val="center"/>
          </w:tcPr>
          <w:p>
            <w:pPr>
              <w:spacing w:before="20" w:after="20"/>
            </w:pPr>
            <w:r>
              <w:rPr>
                <w:sz w:val="16"/>
              </w:rPr>
              <w:t>configuration + topology + validation</w:t>
            </w:r>
          </w:p>
        </w:tc>
        <w:tc>
          <w:tcPr>
            <w:tcW w:type="dxa" w:w="3528"/>
            <w:tcMar>
              <w:top w:w="80" w:type="dxa"/>
              <w:start w:w="100" w:type="dxa"/>
              <w:bottom w:w="80" w:type="dxa"/>
              <w:end w:w="100" w:type="dxa"/>
            </w:tcMar>
            <w:vAlign w:val="center"/>
          </w:tcPr>
          <w:p>
            <w:pPr>
              <w:spacing w:before="20" w:after="20"/>
            </w:pPr>
            <w:r>
              <w:rPr>
                <w:sz w:val="16"/>
              </w:rPr>
              <w:t>Defect Investigation/Compare; v1.0 FAIL → v1.1 PASS.</w:t>
            </w:r>
          </w:p>
        </w:tc>
      </w:tr>
      <w:tr>
        <w:trPr>
          <w:cantSplit/>
        </w:trPr>
        <w:tc>
          <w:tcPr>
            <w:tcW w:type="dxa" w:w="2232"/>
            <w:tcMar>
              <w:top w:w="80" w:type="dxa"/>
              <w:start w:w="100" w:type="dxa"/>
              <w:bottom w:w="80" w:type="dxa"/>
              <w:end w:w="100" w:type="dxa"/>
            </w:tcMar>
            <w:vAlign w:val="center"/>
          </w:tcPr>
          <w:p>
            <w:pPr>
              <w:spacing w:before="20" w:after="20"/>
            </w:pPr>
            <w:r>
              <w:rPr>
                <w:sz w:val="16"/>
              </w:rPr>
              <w:t>REQ-NFR-001–009</w:t>
            </w:r>
          </w:p>
        </w:tc>
        <w:tc>
          <w:tcPr>
            <w:tcW w:type="dxa" w:w="3600"/>
            <w:tcMar>
              <w:top w:w="80" w:type="dxa"/>
              <w:start w:w="100" w:type="dxa"/>
              <w:bottom w:w="80" w:type="dxa"/>
              <w:end w:w="100" w:type="dxa"/>
            </w:tcMar>
            <w:vAlign w:val="center"/>
          </w:tcPr>
          <w:p>
            <w:pPr>
              <w:spacing w:before="20" w:after="20"/>
            </w:pPr>
            <w:r>
              <w:rPr>
                <w:sz w:val="16"/>
              </w:rPr>
              <w:t>cross-cutting modules/workspace/build</w:t>
            </w:r>
          </w:p>
        </w:tc>
        <w:tc>
          <w:tcPr>
            <w:tcW w:type="dxa" w:w="3528"/>
            <w:tcMar>
              <w:top w:w="80" w:type="dxa"/>
              <w:start w:w="100" w:type="dxa"/>
              <w:bottom w:w="80" w:type="dxa"/>
              <w:end w:w="100" w:type="dxa"/>
            </w:tcMar>
            <w:vAlign w:val="center"/>
          </w:tcPr>
          <w:p>
            <w:pPr>
              <w:spacing w:before="20" w:after="20"/>
            </w:pPr>
            <w:r>
              <w:rPr>
                <w:sz w:val="16"/>
              </w:rPr>
              <w:t>Engineering Basis, reviewability, determinism and consistency inspection.</w:t>
            </w:r>
          </w:p>
        </w:tc>
      </w:tr>
    </w:tbl>
    <w:p>
      <w:pPr>
        <w:spacing w:after="0"/>
      </w:pPr>
    </w:p>
    <w:p>
      <w:pPr>
        <w:pStyle w:val="Heading2"/>
        <w:keepNext/>
      </w:pPr>
      <w:r>
        <w:t>30.1 Source Traceability for Implementation</w:t>
      </w:r>
    </w:p>
    <w:p>
      <w:pPr>
        <w:spacing w:before="120" w:after="120"/>
      </w:pPr>
      <w:r>
        <w:rPr>
          <w:b w:val="0"/>
          <w:i w:val="0"/>
        </w:rPr>
        <w:t>Every test definition and implementation test carries requirement IDs and source-section references. The configuration manifests reference Network Model Sections 5–17. The API/transaction implementation references System Architecture Sections 14–20 and Workflow Design Sections 5–22. This document supplies the demonstrator decision ID where the choice is implementation-facing.</w:t>
      </w:r>
    </w:p>
    <w:p>
      <w:pPr>
        <w:pStyle w:val="Heading1"/>
        <w:keepNext/>
      </w:pPr>
      <w:r>
        <w:t>31. Demonstrator Design Decisions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1800"/>
            <w:shd w:fill="E7E7E7"/>
            <w:tcMar>
              <w:top w:w="80" w:type="dxa"/>
              <w:start w:w="100" w:type="dxa"/>
              <w:bottom w:w="80" w:type="dxa"/>
              <w:end w:w="100" w:type="dxa"/>
            </w:tcMar>
            <w:vAlign w:val="center"/>
          </w:tcPr>
          <w:p>
            <w:pPr>
              <w:spacing w:before="40" w:after="40"/>
              <w:jc w:val="center"/>
            </w:pPr>
            <w:r>
              <w:rPr>
                <w:b/>
                <w:sz w:val="17"/>
              </w:rPr>
              <w:t>Decision ID</w:t>
            </w:r>
          </w:p>
        </w:tc>
        <w:tc>
          <w:tcPr>
            <w:tcW w:type="dxa" w:w="7560"/>
            <w:shd w:fill="E7E7E7"/>
            <w:tcMar>
              <w:top w:w="80" w:type="dxa"/>
              <w:start w:w="100" w:type="dxa"/>
              <w:bottom w:w="80" w:type="dxa"/>
              <w:end w:w="100" w:type="dxa"/>
            </w:tcMar>
            <w:vAlign w:val="center"/>
          </w:tcPr>
          <w:p>
            <w:pPr>
              <w:spacing w:before="40" w:after="40"/>
              <w:jc w:val="center"/>
            </w:pPr>
            <w:r>
              <w:rPr>
                <w:b/>
                <w:sz w:val="17"/>
              </w:rPr>
              <w:t>Demonstrator design decision</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AD-DD-001</w:t>
            </w:r>
          </w:p>
        </w:tc>
        <w:tc>
          <w:tcPr>
            <w:tcW w:type="dxa" w:w="7560"/>
            <w:tcMar>
              <w:top w:w="80" w:type="dxa"/>
              <w:start w:w="100" w:type="dxa"/>
              <w:bottom w:w="80" w:type="dxa"/>
              <w:end w:w="100" w:type="dxa"/>
            </w:tcMar>
            <w:vAlign w:val="center"/>
          </w:tcPr>
          <w:p>
            <w:pPr>
              <w:spacing w:before="20" w:after="20"/>
            </w:pPr>
            <w:r>
              <w:rPr>
                <w:sz w:val="17"/>
              </w:rPr>
              <w:t>Implement V1 as one local modular web application; logical OT components are modules, not distributed services.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AD-DD-002</w:t>
            </w:r>
          </w:p>
        </w:tc>
        <w:tc>
          <w:tcPr>
            <w:tcW w:type="dxa" w:w="7560"/>
            <w:tcMar>
              <w:top w:w="80" w:type="dxa"/>
              <w:start w:w="100" w:type="dxa"/>
              <w:bottom w:w="80" w:type="dxa"/>
              <w:end w:w="100" w:type="dxa"/>
            </w:tcMar>
            <w:vAlign w:val="center"/>
          </w:tcPr>
          <w:p>
            <w:pPr>
              <w:spacing w:before="20" w:after="20"/>
            </w:pPr>
            <w:r>
              <w:rPr>
                <w:sz w:val="17"/>
              </w:rPr>
              <w:t>Make backend domain modules authoritative for engineering results and action availability; the frontend renders read models only.</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AD-DD-003</w:t>
            </w:r>
          </w:p>
        </w:tc>
        <w:tc>
          <w:tcPr>
            <w:tcW w:type="dxa" w:w="7560"/>
            <w:tcMar>
              <w:top w:w="80" w:type="dxa"/>
              <w:start w:w="100" w:type="dxa"/>
              <w:bottom w:w="80" w:type="dxa"/>
              <w:end w:w="100" w:type="dxa"/>
            </w:tcMar>
            <w:vAlign w:val="center"/>
          </w:tcPr>
          <w:p>
            <w:pPr>
              <w:spacing w:before="20" w:after="20"/>
            </w:pPr>
            <w:r>
              <w:rPr>
                <w:sz w:val="17"/>
              </w:rPr>
              <w:t>Mirror SA-CMP-01–09 in code and data ownership, with a separate application coordinator and infrastructure adapters.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AD-DD-004</w:t>
            </w:r>
          </w:p>
        </w:tc>
        <w:tc>
          <w:tcPr>
            <w:tcW w:type="dxa" w:w="7560"/>
            <w:tcMar>
              <w:top w:w="80" w:type="dxa"/>
              <w:start w:w="100" w:type="dxa"/>
              <w:bottom w:w="80" w:type="dxa"/>
              <w:end w:w="100" w:type="dxa"/>
            </w:tcMar>
            <w:vAlign w:val="center"/>
          </w:tcPr>
          <w:p>
            <w:pPr>
              <w:spacing w:before="20" w:after="20"/>
            </w:pPr>
            <w:r>
              <w:rPr>
                <w:sz w:val="17"/>
              </w:rPr>
              <w:t>Use immutable versioned JSON for v1.0/v1.1 configuration inputs and verify their hashes before run initialisation.</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AD-DD-005</w:t>
            </w:r>
          </w:p>
        </w:tc>
        <w:tc>
          <w:tcPr>
            <w:tcW w:type="dxa" w:w="7560"/>
            <w:tcMar>
              <w:top w:w="80" w:type="dxa"/>
              <w:start w:w="100" w:type="dxa"/>
              <w:bottom w:w="80" w:type="dxa"/>
              <w:end w:w="100" w:type="dxa"/>
            </w:tcMar>
            <w:vAlign w:val="center"/>
          </w:tcPr>
          <w:p>
            <w:pPr>
              <w:spacing w:before="20" w:after="20"/>
            </w:pPr>
            <w:r>
              <w:rPr>
                <w:sz w:val="17"/>
              </w:rPr>
              <w:t>Use SQLite for persistent local run/evidence records and one atomic transaction per accepted state-changing command.</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AD-DD-006</w:t>
            </w:r>
          </w:p>
        </w:tc>
        <w:tc>
          <w:tcPr>
            <w:tcW w:type="dxa" w:w="7560"/>
            <w:tcMar>
              <w:top w:w="80" w:type="dxa"/>
              <w:start w:w="100" w:type="dxa"/>
              <w:bottom w:w="80" w:type="dxa"/>
              <w:end w:w="100" w:type="dxa"/>
            </w:tcMar>
            <w:vAlign w:val="center"/>
          </w:tcPr>
          <w:p>
            <w:pPr>
              <w:spacing w:before="20" w:after="20"/>
            </w:pPr>
            <w:r>
              <w:rPr>
                <w:sz w:val="17"/>
              </w:rPr>
              <w:t>Persist active run state and published snapshots; reset creates a new run and never clears history.</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AD-DD-007</w:t>
            </w:r>
          </w:p>
        </w:tc>
        <w:tc>
          <w:tcPr>
            <w:tcW w:type="dxa" w:w="7560"/>
            <w:tcMar>
              <w:top w:w="80" w:type="dxa"/>
              <w:start w:w="100" w:type="dxa"/>
              <w:bottom w:w="80" w:type="dxa"/>
              <w:end w:w="100" w:type="dxa"/>
            </w:tcMar>
            <w:vAlign w:val="center"/>
          </w:tcPr>
          <w:p>
            <w:pPr>
              <w:spacing w:before="20" w:after="20"/>
            </w:pPr>
            <w:r>
              <w:rPr>
                <w:sz w:val="17"/>
              </w:rPr>
              <w:t>Use full UUID v4 machine identities with stable prefixed short display labels and explicit event sequence numbers.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AD-DD-008</w:t>
            </w:r>
          </w:p>
        </w:tc>
        <w:tc>
          <w:tcPr>
            <w:tcW w:type="dxa" w:w="7560"/>
            <w:tcMar>
              <w:top w:w="80" w:type="dxa"/>
              <w:start w:w="100" w:type="dxa"/>
              <w:bottom w:w="80" w:type="dxa"/>
              <w:end w:w="100" w:type="dxa"/>
            </w:tcMar>
            <w:vAlign w:val="center"/>
          </w:tcPr>
          <w:p>
            <w:pPr>
              <w:spacing w:before="20" w:after="20"/>
            </w:pPr>
            <w:r>
              <w:rPr>
                <w:sz w:val="17"/>
              </w:rPr>
              <w:t>Serialize controlled time as UTC ISO 8601 milliseconds; calculate telemetry age in integer milliseconds.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AD-DD-009</w:t>
            </w:r>
          </w:p>
        </w:tc>
        <w:tc>
          <w:tcPr>
            <w:tcW w:type="dxa" w:w="7560"/>
            <w:tcMar>
              <w:top w:w="80" w:type="dxa"/>
              <w:start w:w="100" w:type="dxa"/>
              <w:bottom w:w="80" w:type="dxa"/>
              <w:end w:w="100" w:type="dxa"/>
            </w:tcMar>
            <w:vAlign w:val="center"/>
          </w:tcPr>
          <w:p>
            <w:pPr>
              <w:spacing w:before="20" w:after="20"/>
            </w:pPr>
            <w:r>
              <w:rPr>
                <w:sz w:val="17"/>
              </w:rPr>
              <w:t>Store loads/capacities as integer kW and customers as integers; use decimal calculation/display rules for MW and percentages.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AD-DD-010</w:t>
            </w:r>
          </w:p>
        </w:tc>
        <w:tc>
          <w:tcPr>
            <w:tcW w:type="dxa" w:w="7560"/>
            <w:tcMar>
              <w:top w:w="80" w:type="dxa"/>
              <w:start w:w="100" w:type="dxa"/>
              <w:bottom w:w="80" w:type="dxa"/>
              <w:end w:w="100" w:type="dxa"/>
            </w:tcMar>
            <w:vAlign w:val="center"/>
          </w:tcPr>
          <w:p>
            <w:pPr>
              <w:spacing w:before="20" w:after="20"/>
            </w:pPr>
            <w:r>
              <w:rPr>
                <w:sz w:val="17"/>
              </w:rPr>
              <w:t>Use a local `/api/v1` typed command/query boundary with expected_revision and command_id idempotency.</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AD-DD-011</w:t>
            </w:r>
          </w:p>
        </w:tc>
        <w:tc>
          <w:tcPr>
            <w:tcW w:type="dxa" w:w="7560"/>
            <w:tcMar>
              <w:top w:w="80" w:type="dxa"/>
              <w:start w:w="100" w:type="dxa"/>
              <w:bottom w:w="80" w:type="dxa"/>
              <w:end w:w="100" w:type="dxa"/>
            </w:tcMar>
            <w:vAlign w:val="center"/>
          </w:tcPr>
          <w:p>
            <w:pPr>
              <w:spacing w:before="20" w:after="20"/>
            </w:pPr>
            <w:r>
              <w:rPr>
                <w:sz w:val="17"/>
              </w:rPr>
              <w:t>Return complete workspace projections and backend-owned allowed_actions after commands; screens do not encode N-state logic.</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AD-DD-012</w:t>
            </w:r>
          </w:p>
        </w:tc>
        <w:tc>
          <w:tcPr>
            <w:tcW w:type="dxa" w:w="7560"/>
            <w:tcMar>
              <w:top w:w="80" w:type="dxa"/>
              <w:start w:w="100" w:type="dxa"/>
              <w:bottom w:w="80" w:type="dxa"/>
              <w:end w:w="100" w:type="dxa"/>
            </w:tcMar>
            <w:vAlign w:val="center"/>
          </w:tcPr>
          <w:p>
            <w:pPr>
              <w:spacing w:before="20" w:after="20"/>
            </w:pPr>
            <w:r>
              <w:rPr>
                <w:sz w:val="17"/>
              </w:rPr>
              <w:t>Represent N4 as a current assessment attached to the unchanged N3 physical topology revision.</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AD-DD-013</w:t>
            </w:r>
          </w:p>
        </w:tc>
        <w:tc>
          <w:tcPr>
            <w:tcW w:type="dxa" w:w="7560"/>
            <w:tcMar>
              <w:top w:w="80" w:type="dxa"/>
              <w:start w:w="100" w:type="dxa"/>
              <w:bottom w:w="80" w:type="dxa"/>
              <w:end w:w="100" w:type="dxa"/>
            </w:tcMar>
            <w:vAlign w:val="center"/>
          </w:tcPr>
          <w:p>
            <w:pPr>
              <w:spacing w:before="20" w:after="20"/>
            </w:pPr>
            <w:r>
              <w:rPr>
                <w:sz w:val="17"/>
              </w:rPr>
              <w:t>Use fixed presentation-only network coordinates and disable topology drag/edit interactions.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AD-DD-014</w:t>
            </w:r>
          </w:p>
        </w:tc>
        <w:tc>
          <w:tcPr>
            <w:tcW w:type="dxa" w:w="7560"/>
            <w:tcMar>
              <w:top w:w="80" w:type="dxa"/>
              <w:start w:w="100" w:type="dxa"/>
              <w:bottom w:w="80" w:type="dxa"/>
              <w:end w:w="100" w:type="dxa"/>
            </w:tcMar>
            <w:vAlign w:val="center"/>
          </w:tcPr>
          <w:p>
            <w:pPr>
              <w:spacing w:before="20" w:after="20"/>
            </w:pPr>
            <w:r>
              <w:rPr>
                <w:sz w:val="17"/>
              </w:rPr>
              <w:t>Provide Start, Operational, Validation, Evidence, Investigation and Engineering Basis primary views with a persistent run context ribbon.</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AD-DD-015</w:t>
            </w:r>
          </w:p>
        </w:tc>
        <w:tc>
          <w:tcPr>
            <w:tcW w:type="dxa" w:w="7560"/>
            <w:tcMar>
              <w:top w:w="80" w:type="dxa"/>
              <w:start w:w="100" w:type="dxa"/>
              <w:bottom w:w="80" w:type="dxa"/>
              <w:end w:w="100" w:type="dxa"/>
            </w:tcMar>
            <w:vAlign w:val="center"/>
          </w:tcPr>
          <w:p>
            <w:pPr>
              <w:spacing w:before="20" w:after="20"/>
            </w:pPr>
            <w:r>
              <w:rPr>
                <w:sz w:val="17"/>
              </w:rPr>
              <w:t>Keep FORMAL and EXPLORATORY records visibly and functionally separate; exploration always uses v1.1 and cannot be converted in place.</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AD-DD-016</w:t>
            </w:r>
          </w:p>
        </w:tc>
        <w:tc>
          <w:tcPr>
            <w:tcW w:type="dxa" w:w="7560"/>
            <w:tcMar>
              <w:top w:w="80" w:type="dxa"/>
              <w:start w:w="100" w:type="dxa"/>
              <w:bottom w:w="80" w:type="dxa"/>
              <w:end w:w="100" w:type="dxa"/>
            </w:tcMar>
            <w:vAlign w:val="center"/>
          </w:tcPr>
          <w:p>
            <w:pPr>
              <w:spacing w:before="20" w:after="20"/>
            </w:pPr>
            <w:r>
              <w:rPr>
                <w:sz w:val="17"/>
              </w:rPr>
              <w:t>Hide detailed v1.0 incorrect endpoint emphasis from normal operation and reveal it through consequence-to-source investigation.</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AD-DD-017</w:t>
            </w:r>
          </w:p>
        </w:tc>
        <w:tc>
          <w:tcPr>
            <w:tcW w:type="dxa" w:w="7560"/>
            <w:tcMar>
              <w:top w:w="80" w:type="dxa"/>
              <w:start w:w="100" w:type="dxa"/>
              <w:bottom w:w="80" w:type="dxa"/>
              <w:end w:w="100" w:type="dxa"/>
            </w:tcMar>
            <w:vAlign w:val="center"/>
          </w:tcPr>
          <w:p>
            <w:pPr>
              <w:spacing w:before="20" w:after="20"/>
            </w:pPr>
            <w:r>
              <w:rPr>
                <w:sz w:val="17"/>
              </w:rPr>
              <w:t>Export V1 evidence as a new self-contained ZIP containing report.html, canonical JSON records, figures, README and SHA-256 manifest.</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AD-DD-018</w:t>
            </w:r>
          </w:p>
        </w:tc>
        <w:tc>
          <w:tcPr>
            <w:tcW w:type="dxa" w:w="7560"/>
            <w:tcMar>
              <w:top w:w="80" w:type="dxa"/>
              <w:start w:w="100" w:type="dxa"/>
              <w:bottom w:w="80" w:type="dxa"/>
              <w:end w:w="100" w:type="dxa"/>
            </w:tcMar>
            <w:vAlign w:val="center"/>
          </w:tcPr>
          <w:p>
            <w:pPr>
              <w:spacing w:before="20" w:after="20"/>
            </w:pPr>
            <w:r>
              <w:rPr>
                <w:sz w:val="17"/>
              </w:rPr>
              <w:t>Record build identity from source/dependency/toolchain hashes and require the same ID for v1.0/v1.1 comparative tests.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AD-DD-019</w:t>
            </w:r>
          </w:p>
        </w:tc>
        <w:tc>
          <w:tcPr>
            <w:tcW w:type="dxa" w:w="7560"/>
            <w:tcMar>
              <w:top w:w="80" w:type="dxa"/>
              <w:start w:w="100" w:type="dxa"/>
              <w:bottom w:w="80" w:type="dxa"/>
              <w:end w:w="100" w:type="dxa"/>
            </w:tcMar>
            <w:vAlign w:val="center"/>
          </w:tcPr>
          <w:p>
            <w:pPr>
              <w:spacing w:before="20" w:after="20"/>
            </w:pPr>
            <w:r>
              <w:rPr>
                <w:sz w:val="17"/>
              </w:rPr>
              <w:t>Select Python 3.13, FastAPI/Pydantic, NetworkX, SQLite, React/TypeScript, Vite and Cytoscape.js with pinned dependency lock files.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AD-DD-020</w:t>
            </w:r>
          </w:p>
        </w:tc>
        <w:tc>
          <w:tcPr>
            <w:tcW w:type="dxa" w:w="7560"/>
            <w:tcMar>
              <w:top w:w="80" w:type="dxa"/>
              <w:start w:w="100" w:type="dxa"/>
              <w:bottom w:w="80" w:type="dxa"/>
              <w:end w:w="100" w:type="dxa"/>
            </w:tcMar>
            <w:vAlign w:val="center"/>
          </w:tcPr>
          <w:p>
            <w:pPr>
              <w:spacing w:before="20" w:after="20"/>
            </w:pPr>
            <w:r>
              <w:rPr>
                <w:sz w:val="17"/>
              </w:rPr>
              <w:t>Verify with pytest, Vitest/Testing Library and Playwright across unit, transaction, API, component and complete-workflow levels.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AD-DD-021</w:t>
            </w:r>
          </w:p>
        </w:tc>
        <w:tc>
          <w:tcPr>
            <w:tcW w:type="dxa" w:w="7560"/>
            <w:tcMar>
              <w:top w:w="80" w:type="dxa"/>
              <w:start w:w="100" w:type="dxa"/>
              <w:bottom w:w="80" w:type="dxa"/>
              <w:end w:w="100" w:type="dxa"/>
            </w:tcMar>
            <w:vAlign w:val="center"/>
          </w:tcPr>
          <w:p>
            <w:pPr>
              <w:spacing w:before="20" w:after="20"/>
            </w:pPr>
            <w:r>
              <w:rPr>
                <w:sz w:val="17"/>
              </w:rPr>
              <w:t>Bind the review build to loopback only, fictional data and no runtime external services or real control interfaces.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7"/>
              </w:rPr>
              <w:t>AD-DD-022</w:t>
            </w:r>
          </w:p>
        </w:tc>
        <w:tc>
          <w:tcPr>
            <w:tcW w:type="dxa" w:w="7560"/>
            <w:tcMar>
              <w:top w:w="80" w:type="dxa"/>
              <w:start w:w="100" w:type="dxa"/>
              <w:bottom w:w="80" w:type="dxa"/>
              <w:end w:w="100" w:type="dxa"/>
            </w:tcMar>
            <w:vAlign w:val="center"/>
          </w:tcPr>
          <w:p>
            <w:pPr>
              <w:spacing w:before="20" w:after="20"/>
            </w:pPr>
            <w:r>
              <w:rPr>
                <w:sz w:val="17"/>
              </w:rPr>
              <w:t>Treat unexpected processing failures as diagnostic records separate from operational events and domain outcomes.</w:t>
            </w:r>
          </w:p>
        </w:tc>
      </w:tr>
      <w:tr>
        <w:trPr>
          <w:cantSplit/>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AD-DD-023</w:t>
            </w:r>
          </w:p>
        </w:tc>
        <w:tc>
          <w:tcPr>
            <w:tcW w:type="dxa" w:w="7560"/>
            <w:tcMar>
              <w:top w:w="80" w:type="dxa"/>
              <w:start w:w="100" w:type="dxa"/>
              <w:bottom w:w="80" w:type="dxa"/>
              <w:end w:w="100" w:type="dxa"/>
            </w:tcMar>
            <w:vAlign w:val="center"/>
          </w:tcPr>
          <w:p>
            <w:pPr>
              <w:spacing w:before="20" w:after="20"/>
            </w:pPr>
            <w:r>
              <w:rPr>
                <w:sz w:val="16"/>
              </w:rPr>
              <w:t>Implement active-fault isolation as a backend configuration-incidence and evidence-evaluation service; expose traceable A/B/C boundary records and authorised OPEN actions, with no frontend or per-section lookup logic.</w:t>
            </w:r>
          </w:p>
        </w:tc>
      </w:tr>
    </w:tbl>
    <w:p>
      <w:pPr>
        <w:spacing w:after="0"/>
      </w:pPr>
    </w:p>
    <w:p>
      <w:pPr>
        <w:pStyle w:val="Heading1"/>
        <w:keepNext/>
      </w:pPr>
      <w:r>
        <w:t>32. Controlled Deferred Items</w:t>
      </w:r>
    </w:p>
    <w:p>
      <w:pPr>
        <w:spacing w:before="120" w:after="120"/>
      </w:pPr>
      <w:r>
        <w:rPr>
          <w:b w:val="0"/>
          <w:i w:val="0"/>
        </w:rPr>
        <w:t>The following items remain outside Step 8 because resolving them now would invent validation detail or final client packaging. Implementation shall not guess them where executable behaviour depends on them.</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376"/>
            <w:shd w:fill="E7E7E7"/>
            <w:tcMar>
              <w:top w:w="80" w:type="dxa"/>
              <w:start w:w="100" w:type="dxa"/>
              <w:bottom w:w="80" w:type="dxa"/>
              <w:end w:w="100" w:type="dxa"/>
            </w:tcMar>
            <w:vAlign w:val="center"/>
          </w:tcPr>
          <w:p>
            <w:pPr>
              <w:spacing w:before="40" w:after="40"/>
              <w:jc w:val="center"/>
            </w:pPr>
            <w:r>
              <w:rPr>
                <w:b/>
                <w:sz w:val="16"/>
              </w:rPr>
              <w:t>Item</w:t>
            </w:r>
          </w:p>
        </w:tc>
        <w:tc>
          <w:tcPr>
            <w:tcW w:type="dxa" w:w="5112"/>
            <w:shd w:fill="E7E7E7"/>
            <w:tcMar>
              <w:top w:w="80" w:type="dxa"/>
              <w:start w:w="100" w:type="dxa"/>
              <w:bottom w:w="80" w:type="dxa"/>
              <w:end w:w="100" w:type="dxa"/>
            </w:tcMar>
            <w:vAlign w:val="center"/>
          </w:tcPr>
          <w:p>
            <w:pPr>
              <w:spacing w:before="40" w:after="40"/>
              <w:jc w:val="center"/>
            </w:pPr>
            <w:r>
              <w:rPr>
                <w:b/>
                <w:sz w:val="16"/>
              </w:rPr>
              <w:t>Constraint already established</w:t>
            </w:r>
          </w:p>
        </w:tc>
        <w:tc>
          <w:tcPr>
            <w:tcW w:type="dxa" w:w="1872"/>
            <w:shd w:fill="E7E7E7"/>
            <w:tcMar>
              <w:top w:w="80" w:type="dxa"/>
              <w:start w:w="100" w:type="dxa"/>
              <w:bottom w:w="80" w:type="dxa"/>
              <w:end w:w="100" w:type="dxa"/>
            </w:tcMar>
            <w:vAlign w:val="center"/>
          </w:tcPr>
          <w:p>
            <w:pPr>
              <w:spacing w:before="40" w:after="40"/>
              <w:jc w:val="center"/>
            </w:pPr>
            <w:r>
              <w:rPr>
                <w:b/>
                <w:sz w:val="16"/>
              </w:rPr>
              <w:t>Resolution stage</w:t>
            </w:r>
          </w:p>
        </w:tc>
      </w:tr>
      <w:tr>
        <w:trPr>
          <w:cantSplit/>
        </w:trPr>
        <w:tc>
          <w:tcPr>
            <w:tcW w:type="dxa" w:w="2376"/>
            <w:tcMar>
              <w:top w:w="80" w:type="dxa"/>
              <w:start w:w="100" w:type="dxa"/>
              <w:bottom w:w="80" w:type="dxa"/>
              <w:end w:w="100" w:type="dxa"/>
            </w:tcMar>
            <w:vAlign w:val="center"/>
          </w:tcPr>
          <w:p>
            <w:pPr>
              <w:spacing w:before="20" w:after="20"/>
            </w:pPr>
            <w:r>
              <w:rPr>
                <w:sz w:val="16"/>
              </w:rPr>
              <w:t>Complete formal test catalogue beyond VT-TOP-DEF-001</w:t>
            </w:r>
          </w:p>
        </w:tc>
        <w:tc>
          <w:tcPr>
            <w:tcW w:type="dxa" w:w="5112"/>
            <w:tcMar>
              <w:top w:w="80" w:type="dxa"/>
              <w:start w:w="100" w:type="dxa"/>
              <w:bottom w:w="80" w:type="dxa"/>
              <w:end w:w="100" w:type="dxa"/>
            </w:tcMar>
            <w:vAlign w:val="center"/>
          </w:tcPr>
          <w:p>
            <w:pPr>
              <w:spacing w:before="20" w:after="20"/>
            </w:pPr>
            <w:r>
              <w:rPr>
                <w:sz w:val="16"/>
              </w:rPr>
              <w:t>Must cover all requirement verification methods and approved workflows without changing the answer key.</w:t>
            </w:r>
          </w:p>
        </w:tc>
        <w:tc>
          <w:tcPr>
            <w:tcW w:type="dxa" w:w="1872"/>
            <w:tcMar>
              <w:top w:w="80" w:type="dxa"/>
              <w:start w:w="100" w:type="dxa"/>
              <w:bottom w:w="80" w:type="dxa"/>
              <w:end w:w="100" w:type="dxa"/>
            </w:tcMar>
            <w:vAlign w:val="center"/>
          </w:tcPr>
          <w:p>
            <w:pPr>
              <w:spacing w:before="20" w:after="20"/>
            </w:pPr>
            <w:r>
              <w:rPr>
                <w:sz w:val="16"/>
              </w:rPr>
              <w:t>Validation Plan</w:t>
            </w:r>
          </w:p>
        </w:tc>
      </w:tr>
      <w:tr>
        <w:trPr>
          <w:cantSplit/>
        </w:trPr>
        <w:tc>
          <w:tcPr>
            <w:tcW w:type="dxa" w:w="2376"/>
            <w:tcMar>
              <w:top w:w="80" w:type="dxa"/>
              <w:start w:w="100" w:type="dxa"/>
              <w:bottom w:w="80" w:type="dxa"/>
              <w:end w:w="100" w:type="dxa"/>
            </w:tcMar>
            <w:vAlign w:val="center"/>
          </w:tcPr>
          <w:p>
            <w:pPr>
              <w:spacing w:before="20" w:after="20"/>
            </w:pPr>
            <w:r>
              <w:rPr>
                <w:sz w:val="16"/>
              </w:rPr>
              <w:t>Controlled per-step scenario-time increments</w:t>
            </w:r>
          </w:p>
        </w:tc>
        <w:tc>
          <w:tcPr>
            <w:tcW w:type="dxa" w:w="5112"/>
            <w:tcMar>
              <w:top w:w="80" w:type="dxa"/>
              <w:start w:w="100" w:type="dxa"/>
              <w:bottom w:w="80" w:type="dxa"/>
              <w:end w:w="100" w:type="dxa"/>
            </w:tcMar>
            <w:vAlign w:val="center"/>
          </w:tcPr>
          <w:p>
            <w:pPr>
              <w:spacing w:before="20" w:after="20"/>
            </w:pPr>
            <w:r>
              <w:rPr>
                <w:sz w:val="16"/>
              </w:rPr>
              <w:t>Must be deterministic and exercise PAR-TEL-001 boundary cases; wall clock prohibited.</w:t>
            </w:r>
          </w:p>
        </w:tc>
        <w:tc>
          <w:tcPr>
            <w:tcW w:type="dxa" w:w="1872"/>
            <w:tcMar>
              <w:top w:w="80" w:type="dxa"/>
              <w:start w:w="100" w:type="dxa"/>
              <w:bottom w:w="80" w:type="dxa"/>
              <w:end w:w="100" w:type="dxa"/>
            </w:tcMar>
            <w:vAlign w:val="center"/>
          </w:tcPr>
          <w:p>
            <w:pPr>
              <w:spacing w:before="20" w:after="20"/>
            </w:pPr>
            <w:r>
              <w:rPr>
                <w:sz w:val="16"/>
              </w:rPr>
              <w:t>Validation Plan / test definitions</w:t>
            </w:r>
          </w:p>
        </w:tc>
      </w:tr>
      <w:tr>
        <w:trPr>
          <w:cantSplit/>
        </w:trPr>
        <w:tc>
          <w:tcPr>
            <w:tcW w:type="dxa" w:w="2376"/>
            <w:tcMar>
              <w:top w:w="80" w:type="dxa"/>
              <w:start w:w="100" w:type="dxa"/>
              <w:bottom w:w="80" w:type="dxa"/>
              <w:end w:w="100" w:type="dxa"/>
            </w:tcMar>
            <w:vAlign w:val="center"/>
          </w:tcPr>
          <w:p>
            <w:pPr>
              <w:spacing w:before="20" w:after="20"/>
            </w:pPr>
            <w:r>
              <w:rPr>
                <w:sz w:val="16"/>
              </w:rPr>
              <w:t>Exact initial dependency patch versions</w:t>
            </w:r>
          </w:p>
        </w:tc>
        <w:tc>
          <w:tcPr>
            <w:tcW w:type="dxa" w:w="5112"/>
            <w:tcMar>
              <w:top w:w="80" w:type="dxa"/>
              <w:start w:w="100" w:type="dxa"/>
              <w:bottom w:w="80" w:type="dxa"/>
              <w:end w:w="100" w:type="dxa"/>
            </w:tcMar>
            <w:vAlign w:val="center"/>
          </w:tcPr>
          <w:p>
            <w:pPr>
              <w:spacing w:before="20" w:after="20"/>
            </w:pPr>
            <w:r>
              <w:rPr>
                <w:sz w:val="16"/>
              </w:rPr>
              <w:t>Python 3.13 and Node 24 LTS lines selected; exact libraries pinned and recorded in the first implementation lock/build manifest.</w:t>
            </w:r>
          </w:p>
        </w:tc>
        <w:tc>
          <w:tcPr>
            <w:tcW w:type="dxa" w:w="1872"/>
            <w:tcMar>
              <w:top w:w="80" w:type="dxa"/>
              <w:start w:w="100" w:type="dxa"/>
              <w:bottom w:w="80" w:type="dxa"/>
              <w:end w:w="100" w:type="dxa"/>
            </w:tcMar>
            <w:vAlign w:val="center"/>
          </w:tcPr>
          <w:p>
            <w:pPr>
              <w:spacing w:before="20" w:after="20"/>
            </w:pPr>
            <w:r>
              <w:rPr>
                <w:sz w:val="16"/>
              </w:rPr>
              <w:t>Implementation baseline</w:t>
            </w:r>
          </w:p>
        </w:tc>
      </w:tr>
      <w:tr>
        <w:trPr>
          <w:cantSplit/>
        </w:trPr>
        <w:tc>
          <w:tcPr>
            <w:tcW w:type="dxa" w:w="2376"/>
            <w:tcMar>
              <w:top w:w="80" w:type="dxa"/>
              <w:start w:w="100" w:type="dxa"/>
              <w:bottom w:w="80" w:type="dxa"/>
              <w:end w:w="100" w:type="dxa"/>
            </w:tcMar>
            <w:vAlign w:val="center"/>
          </w:tcPr>
          <w:p>
            <w:pPr>
              <w:spacing w:before="20" w:after="20"/>
            </w:pPr>
            <w:r>
              <w:rPr>
                <w:sz w:val="16"/>
              </w:rPr>
              <w:t>Final client-facing PDF/portfolio packaging</w:t>
            </w:r>
          </w:p>
        </w:tc>
        <w:tc>
          <w:tcPr>
            <w:tcW w:type="dxa" w:w="5112"/>
            <w:tcMar>
              <w:top w:w="80" w:type="dxa"/>
              <w:start w:w="100" w:type="dxa"/>
              <w:bottom w:w="80" w:type="dxa"/>
              <w:end w:w="100" w:type="dxa"/>
            </w:tcMar>
            <w:vAlign w:val="center"/>
          </w:tcPr>
          <w:p>
            <w:pPr>
              <w:spacing w:before="20" w:after="20"/>
            </w:pPr>
            <w:r>
              <w:rPr>
                <w:sz w:val="16"/>
              </w:rPr>
              <w:t>Must preserve source evidence links and fictional/simulated boundary; V1 evidence ZIP remains canonical export.</w:t>
            </w:r>
          </w:p>
        </w:tc>
        <w:tc>
          <w:tcPr>
            <w:tcW w:type="dxa" w:w="1872"/>
            <w:tcMar>
              <w:top w:w="80" w:type="dxa"/>
              <w:start w:w="100" w:type="dxa"/>
              <w:bottom w:w="80" w:type="dxa"/>
              <w:end w:w="100" w:type="dxa"/>
            </w:tcMar>
            <w:vAlign w:val="center"/>
          </w:tcPr>
          <w:p>
            <w:pPr>
              <w:spacing w:before="20" w:after="20"/>
            </w:pPr>
            <w:r>
              <w:rPr>
                <w:sz w:val="16"/>
              </w:rPr>
              <w:t>Final packaging / walkthrough plan</w:t>
            </w:r>
          </w:p>
        </w:tc>
      </w:tr>
      <w:tr>
        <w:trPr>
          <w:cantSplit/>
        </w:trPr>
        <w:tc>
          <w:tcPr>
            <w:tcW w:type="dxa" w:w="2376"/>
            <w:tcMar>
              <w:top w:w="80" w:type="dxa"/>
              <w:start w:w="100" w:type="dxa"/>
              <w:bottom w:w="80" w:type="dxa"/>
              <w:end w:w="100" w:type="dxa"/>
            </w:tcMar>
            <w:vAlign w:val="center"/>
          </w:tcPr>
          <w:p>
            <w:pPr>
              <w:spacing w:before="20" w:after="20"/>
            </w:pPr>
            <w:r>
              <w:rPr>
                <w:sz w:val="16"/>
              </w:rPr>
              <w:t>Hosting or public deployment</w:t>
            </w:r>
          </w:p>
        </w:tc>
        <w:tc>
          <w:tcPr>
            <w:tcW w:type="dxa" w:w="5112"/>
            <w:tcMar>
              <w:top w:w="80" w:type="dxa"/>
              <w:start w:w="100" w:type="dxa"/>
              <w:bottom w:w="80" w:type="dxa"/>
              <w:end w:w="100" w:type="dxa"/>
            </w:tcMar>
            <w:vAlign w:val="center"/>
          </w:tcPr>
          <w:p>
            <w:pPr>
              <w:spacing w:before="20" w:after="20"/>
            </w:pPr>
            <w:r>
              <w:rPr>
                <w:sz w:val="16"/>
              </w:rPr>
              <w:t>Not required for V1 local demonstrator and must not weaken data/safety boundaries.</w:t>
            </w:r>
          </w:p>
        </w:tc>
        <w:tc>
          <w:tcPr>
            <w:tcW w:type="dxa" w:w="1872"/>
            <w:tcMar>
              <w:top w:w="80" w:type="dxa"/>
              <w:start w:w="100" w:type="dxa"/>
              <w:bottom w:w="80" w:type="dxa"/>
              <w:end w:w="100" w:type="dxa"/>
            </w:tcMar>
            <w:vAlign w:val="center"/>
          </w:tcPr>
          <w:p>
            <w:pPr>
              <w:spacing w:before="20" w:after="20"/>
            </w:pPr>
            <w:r>
              <w:rPr>
                <w:sz w:val="16"/>
              </w:rPr>
              <w:t>Only if later delivery strategy approves it</w:t>
            </w:r>
          </w:p>
        </w:tc>
      </w:tr>
      <w:tr>
        <w:trPr>
          <w:cantSplit/>
        </w:trPr>
        <w:tc>
          <w:tcPr>
            <w:tcW w:type="dxa" w:w="2376"/>
            <w:tcMar>
              <w:top w:w="80" w:type="dxa"/>
              <w:start w:w="100" w:type="dxa"/>
              <w:bottom w:w="80" w:type="dxa"/>
              <w:end w:w="100" w:type="dxa"/>
            </w:tcMar>
            <w:vAlign w:val="center"/>
          </w:tcPr>
          <w:p>
            <w:pPr>
              <w:spacing w:before="20" w:after="20"/>
            </w:pPr>
            <w:r>
              <w:rPr>
                <w:sz w:val="16"/>
              </w:rPr>
              <w:t>Future V2 automation/AI</w:t>
            </w:r>
          </w:p>
        </w:tc>
        <w:tc>
          <w:tcPr>
            <w:tcW w:type="dxa" w:w="5112"/>
            <w:tcMar>
              <w:top w:w="80" w:type="dxa"/>
              <w:start w:w="100" w:type="dxa"/>
              <w:bottom w:w="80" w:type="dxa"/>
              <w:end w:w="100" w:type="dxa"/>
            </w:tcMar>
            <w:vAlign w:val="center"/>
          </w:tcPr>
          <w:p>
            <w:pPr>
              <w:spacing w:before="20" w:after="20"/>
            </w:pPr>
            <w:r>
              <w:rPr>
                <w:sz w:val="16"/>
              </w:rPr>
              <w:t>May assist engineering assurance but cannot alter or interrupt V1 scope.</w:t>
            </w:r>
          </w:p>
        </w:tc>
        <w:tc>
          <w:tcPr>
            <w:tcW w:type="dxa" w:w="1872"/>
            <w:tcMar>
              <w:top w:w="80" w:type="dxa"/>
              <w:start w:w="100" w:type="dxa"/>
              <w:bottom w:w="80" w:type="dxa"/>
              <w:end w:w="100" w:type="dxa"/>
            </w:tcMar>
            <w:vAlign w:val="center"/>
          </w:tcPr>
          <w:p>
            <w:pPr>
              <w:spacing w:before="20" w:after="20"/>
            </w:pPr>
            <w:r>
              <w:rPr>
                <w:sz w:val="16"/>
              </w:rPr>
              <w:t>Future V2 Extension — Automation / AI</w:t>
            </w:r>
          </w:p>
        </w:tc>
      </w:tr>
    </w:tbl>
    <w:p>
      <w:pPr>
        <w:spacing w:after="0"/>
      </w:pPr>
    </w:p>
    <w:p>
      <w:pPr>
        <w:pStyle w:val="Heading1"/>
        <w:keepNext/>
      </w:pPr>
      <w:r>
        <w:t>33. V2 Automation Candidates Identified During Step 8</w:t>
      </w:r>
    </w:p>
    <w:p>
      <w:pPr>
        <w:spacing w:before="120" w:after="120"/>
      </w:pPr>
      <w:r>
        <w:rPr>
          <w:b w:val="0"/>
          <w:i w:val="0"/>
        </w:rPr>
        <w:t>The following opportunities are recorded for the future extension only. They do not add V1 functions, change V1 architecture or become implementation requirements.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880"/>
            <w:shd w:fill="E7E7E7"/>
            <w:tcMar>
              <w:top w:w="80" w:type="dxa"/>
              <w:start w:w="100" w:type="dxa"/>
              <w:bottom w:w="80" w:type="dxa"/>
              <w:end w:w="100" w:type="dxa"/>
            </w:tcMar>
            <w:vAlign w:val="center"/>
          </w:tcPr>
          <w:p>
            <w:pPr>
              <w:spacing w:before="40" w:after="40"/>
              <w:jc w:val="center"/>
            </w:pPr>
            <w:r>
              <w:rPr>
                <w:b/>
                <w:sz w:val="19"/>
              </w:rPr>
              <w:t>Candidate</w:t>
            </w:r>
          </w:p>
        </w:tc>
        <w:tc>
          <w:tcPr>
            <w:tcW w:type="dxa" w:w="6480"/>
            <w:shd w:fill="E7E7E7"/>
            <w:tcMar>
              <w:top w:w="80" w:type="dxa"/>
              <w:start w:w="100" w:type="dxa"/>
              <w:bottom w:w="80" w:type="dxa"/>
              <w:end w:w="100" w:type="dxa"/>
            </w:tcMar>
            <w:vAlign w:val="center"/>
          </w:tcPr>
          <w:p>
            <w:pPr>
              <w:spacing w:before="40" w:after="40"/>
              <w:jc w:val="center"/>
            </w:pPr>
            <w:r>
              <w:rPr>
                <w:b/>
                <w:sz w:val="19"/>
              </w:rPr>
              <w:t>Why it may be valuable</w:t>
            </w:r>
          </w:p>
        </w:tc>
      </w:tr>
      <w:tr>
        <w:trPr>
          <w:cantSplit/>
        </w:trPr>
        <w:tc>
          <w:tcPr>
            <w:tcW w:type="dxa" w:w="2880"/>
            <w:tcMar>
              <w:top w:w="80" w:type="dxa"/>
              <w:start w:w="100" w:type="dxa"/>
              <w:bottom w:w="80" w:type="dxa"/>
              <w:end w:w="100" w:type="dxa"/>
            </w:tcMar>
            <w:vAlign w:val="center"/>
          </w:tcPr>
          <w:p>
            <w:pPr>
              <w:spacing w:before="20" w:after="20"/>
            </w:pPr>
            <w:r>
              <w:rPr>
                <w:sz w:val="19"/>
              </w:rPr>
              <w:t>Configuration QA and impact analysis</w:t>
            </w:r>
          </w:p>
        </w:tc>
        <w:tc>
          <w:tcPr>
            <w:tcW w:type="dxa" w:w="6480"/>
            <w:tcMar>
              <w:top w:w="80" w:type="dxa"/>
              <w:start w:w="100" w:type="dxa"/>
              <w:bottom w:w="80" w:type="dxa"/>
              <w:end w:w="100" w:type="dxa"/>
            </w:tcMar>
            <w:vAlign w:val="center"/>
          </w:tcPr>
          <w:p>
            <w:pPr>
              <w:spacing w:before="20" w:after="20"/>
            </w:pPr>
            <w:r>
              <w:rPr>
                <w:sz w:val="19"/>
              </w:rPr>
              <w:t>Automatically compare configuration versions, detect anomalous relationships, identify affected requirements/modules/tests and prepare a reviewable impact statement.</w:t>
            </w:r>
          </w:p>
        </w:tc>
      </w:tr>
      <w:tr>
        <w:trPr>
          <w:cantSplit/>
        </w:trPr>
        <w:tc>
          <w:tcPr>
            <w:tcW w:type="dxa" w:w="2880"/>
            <w:tcMar>
              <w:top w:w="80" w:type="dxa"/>
              <w:start w:w="100" w:type="dxa"/>
              <w:bottom w:w="80" w:type="dxa"/>
              <w:end w:w="100" w:type="dxa"/>
            </w:tcMar>
            <w:vAlign w:val="center"/>
          </w:tcPr>
          <w:p>
            <w:pPr>
              <w:spacing w:before="20" w:after="20"/>
            </w:pPr>
            <w:r>
              <w:rPr>
                <w:sz w:val="19"/>
              </w:rPr>
              <w:t>Evidence completeness and package assurance</w:t>
            </w:r>
          </w:p>
        </w:tc>
        <w:tc>
          <w:tcPr>
            <w:tcW w:type="dxa" w:w="6480"/>
            <w:tcMar>
              <w:top w:w="80" w:type="dxa"/>
              <w:start w:w="100" w:type="dxa"/>
              <w:bottom w:w="80" w:type="dxa"/>
              <w:end w:w="100" w:type="dxa"/>
            </w:tcMar>
            <w:vAlign w:val="center"/>
          </w:tcPr>
          <w:p>
            <w:pPr>
              <w:spacing w:before="20" w:after="20"/>
            </w:pPr>
            <w:r>
              <w:rPr>
                <w:sz w:val="19"/>
              </w:rPr>
              <w:t>Check whether required telemetry, topology, outage, assessment, event and traceability records are present and internally consistent before engineer review.</w:t>
            </w:r>
          </w:p>
        </w:tc>
      </w:tr>
      <w:tr>
        <w:trPr>
          <w:cantSplit/>
        </w:trPr>
        <w:tc>
          <w:tcPr>
            <w:tcW w:type="dxa" w:w="2880"/>
            <w:tcMar>
              <w:top w:w="80" w:type="dxa"/>
              <w:start w:w="100" w:type="dxa"/>
              <w:bottom w:w="80" w:type="dxa"/>
              <w:end w:w="100" w:type="dxa"/>
            </w:tcMar>
            <w:vAlign w:val="center"/>
          </w:tcPr>
          <w:p>
            <w:pPr>
              <w:spacing w:before="20" w:after="20"/>
            </w:pPr>
            <w:r>
              <w:rPr>
                <w:sz w:val="19"/>
              </w:rPr>
              <w:t>Defect investigation assistance</w:t>
            </w:r>
          </w:p>
        </w:tc>
        <w:tc>
          <w:tcPr>
            <w:tcW w:type="dxa" w:w="6480"/>
            <w:tcMar>
              <w:top w:w="80" w:type="dxa"/>
              <w:start w:w="100" w:type="dxa"/>
              <w:bottom w:w="80" w:type="dxa"/>
              <w:end w:w="100" w:type="dxa"/>
            </w:tcMar>
            <w:vAlign w:val="center"/>
          </w:tcPr>
          <w:p>
            <w:pPr>
              <w:spacing w:before="20" w:after="20"/>
            </w:pPr>
            <w:r>
              <w:rPr>
                <w:sz w:val="19"/>
              </w:rPr>
              <w:t>Correlate expected/observed differences, source paths, configuration changes and customer consequences to suggest investigation paths without making the final engineering judgement.</w:t>
            </w:r>
          </w:p>
        </w:tc>
      </w:tr>
      <w:tr>
        <w:trPr>
          <w:cantSplit/>
        </w:trPr>
        <w:tc>
          <w:tcPr>
            <w:tcW w:type="dxa" w:w="2880"/>
            <w:tcMar>
              <w:top w:w="80" w:type="dxa"/>
              <w:start w:w="100" w:type="dxa"/>
              <w:bottom w:w="80" w:type="dxa"/>
              <w:end w:w="100" w:type="dxa"/>
            </w:tcMar>
            <w:vAlign w:val="center"/>
          </w:tcPr>
          <w:p>
            <w:pPr>
              <w:spacing w:before="20" w:after="20"/>
            </w:pPr>
            <w:r>
              <w:rPr>
                <w:sz w:val="19"/>
              </w:rPr>
              <w:t>Regression-test selection</w:t>
            </w:r>
          </w:p>
        </w:tc>
        <w:tc>
          <w:tcPr>
            <w:tcW w:type="dxa" w:w="6480"/>
            <w:tcMar>
              <w:top w:w="80" w:type="dxa"/>
              <w:start w:w="100" w:type="dxa"/>
              <w:bottom w:w="80" w:type="dxa"/>
              <w:end w:w="100" w:type="dxa"/>
            </w:tcMar>
            <w:vAlign w:val="center"/>
          </w:tcPr>
          <w:p>
            <w:pPr>
              <w:spacing w:before="20" w:after="20"/>
            </w:pPr>
            <w:r>
              <w:rPr>
                <w:sz w:val="19"/>
              </w:rPr>
              <w:t>Use requirement/configuration traceability to propose a defensible minimum regression set after an approved change while retaining engineer approval.</w:t>
            </w:r>
          </w:p>
        </w:tc>
      </w:tr>
      <w:tr>
        <w:trPr>
          <w:cantSplit/>
        </w:trPr>
        <w:tc>
          <w:tcPr>
            <w:tcW w:type="dxa" w:w="2880"/>
            <w:tcMar>
              <w:top w:w="80" w:type="dxa"/>
              <w:start w:w="100" w:type="dxa"/>
              <w:bottom w:w="80" w:type="dxa"/>
              <w:end w:w="100" w:type="dxa"/>
            </w:tcMar>
            <w:vAlign w:val="center"/>
          </w:tcPr>
          <w:p>
            <w:pPr>
              <w:spacing w:before="20" w:after="20"/>
            </w:pPr>
            <w:r>
              <w:rPr>
                <w:sz w:val="19"/>
              </w:rPr>
              <w:t>Traceability maintenance</w:t>
            </w:r>
          </w:p>
        </w:tc>
        <w:tc>
          <w:tcPr>
            <w:tcW w:type="dxa" w:w="6480"/>
            <w:tcMar>
              <w:top w:w="80" w:type="dxa"/>
              <w:start w:w="100" w:type="dxa"/>
              <w:bottom w:w="80" w:type="dxa"/>
              <w:end w:w="100" w:type="dxa"/>
            </w:tcMar>
            <w:vAlign w:val="center"/>
          </w:tcPr>
          <w:p>
            <w:pPr>
              <w:spacing w:before="20" w:after="20"/>
            </w:pPr>
            <w:r>
              <w:rPr>
                <w:sz w:val="19"/>
              </w:rPr>
              <w:t>Detect broken or stale links from investigation/design decisions through requirements, implementation tests and evidence when documents or code change.</w:t>
            </w:r>
          </w:p>
        </w:tc>
      </w:tr>
      <w:tr>
        <w:trPr>
          <w:cantSplit/>
        </w:trPr>
        <w:tc>
          <w:tcPr>
            <w:tcW w:type="dxa" w:w="2880"/>
            <w:tcMar>
              <w:top w:w="80" w:type="dxa"/>
              <w:start w:w="100" w:type="dxa"/>
              <w:bottom w:w="80" w:type="dxa"/>
              <w:end w:w="100" w:type="dxa"/>
            </w:tcMar>
            <w:vAlign w:val="center"/>
          </w:tcPr>
          <w:p>
            <w:pPr>
              <w:spacing w:before="20" w:after="20"/>
            </w:pPr>
            <w:r>
              <w:rPr>
                <w:sz w:val="19"/>
              </w:rPr>
              <w:t>Engineering report preparation</w:t>
            </w:r>
          </w:p>
        </w:tc>
        <w:tc>
          <w:tcPr>
            <w:tcW w:type="dxa" w:w="6480"/>
            <w:tcMar>
              <w:top w:w="80" w:type="dxa"/>
              <w:start w:w="100" w:type="dxa"/>
              <w:bottom w:w="80" w:type="dxa"/>
              <w:end w:w="100" w:type="dxa"/>
            </w:tcMar>
            <w:vAlign w:val="center"/>
          </w:tcPr>
          <w:p>
            <w:pPr>
              <w:spacing w:before="20" w:after="20"/>
            </w:pPr>
            <w:r>
              <w:rPr>
                <w:sz w:val="19"/>
              </w:rPr>
              <w:t>Generate first-pass, evidence-linked summaries and walkthrough material from immutable records, reducing manual transcription while preserving source references.</w:t>
            </w:r>
          </w:p>
        </w:tc>
      </w:tr>
    </w:tbl>
    <w:p>
      <w:pPr>
        <w:spacing w:after="0"/>
      </w:pPr>
    </w:p>
    <w:p>
      <w:pPr>
        <w:pStyle w:val="Heading1"/>
        <w:keepNext/>
      </w:pPr>
      <w:r>
        <w:t>34. Step 8 Completion and Coding Gate</w:t>
      </w:r>
    </w:p>
    <w:p>
      <w:pPr>
        <w:spacing w:before="120" w:after="120"/>
      </w:pPr>
      <w:r>
        <w:rPr>
          <w:b w:val="0"/>
          <w:i w:val="0"/>
        </w:rPr>
        <w:t>Sections 1–33 establish the Step 8 Demonstrator Design for V1. They resolve the implementation-facing choices deferred by the System Architecture and Workflow Design: one local modular application, explicit module and data ownership, configuration/observed/scenario/derived/event/evidence separation, SQLite persistence, UUID/sequence/time/numeric formats, typed API and transaction behaviour, complete view/navigation model, backend-owned action availability, Exploration Mode separation, validation/evidence presentation, DEF-001 investigation, exact evidence ZIP format, technology selection, implementation increments and verification strategy.</w:t>
      </w:r>
    </w:p>
    <w:p>
      <w:pPr>
        <w:spacing w:before="120" w:after="120"/>
      </w:pPr>
      <w:r>
        <w:rPr>
          <w:b w:val="0"/>
          <w:i w:val="0"/>
        </w:rPr>
        <w:t>No new network assumption, switching rule, restoration criterion, telemetry threshold, expected result or validation interpretation is introduced. The formal SEC-A2 N0–N5 sequence, v1.0/v1.1 defect basis, 124 requirements, Step 6 ownership and Step 7 workflows remain authoritative.</w:t>
      </w:r>
    </w:p>
    <w:p>
      <w:pPr>
        <w:spacing w:before="120" w:after="120"/>
      </w:pPr>
      <w:r>
        <w:rPr>
          <w:b w:val="0"/>
          <w:i w:val="0"/>
        </w:rPr>
        <w:t>Coding may begin only by selecting a bounded implementation increment, naming the applicable requirement IDs and reading the relevant Network Model, System Architecture, Workflow Design and Demonstrator Design sections. If code encounters an unresolved engineering choice, it shall be raised and resolved in documentation before implementation continues. The next planned engineering activity is the Validation Plan and/or controlled implementation scaffolding, sequenced so no executable test relies on deferred validation inputs.</w:t>
      </w:r>
    </w:p>
    <w:p>
      <w:pPr>
        <w:pStyle w:val="Heading1"/>
        <w:keepNext/>
      </w:pPr>
      <w:r>
        <w:t>35. Controlled Amendment — DC-003 Demonstrator Design</w:t>
      </w:r>
    </w:p>
    <w:p>
      <w:pPr>
        <w:pStyle w:val="Heading2"/>
        <w:keepNext/>
      </w:pPr>
      <w:r>
        <w:t>35.1 Backend Domain and Application Boundary</w:t>
      </w:r>
    </w:p>
    <w:p>
      <w:pPr>
        <w:spacing w:before="120" w:after="120"/>
      </w:pPr>
      <w:r>
        <w:rPr>
          <w:b w:val="0"/>
          <w:i w:val="0"/>
        </w:rPr>
        <w:t>The topology domain service queries the selected configuration for directly incident switchable devices and evaluates boundary evidence. The application coordinator combines those derived results with the approved workflow, actor and revision gates to expose available actions. The UI is a projection of backend-owned results and shall not calculate incidence, infer proof or enable an action independently.</w:t>
      </w:r>
    </w:p>
    <w:p>
      <w:pPr>
        <w:pStyle w:val="Heading2"/>
        <w:keepNext/>
      </w:pPr>
      <w:r>
        <w:t>35.2 Boundary-Evaluation Data Structure</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880"/>
            <w:shd w:fill="E7E7E7"/>
            <w:tcMar>
              <w:top w:w="80" w:type="dxa"/>
              <w:start w:w="100" w:type="dxa"/>
              <w:bottom w:w="80" w:type="dxa"/>
              <w:end w:w="100" w:type="dxa"/>
            </w:tcMar>
            <w:vAlign w:val="center"/>
          </w:tcPr>
          <w:p>
            <w:pPr>
              <w:spacing w:before="40" w:after="40"/>
              <w:jc w:val="center"/>
            </w:pPr>
            <w:r>
              <w:rPr>
                <w:b/>
                <w:sz w:val="16"/>
              </w:rPr>
              <w:t>Field</w:t>
            </w:r>
          </w:p>
        </w:tc>
        <w:tc>
          <w:tcPr>
            <w:tcW w:type="dxa" w:w="6480"/>
            <w:shd w:fill="E7E7E7"/>
            <w:tcMar>
              <w:top w:w="80" w:type="dxa"/>
              <w:start w:w="100" w:type="dxa"/>
              <w:bottom w:w="80" w:type="dxa"/>
              <w:end w:w="100" w:type="dxa"/>
            </w:tcMar>
            <w:vAlign w:val="center"/>
          </w:tcPr>
          <w:p>
            <w:pPr>
              <w:spacing w:before="40" w:after="40"/>
              <w:jc w:val="center"/>
            </w:pPr>
            <w:r>
              <w:rPr>
                <w:b/>
                <w:sz w:val="16"/>
              </w:rPr>
              <w:t>Meaning / controlled rule</w:t>
            </w:r>
          </w:p>
        </w:tc>
      </w:tr>
      <w:tr>
        <w:trPr>
          <w:cantSplit/>
        </w:trPr>
        <w:tc>
          <w:tcPr>
            <w:tcW w:type="dxa" w:w="2880"/>
            <w:tcMar>
              <w:top w:w="80" w:type="dxa"/>
              <w:start w:w="100" w:type="dxa"/>
              <w:bottom w:w="80" w:type="dxa"/>
              <w:end w:w="100" w:type="dxa"/>
            </w:tcMar>
            <w:vAlign w:val="center"/>
          </w:tcPr>
          <w:p>
            <w:pPr>
              <w:spacing w:before="20" w:after="20"/>
            </w:pPr>
            <w:r>
              <w:rPr>
                <w:sz w:val="16"/>
              </w:rPr>
              <w:t>boundary_device_id</w:t>
            </w:r>
          </w:p>
        </w:tc>
        <w:tc>
          <w:tcPr>
            <w:tcW w:type="dxa" w:w="6480"/>
            <w:tcMar>
              <w:top w:w="80" w:type="dxa"/>
              <w:start w:w="100" w:type="dxa"/>
              <w:bottom w:w="80" w:type="dxa"/>
              <w:end w:w="100" w:type="dxa"/>
            </w:tcMar>
            <w:vAlign w:val="center"/>
          </w:tcPr>
          <w:p>
            <w:pPr>
              <w:spacing w:before="20" w:after="20"/>
            </w:pPr>
            <w:r>
              <w:rPr>
                <w:sz w:val="16"/>
              </w:rPr>
              <w:t>Stable identifier of the incident breaker, sectionalising switch or tie switch derived from configuration connectivity.</w:t>
            </w:r>
          </w:p>
        </w:tc>
      </w:tr>
      <w:tr>
        <w:trPr>
          <w:cantSplit/>
        </w:trPr>
        <w:tc>
          <w:tcPr>
            <w:tcW w:type="dxa" w:w="2880"/>
            <w:tcMar>
              <w:top w:w="80" w:type="dxa"/>
              <w:start w:w="100" w:type="dxa"/>
              <w:bottom w:w="80" w:type="dxa"/>
              <w:end w:w="100" w:type="dxa"/>
            </w:tcMar>
            <w:vAlign w:val="center"/>
          </w:tcPr>
          <w:p>
            <w:pPr>
              <w:spacing w:before="20" w:after="20"/>
            </w:pPr>
            <w:r>
              <w:rPr>
                <w:sz w:val="16"/>
              </w:rPr>
              <w:t>observed_state</w:t>
            </w:r>
          </w:p>
        </w:tc>
        <w:tc>
          <w:tcPr>
            <w:tcW w:type="dxa" w:w="6480"/>
            <w:tcMar>
              <w:top w:w="80" w:type="dxa"/>
              <w:start w:w="100" w:type="dxa"/>
              <w:bottom w:w="80" w:type="dxa"/>
              <w:end w:w="100" w:type="dxa"/>
            </w:tcMar>
            <w:vAlign w:val="center"/>
          </w:tcPr>
          <w:p>
            <w:pPr>
              <w:spacing w:before="20" w:after="20"/>
            </w:pPr>
            <w:r>
              <w:rPr>
                <w:sz w:val="16"/>
              </w:rPr>
              <w:t>Last-reported OPEN/CLOSED value; never sufficient without its evidence fields.</w:t>
            </w:r>
          </w:p>
        </w:tc>
      </w:tr>
      <w:tr>
        <w:trPr>
          <w:cantSplit/>
        </w:trPr>
        <w:tc>
          <w:tcPr>
            <w:tcW w:type="dxa" w:w="2880"/>
            <w:tcMar>
              <w:top w:w="80" w:type="dxa"/>
              <w:start w:w="100" w:type="dxa"/>
              <w:bottom w:w="80" w:type="dxa"/>
              <w:end w:w="100" w:type="dxa"/>
            </w:tcMar>
            <w:vAlign w:val="center"/>
          </w:tcPr>
          <w:p>
            <w:pPr>
              <w:spacing w:before="20" w:after="20"/>
            </w:pPr>
            <w:r>
              <w:rPr>
                <w:sz w:val="16"/>
              </w:rPr>
              <w:t>quality</w:t>
            </w:r>
          </w:p>
        </w:tc>
        <w:tc>
          <w:tcPr>
            <w:tcW w:type="dxa" w:w="6480"/>
            <w:tcMar>
              <w:top w:w="80" w:type="dxa"/>
              <w:start w:w="100" w:type="dxa"/>
              <w:bottom w:w="80" w:type="dxa"/>
              <w:end w:w="100" w:type="dxa"/>
            </w:tcMar>
            <w:vAlign w:val="center"/>
          </w:tcPr>
          <w:p>
            <w:pPr>
              <w:spacing w:before="20" w:after="20"/>
            </w:pPr>
            <w:r>
              <w:rPr>
                <w:sz w:val="16"/>
              </w:rPr>
              <w:t>GOOD, UNCERTAIN or BAD as supplied by the observed-state record.</w:t>
            </w:r>
          </w:p>
        </w:tc>
      </w:tr>
      <w:tr>
        <w:trPr>
          <w:cantSplit/>
        </w:trPr>
        <w:tc>
          <w:tcPr>
            <w:tcW w:type="dxa" w:w="2880"/>
            <w:tcMar>
              <w:top w:w="80" w:type="dxa"/>
              <w:start w:w="100" w:type="dxa"/>
              <w:bottom w:w="80" w:type="dxa"/>
              <w:end w:w="100" w:type="dxa"/>
            </w:tcMar>
            <w:vAlign w:val="center"/>
          </w:tcPr>
          <w:p>
            <w:pPr>
              <w:spacing w:before="20" w:after="20"/>
            </w:pPr>
            <w:r>
              <w:rPr>
                <w:sz w:val="16"/>
              </w:rPr>
              <w:t>observation_timestamp</w:t>
            </w:r>
          </w:p>
        </w:tc>
        <w:tc>
          <w:tcPr>
            <w:tcW w:type="dxa" w:w="6480"/>
            <w:tcMar>
              <w:top w:w="80" w:type="dxa"/>
              <w:start w:w="100" w:type="dxa"/>
              <w:bottom w:w="80" w:type="dxa"/>
              <w:end w:w="100" w:type="dxa"/>
            </w:tcMar>
            <w:vAlign w:val="center"/>
          </w:tcPr>
          <w:p>
            <w:pPr>
              <w:spacing w:before="20" w:after="20"/>
            </w:pPr>
            <w:r>
              <w:rPr>
                <w:sz w:val="16"/>
              </w:rPr>
              <w:t>UTC millisecond timestamp of the observation.</w:t>
            </w:r>
          </w:p>
        </w:tc>
      </w:tr>
      <w:tr>
        <w:trPr>
          <w:cantSplit/>
        </w:trPr>
        <w:tc>
          <w:tcPr>
            <w:tcW w:type="dxa" w:w="2880"/>
            <w:tcMar>
              <w:top w:w="80" w:type="dxa"/>
              <w:start w:w="100" w:type="dxa"/>
              <w:bottom w:w="80" w:type="dxa"/>
              <w:end w:w="100" w:type="dxa"/>
            </w:tcMar>
            <w:vAlign w:val="center"/>
          </w:tcPr>
          <w:p>
            <w:pPr>
              <w:spacing w:before="20" w:after="20"/>
            </w:pPr>
            <w:r>
              <w:rPr>
                <w:sz w:val="16"/>
              </w:rPr>
              <w:t>freshness_status</w:t>
            </w:r>
          </w:p>
        </w:tc>
        <w:tc>
          <w:tcPr>
            <w:tcW w:type="dxa" w:w="6480"/>
            <w:tcMar>
              <w:top w:w="80" w:type="dxa"/>
              <w:start w:w="100" w:type="dxa"/>
              <w:bottom w:w="80" w:type="dxa"/>
              <w:end w:w="100" w:type="dxa"/>
            </w:tcMar>
            <w:vAlign w:val="center"/>
          </w:tcPr>
          <w:p>
            <w:pPr>
              <w:spacing w:before="20" w:after="20"/>
            </w:pPr>
            <w:r>
              <w:rPr>
                <w:sz w:val="16"/>
              </w:rPr>
              <w:t>FRESH, STALE or INVALID_TIMESTAMP, calculated independently against the controlled 60,000 ms maximum age.</w:t>
            </w:r>
          </w:p>
        </w:tc>
      </w:tr>
      <w:tr>
        <w:trPr>
          <w:cantSplit/>
        </w:trPr>
        <w:tc>
          <w:tcPr>
            <w:tcW w:type="dxa" w:w="2880"/>
            <w:tcMar>
              <w:top w:w="80" w:type="dxa"/>
              <w:start w:w="100" w:type="dxa"/>
              <w:bottom w:w="80" w:type="dxa"/>
              <w:end w:w="100" w:type="dxa"/>
            </w:tcMar>
            <w:vAlign w:val="center"/>
          </w:tcPr>
          <w:p>
            <w:pPr>
              <w:spacing w:before="20" w:after="20"/>
            </w:pPr>
            <w:r>
              <w:rPr>
                <w:sz w:val="16"/>
              </w:rPr>
              <w:t>evidence_condition</w:t>
            </w:r>
          </w:p>
        </w:tc>
        <w:tc>
          <w:tcPr>
            <w:tcW w:type="dxa" w:w="6480"/>
            <w:tcMar>
              <w:top w:w="80" w:type="dxa"/>
              <w:start w:w="100" w:type="dxa"/>
              <w:bottom w:w="80" w:type="dxa"/>
              <w:end w:w="100" w:type="dxa"/>
            </w:tcMar>
            <w:vAlign w:val="center"/>
          </w:tcPr>
          <w:p>
            <w:pPr>
              <w:spacing w:before="20" w:after="20"/>
            </w:pPr>
            <w:r>
              <w:rPr>
                <w:sz w:val="16"/>
              </w:rPr>
              <w:t>A trustworthy OPEN, B trustworthy CLOSED, or C untrustworthy/absent.</w:t>
            </w:r>
          </w:p>
        </w:tc>
      </w:tr>
      <w:tr>
        <w:trPr>
          <w:cantSplit/>
        </w:trPr>
        <w:tc>
          <w:tcPr>
            <w:tcW w:type="dxa" w:w="2880"/>
            <w:tcMar>
              <w:top w:w="80" w:type="dxa"/>
              <w:start w:w="100" w:type="dxa"/>
              <w:bottom w:w="80" w:type="dxa"/>
              <w:end w:w="100" w:type="dxa"/>
            </w:tcMar>
            <w:vAlign w:val="center"/>
          </w:tcPr>
          <w:p>
            <w:pPr>
              <w:spacing w:before="20" w:after="20"/>
            </w:pPr>
            <w:r>
              <w:rPr>
                <w:sz w:val="16"/>
              </w:rPr>
              <w:t>proof_status</w:t>
            </w:r>
          </w:p>
        </w:tc>
        <w:tc>
          <w:tcPr>
            <w:tcW w:type="dxa" w:w="6480"/>
            <w:tcMar>
              <w:top w:w="80" w:type="dxa"/>
              <w:start w:w="100" w:type="dxa"/>
              <w:bottom w:w="80" w:type="dxa"/>
              <w:end w:w="100" w:type="dxa"/>
            </w:tcMar>
            <w:vAlign w:val="center"/>
          </w:tcPr>
          <w:p>
            <w:pPr>
              <w:spacing w:before="20" w:after="20"/>
            </w:pPr>
            <w:r>
              <w:rPr>
                <w:sz w:val="16"/>
              </w:rPr>
              <w:t>PROVEN OPEN, PROVEN CLOSED or UNPROVEN.</w:t>
            </w:r>
          </w:p>
        </w:tc>
      </w:tr>
      <w:tr>
        <w:trPr>
          <w:cantSplit/>
        </w:trPr>
        <w:tc>
          <w:tcPr>
            <w:tcW w:type="dxa" w:w="2880"/>
            <w:tcMar>
              <w:top w:w="80" w:type="dxa"/>
              <w:start w:w="100" w:type="dxa"/>
              <w:bottom w:w="80" w:type="dxa"/>
              <w:end w:w="100" w:type="dxa"/>
            </w:tcMar>
            <w:vAlign w:val="center"/>
          </w:tcPr>
          <w:p>
            <w:pPr>
              <w:spacing w:before="20" w:after="20"/>
            </w:pPr>
            <w:r>
              <w:rPr>
                <w:sz w:val="16"/>
              </w:rPr>
              <w:t>open_action_eligible</w:t>
            </w:r>
          </w:p>
        </w:tc>
        <w:tc>
          <w:tcPr>
            <w:tcW w:type="dxa" w:w="6480"/>
            <w:tcMar>
              <w:top w:w="80" w:type="dxa"/>
              <w:start w:w="100" w:type="dxa"/>
              <w:bottom w:w="80" w:type="dxa"/>
              <w:end w:w="100" w:type="dxa"/>
            </w:tcMar>
            <w:vAlign w:val="center"/>
          </w:tcPr>
          <w:p>
            <w:pPr>
              <w:spacing w:before="20" w:after="20"/>
            </w:pPr>
            <w:r>
              <w:rPr>
                <w:sz w:val="16"/>
              </w:rPr>
              <w:t>Backend boolean after current workflow/command gates; never true for Condition A or C.</w:t>
            </w:r>
          </w:p>
        </w:tc>
      </w:tr>
      <w:tr>
        <w:trPr>
          <w:cantSplit/>
        </w:trPr>
        <w:tc>
          <w:tcPr>
            <w:tcW w:type="dxa" w:w="2880"/>
            <w:tcMar>
              <w:top w:w="80" w:type="dxa"/>
              <w:start w:w="100" w:type="dxa"/>
              <w:bottom w:w="80" w:type="dxa"/>
              <w:end w:w="100" w:type="dxa"/>
            </w:tcMar>
            <w:vAlign w:val="center"/>
          </w:tcPr>
          <w:p>
            <w:pPr>
              <w:spacing w:before="20" w:after="20"/>
            </w:pPr>
            <w:r>
              <w:rPr>
                <w:sz w:val="16"/>
              </w:rPr>
              <w:t>reason_codes</w:t>
            </w:r>
          </w:p>
        </w:tc>
        <w:tc>
          <w:tcPr>
            <w:tcW w:type="dxa" w:w="6480"/>
            <w:tcMar>
              <w:top w:w="80" w:type="dxa"/>
              <w:start w:w="100" w:type="dxa"/>
              <w:bottom w:w="80" w:type="dxa"/>
              <w:end w:w="100" w:type="dxa"/>
            </w:tcMar>
            <w:vAlign w:val="center"/>
          </w:tcPr>
          <w:p>
            <w:pPr>
              <w:spacing w:before="20" w:after="20"/>
            </w:pPr>
            <w:r>
              <w:rPr>
                <w:sz w:val="16"/>
              </w:rPr>
              <w:t>Traceable satisfied, ineligible or evidence-deficiency reasons.</w:t>
            </w:r>
          </w:p>
        </w:tc>
      </w:tr>
      <w:tr>
        <w:trPr>
          <w:cantSplit/>
        </w:trPr>
        <w:tc>
          <w:tcPr>
            <w:tcW w:type="dxa" w:w="2880"/>
            <w:tcMar>
              <w:top w:w="80" w:type="dxa"/>
              <w:start w:w="100" w:type="dxa"/>
              <w:bottom w:w="80" w:type="dxa"/>
              <w:end w:w="100" w:type="dxa"/>
            </w:tcMar>
            <w:vAlign w:val="center"/>
          </w:tcPr>
          <w:p>
            <w:pPr>
              <w:spacing w:before="20" w:after="20"/>
            </w:pPr>
            <w:r>
              <w:rPr>
                <w:sz w:val="16"/>
              </w:rPr>
              <w:t>input_revision / calculation_revision</w:t>
            </w:r>
          </w:p>
        </w:tc>
        <w:tc>
          <w:tcPr>
            <w:tcW w:type="dxa" w:w="6480"/>
            <w:tcMar>
              <w:top w:w="80" w:type="dxa"/>
              <w:start w:w="100" w:type="dxa"/>
              <w:bottom w:w="80" w:type="dxa"/>
              <w:end w:w="100" w:type="dxa"/>
            </w:tcMar>
            <w:vAlign w:val="center"/>
          </w:tcPr>
          <w:p>
            <w:pPr>
              <w:spacing w:before="20" w:after="20"/>
            </w:pPr>
            <w:r>
              <w:rPr>
                <w:sz w:val="16"/>
              </w:rPr>
              <w:t>Binding that invalidates prior proof and action availability after relevant change.</w:t>
            </w:r>
          </w:p>
        </w:tc>
      </w:tr>
    </w:tbl>
    <w:p>
      <w:pPr>
        <w:spacing w:after="0"/>
      </w:pPr>
    </w:p>
    <w:p>
      <w:pPr>
        <w:pStyle w:val="Heading2"/>
        <w:keepNext/>
      </w:pPr>
      <w:r>
        <w:t>35.3 Interaction and Presentation</w:t>
      </w:r>
    </w:p>
    <w:p>
      <w:pPr>
        <w:spacing w:before="120" w:after="120"/>
      </w:pPr>
      <w:r>
        <w:rPr>
          <w:b w:val="0"/>
          <w:i w:val="0"/>
        </w:rPr>
        <w:t>The topology/workflow views list every incident boundary and clearly distinguish SATISFIED/PROVEN OPEN, PROVEN CLOSED with an authorised OPEN action, and UNPROVEN with the exact telemetry deficiency. A trustworthy already-open TS-01 is shown as satisfied with no redundant command. An untrustworthy last-reported OPEN TS-01 is shown as UNPROVEN, also with no redundant command, and isolation remains incomplete.</w:t>
      </w:r>
    </w:p>
    <w:p>
      <w:pPr>
        <w:spacing w:before="120" w:after="120"/>
      </w:pPr>
      <w:r>
        <w:rPr>
          <w:b w:val="0"/>
          <w:i w:val="0"/>
        </w:rPr>
        <w:t>After one accepted command or a valid telemetry refresh, the client replaces the complete returned boundary/action/topology projection. It does not locally patch an action button or assume that another action remains current. More than one action may be shown when the backend authorises multiple proven-closed boundaries.</w:t>
      </w:r>
    </w:p>
    <w:p>
      <w:pPr>
        <w:pStyle w:val="Heading2"/>
        <w:keepNext/>
      </w:pPr>
      <w:r>
        <w:t>35.4 Prohibited Implementations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3528"/>
            <w:shd w:fill="E7E7E7"/>
            <w:tcMar>
              <w:top w:w="80" w:type="dxa"/>
              <w:start w:w="100" w:type="dxa"/>
              <w:bottom w:w="80" w:type="dxa"/>
              <w:end w:w="100" w:type="dxa"/>
            </w:tcMar>
            <w:vAlign w:val="center"/>
          </w:tcPr>
          <w:p>
            <w:pPr>
              <w:spacing w:before="40" w:after="40"/>
              <w:jc w:val="center"/>
            </w:pPr>
            <w:r>
              <w:rPr>
                <w:b/>
                <w:sz w:val="16"/>
              </w:rPr>
              <w:t>Prohibited shortcut</w:t>
            </w:r>
          </w:p>
        </w:tc>
        <w:tc>
          <w:tcPr>
            <w:tcW w:type="dxa" w:w="5832"/>
            <w:shd w:fill="E7E7E7"/>
            <w:tcMar>
              <w:top w:w="80" w:type="dxa"/>
              <w:start w:w="100" w:type="dxa"/>
              <w:bottom w:w="80" w:type="dxa"/>
              <w:end w:w="100" w:type="dxa"/>
            </w:tcMar>
            <w:vAlign w:val="center"/>
          </w:tcPr>
          <w:p>
            <w:pPr>
              <w:spacing w:before="40" w:after="40"/>
              <w:jc w:val="center"/>
            </w:pPr>
            <w:r>
              <w:rPr>
                <w:b/>
                <w:sz w:val="16"/>
              </w:rPr>
              <w:t>Required design</w:t>
            </w:r>
          </w:p>
        </w:tc>
      </w:tr>
      <w:tr>
        <w:trPr>
          <w:cantSplit/>
        </w:trPr>
        <w:tc>
          <w:tcPr>
            <w:tcW w:type="dxa" w:w="3528"/>
            <w:tcMar>
              <w:top w:w="80" w:type="dxa"/>
              <w:start w:w="100" w:type="dxa"/>
              <w:bottom w:w="80" w:type="dxa"/>
              <w:end w:w="100" w:type="dxa"/>
            </w:tcMar>
            <w:vAlign w:val="center"/>
          </w:tcPr>
          <w:p>
            <w:pPr>
              <w:spacing w:before="20" w:after="20"/>
            </w:pPr>
            <w:r>
              <w:rPr>
                <w:sz w:val="16"/>
              </w:rPr>
              <w:t>Section-ID switch/case returning boundary devices</w:t>
            </w:r>
          </w:p>
        </w:tc>
        <w:tc>
          <w:tcPr>
            <w:tcW w:type="dxa" w:w="5832"/>
            <w:tcMar>
              <w:top w:w="80" w:type="dxa"/>
              <w:start w:w="100" w:type="dxa"/>
              <w:bottom w:w="80" w:type="dxa"/>
              <w:end w:w="100" w:type="dxa"/>
            </w:tcMar>
            <w:vAlign w:val="center"/>
          </w:tcPr>
          <w:p>
            <w:pPr>
              <w:spacing w:before="20" w:after="20"/>
            </w:pPr>
            <w:r>
              <w:rPr>
                <w:sz w:val="16"/>
              </w:rPr>
              <w:t>Generic connectivity incidence query over the selected configuration.</w:t>
            </w:r>
          </w:p>
        </w:tc>
      </w:tr>
      <w:tr>
        <w:trPr>
          <w:cantSplit/>
        </w:trPr>
        <w:tc>
          <w:tcPr>
            <w:tcW w:type="dxa" w:w="3528"/>
            <w:tcMar>
              <w:top w:w="80" w:type="dxa"/>
              <w:start w:w="100" w:type="dxa"/>
              <w:bottom w:w="80" w:type="dxa"/>
              <w:end w:w="100" w:type="dxa"/>
            </w:tcMar>
            <w:vAlign w:val="center"/>
          </w:tcPr>
          <w:p>
            <w:pPr>
              <w:spacing w:before="20" w:after="20"/>
            </w:pPr>
            <w:r>
              <w:rPr>
                <w:sz w:val="16"/>
              </w:rPr>
              <w:t>Stored outage, customer or restoration results per section</w:t>
            </w:r>
          </w:p>
        </w:tc>
        <w:tc>
          <w:tcPr>
            <w:tcW w:type="dxa" w:w="5832"/>
            <w:tcMar>
              <w:top w:w="80" w:type="dxa"/>
              <w:start w:w="100" w:type="dxa"/>
              <w:bottom w:w="80" w:type="dxa"/>
              <w:end w:w="100" w:type="dxa"/>
            </w:tcMar>
            <w:vAlign w:val="center"/>
          </w:tcPr>
          <w:p>
            <w:pPr>
              <w:spacing w:before="20" w:after="20"/>
            </w:pPr>
            <w:r>
              <w:rPr>
                <w:sz w:val="16"/>
              </w:rPr>
              <w:t>Common topology, OMS and restoration derivation from current inputs.</w:t>
            </w:r>
          </w:p>
        </w:tc>
      </w:tr>
      <w:tr>
        <w:trPr>
          <w:cantSplit/>
        </w:trPr>
        <w:tc>
          <w:tcPr>
            <w:tcW w:type="dxa" w:w="3528"/>
            <w:tcMar>
              <w:top w:w="80" w:type="dxa"/>
              <w:start w:w="100" w:type="dxa"/>
              <w:bottom w:w="80" w:type="dxa"/>
              <w:end w:w="100" w:type="dxa"/>
            </w:tcMar>
            <w:vAlign w:val="center"/>
          </w:tcPr>
          <w:p>
            <w:pPr>
              <w:spacing w:before="20" w:after="20"/>
            </w:pPr>
            <w:r>
              <w:rPr>
                <w:sz w:val="16"/>
              </w:rPr>
              <w:t>UI-generated command availability</w:t>
            </w:r>
          </w:p>
        </w:tc>
        <w:tc>
          <w:tcPr>
            <w:tcW w:type="dxa" w:w="5832"/>
            <w:tcMar>
              <w:top w:w="80" w:type="dxa"/>
              <w:start w:w="100" w:type="dxa"/>
              <w:bottom w:w="80" w:type="dxa"/>
              <w:end w:w="100" w:type="dxa"/>
            </w:tcMar>
            <w:vAlign w:val="center"/>
          </w:tcPr>
          <w:p>
            <w:pPr>
              <w:spacing w:before="20" w:after="20"/>
            </w:pPr>
            <w:r>
              <w:rPr>
                <w:sz w:val="16"/>
              </w:rPr>
              <w:t>Backend-derived action set plus workflow/command gates.</w:t>
            </w:r>
          </w:p>
        </w:tc>
      </w:tr>
      <w:tr>
        <w:trPr>
          <w:cantSplit/>
        </w:trPr>
        <w:tc>
          <w:tcPr>
            <w:tcW w:type="dxa" w:w="3528"/>
            <w:tcMar>
              <w:top w:w="80" w:type="dxa"/>
              <w:start w:w="100" w:type="dxa"/>
              <w:bottom w:w="80" w:type="dxa"/>
              <w:end w:w="100" w:type="dxa"/>
            </w:tcMar>
            <w:vAlign w:val="center"/>
          </w:tcPr>
          <w:p>
            <w:pPr>
              <w:spacing w:before="20" w:after="20"/>
            </w:pPr>
            <w:r>
              <w:rPr>
                <w:sz w:val="16"/>
              </w:rPr>
              <w:t>Treating stale/uncertain/bad OPEN as isolated</w:t>
            </w:r>
          </w:p>
        </w:tc>
        <w:tc>
          <w:tcPr>
            <w:tcW w:type="dxa" w:w="5832"/>
            <w:tcMar>
              <w:top w:w="80" w:type="dxa"/>
              <w:start w:w="100" w:type="dxa"/>
              <w:bottom w:w="80" w:type="dxa"/>
              <w:end w:w="100" w:type="dxa"/>
            </w:tcMar>
            <w:vAlign w:val="center"/>
          </w:tcPr>
          <w:p>
            <w:pPr>
              <w:spacing w:before="20" w:after="20"/>
            </w:pPr>
            <w:r>
              <w:rPr>
                <w:sz w:val="16"/>
              </w:rPr>
              <w:t>UNPROVEN result with evidence deficiency and no redundant OPEN action.</w:t>
            </w:r>
          </w:p>
        </w:tc>
      </w:tr>
      <w:tr>
        <w:trPr>
          <w:cantSplit/>
        </w:trPr>
        <w:tc>
          <w:tcPr>
            <w:tcW w:type="dxa" w:w="3528"/>
            <w:tcMar>
              <w:top w:w="80" w:type="dxa"/>
              <w:start w:w="100" w:type="dxa"/>
              <w:bottom w:w="80" w:type="dxa"/>
              <w:end w:w="100" w:type="dxa"/>
            </w:tcMar>
            <w:vAlign w:val="center"/>
          </w:tcPr>
          <w:p>
            <w:pPr>
              <w:spacing w:before="20" w:after="20"/>
            </w:pPr>
            <w:r>
              <w:rPr>
                <w:sz w:val="16"/>
              </w:rPr>
              <w:t>Runtime generation or rewriting of v1.1</w:t>
            </w:r>
          </w:p>
        </w:tc>
        <w:tc>
          <w:tcPr>
            <w:tcW w:type="dxa" w:w="5832"/>
            <w:tcMar>
              <w:top w:w="80" w:type="dxa"/>
              <w:start w:w="100" w:type="dxa"/>
              <w:bottom w:w="80" w:type="dxa"/>
              <w:end w:w="100" w:type="dxa"/>
            </w:tcMar>
            <w:vAlign w:val="center"/>
          </w:tcPr>
          <w:p>
            <w:pPr>
              <w:spacing w:before="20" w:after="20"/>
            </w:pPr>
            <w:r>
              <w:rPr>
                <w:sz w:val="16"/>
              </w:rPr>
              <w:t>Load separately instantiated immutable packages after the implementation baseline creates and hashes both approved definitions.</w:t>
            </w:r>
          </w:p>
        </w:tc>
      </w:tr>
    </w:tbl>
    <w:p>
      <w:pPr>
        <w:spacing w:after="0"/>
      </w:pPr>
    </w:p>
    <w:p>
      <w:pPr>
        <w:pStyle w:val="Heading2"/>
        <w:keepNext/>
      </w:pPr>
      <w:r>
        <w:t>35.5 Verification and Configuration-Package Readiness</w:t>
      </w:r>
    </w:p>
    <w:p>
      <w:pPr>
        <w:spacing w:before="120" w:after="120"/>
      </w:pPr>
      <w:r>
        <w:t>The Step 9 catalogue verifies all eight v1.1 incidence pairs, Conditions A/B/C, source-breaker evidence, recalculation after each action/update, the final proof that every incident boundary is proven OPEN and zero active source paths reach the fault, and the absence of stored per-section outputs. The repository currently contains the approved engineering v1.0/v1.1 definitions but no implementation configuration packages. Creation of schema-valid immutable packages is an implementation task after explicit authorisation, not a completed design artefact.</w:t>
      </w:r>
    </w:p>
    <w:p>
      <w:pPr>
        <w:pStyle w:val="Heading2"/>
        <w:keepNext/>
      </w:pPr>
      <w:r>
        <w:t>35.6 Lifecycle Gate</w:t>
      </w:r>
    </w:p>
    <w:p>
      <w:pPr>
        <w:spacing w:before="120" w:after="120"/>
      </w:pPr>
      <w:r>
        <w:rPr>
          <w:b/>
          <w:i w:val="0"/>
        </w:rPr>
        <w:t>DC-003 must be applied and cross-document verified before final Step 9 acceptance and implementation authorisation. This amendment satisfies the Demonstrator Design portion of that gate; it does not itself authorise implementation and it changes no requirement.</w:t>
      </w:r>
    </w:p>
    <w:p>
      <w:pPr>
        <w:pStyle w:val="Heading1"/>
      </w:pPr>
      <w:r>
        <w:t>36. Accepted Controlled Amendment — DC-004 Multi-Run Exploratory Validation Determination</w:t>
      </w:r>
    </w:p>
    <w:p>
      <w:pPr/>
      <w:r>
        <w:t>This accepted amendment defines the demonstrator structure needed to determine one multi-run exploratory catalogue test without weakening the accepted one-execution/one-run invariant. It adds stable constituent-case definitions and a separate immutable composite validation-assurance result. It introduces no electrical behaviour, operational event or second validation engine.</w:t>
      </w:r>
    </w:p>
    <w:p>
      <w:pPr>
        <w:pStyle w:val="Heading2"/>
      </w:pPr>
      <w:r>
        <w:t>36.1 Validation and Evidence Record Extensions</w:t>
      </w:r>
    </w:p>
    <w:tbl>
      <w:tblPr>
        <w:tblW w:type="auto" w:w="0"/>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700"/>
            <w:vAlign w:val="center"/>
            <w:tcMar>
              <w:top w:w="80" w:type="dxa"/>
              <w:start w:w="100" w:type="dxa"/>
              <w:bottom w:w="80" w:type="dxa"/>
              <w:end w:w="100" w:type="dxa"/>
            </w:tcMar>
            <w:shd w:fill="E7E7E7"/>
          </w:tcPr>
          <w:p>
            <w:pPr>
              <w:spacing w:before="40" w:after="40"/>
              <w:jc w:val="center"/>
            </w:pPr>
            <w:r>
              <w:rPr>
                <w:b/>
                <w:sz w:val="19"/>
              </w:rPr>
              <w:t>Record</w:t>
            </w:r>
          </w:p>
        </w:tc>
        <w:tc>
          <w:tcPr>
            <w:tcW w:type="dxa" w:w="6660"/>
            <w:vAlign w:val="center"/>
            <w:tcMar>
              <w:top w:w="80" w:type="dxa"/>
              <w:start w:w="100" w:type="dxa"/>
              <w:bottom w:w="80" w:type="dxa"/>
              <w:end w:w="100" w:type="dxa"/>
            </w:tcMar>
            <w:shd w:fill="E7E7E7"/>
          </w:tcPr>
          <w:p>
            <w:pPr>
              <w:spacing w:before="40" w:after="40"/>
              <w:jc w:val="center"/>
            </w:pPr>
            <w:r>
              <w:rPr>
                <w:b/>
                <w:sz w:val="19"/>
              </w:rPr>
              <w:t>Minimum links / content</w:t>
            </w:r>
          </w:p>
        </w:tc>
      </w:tr>
      <w:tr>
        <w:trPr>
          <w:cantSplit/>
        </w:trPr>
        <w:tc>
          <w:tcPr>
            <w:tcW w:type="dxa" w:w="2700"/>
            <w:vAlign w:val="center"/>
            <w:tcMar>
              <w:top w:w="80" w:type="dxa"/>
              <w:start w:w="100" w:type="dxa"/>
              <w:bottom w:w="80" w:type="dxa"/>
              <w:end w:w="100" w:type="dxa"/>
            </w:tcMar>
          </w:tcPr>
          <w:p>
            <w:pPr>
              <w:spacing w:before="40" w:after="40"/>
              <w:jc w:val="left"/>
            </w:pPr>
            <w:r>
              <w:rPr>
                <w:b w:val="0"/>
                <w:sz w:val="19"/>
              </w:rPr>
              <w:t>ConstituentCaseDefinition</w:t>
            </w:r>
          </w:p>
        </w:tc>
        <w:tc>
          <w:tcPr>
            <w:tcW w:type="dxa" w:w="6660"/>
            <w:vAlign w:val="center"/>
            <w:tcMar>
              <w:top w:w="80" w:type="dxa"/>
              <w:start w:w="100" w:type="dxa"/>
              <w:bottom w:w="80" w:type="dxa"/>
              <w:end w:w="100" w:type="dxa"/>
            </w:tcMar>
          </w:tcPr>
          <w:p>
            <w:pPr>
              <w:spacing w:before="40" w:after="40"/>
              <w:jc w:val="left"/>
            </w:pPr>
            <w:r>
              <w:rPr>
                <w:b w:val="0"/>
                <w:sz w:val="19"/>
              </w:rPr>
              <w:t>case ID, parent test, case-definition version/hash, controlled run input/initial conditions, expected structured values and checkpoint obligations.</w:t>
            </w:r>
          </w:p>
        </w:tc>
      </w:tr>
      <w:tr>
        <w:trPr>
          <w:cantSplit/>
        </w:trPr>
        <w:tc>
          <w:tcPr>
            <w:tcW w:type="dxa" w:w="2700"/>
            <w:vAlign w:val="center"/>
            <w:tcMar>
              <w:top w:w="80" w:type="dxa"/>
              <w:start w:w="100" w:type="dxa"/>
              <w:bottom w:w="80" w:type="dxa"/>
              <w:end w:w="100" w:type="dxa"/>
            </w:tcMar>
          </w:tcPr>
          <w:p>
            <w:pPr>
              <w:spacing w:before="40" w:after="40"/>
              <w:jc w:val="left"/>
            </w:pPr>
            <w:r>
              <w:rPr>
                <w:b w:val="0"/>
                <w:sz w:val="19"/>
              </w:rPr>
              <w:t>Constituent ValidationExecution</w:t>
            </w:r>
          </w:p>
        </w:tc>
        <w:tc>
          <w:tcPr>
            <w:tcW w:type="dxa" w:w="6660"/>
            <w:vAlign w:val="center"/>
            <w:tcMar>
              <w:top w:w="80" w:type="dxa"/>
              <w:start w:w="100" w:type="dxa"/>
              <w:bottom w:w="80" w:type="dxa"/>
              <w:end w:w="100" w:type="dxa"/>
            </w:tcMar>
          </w:tcPr>
          <w:p>
            <w:pPr>
              <w:spacing w:before="40" w:after="40"/>
              <w:jc w:val="left"/>
            </w:pPr>
            <w:r>
              <w:rPr>
                <w:b w:val="0"/>
                <w:sz w:val="19"/>
              </w:rPr>
              <w:t>Existing execution identity plus one case ID/hash and case-specific expected values; still exactly one scenario run.</w:t>
            </w:r>
          </w:p>
        </w:tc>
      </w:tr>
      <w:tr>
        <w:trPr>
          <w:cantSplit/>
        </w:trPr>
        <w:tc>
          <w:tcPr>
            <w:tcW w:type="dxa" w:w="2700"/>
            <w:vAlign w:val="center"/>
            <w:tcMar>
              <w:top w:w="80" w:type="dxa"/>
              <w:start w:w="100" w:type="dxa"/>
              <w:bottom w:w="80" w:type="dxa"/>
              <w:end w:w="100" w:type="dxa"/>
            </w:tcMar>
          </w:tcPr>
          <w:p>
            <w:pPr>
              <w:spacing w:before="40" w:after="40"/>
              <w:jc w:val="left"/>
            </w:pPr>
            <w:r>
              <w:rPr>
                <w:b w:val="0"/>
                <w:sz w:val="19"/>
              </w:rPr>
              <w:t>CompositeValidationResult</w:t>
            </w:r>
          </w:p>
        </w:tc>
        <w:tc>
          <w:tcPr>
            <w:tcW w:type="dxa" w:w="6660"/>
            <w:vAlign w:val="center"/>
            <w:tcMar>
              <w:top w:w="80" w:type="dxa"/>
              <w:start w:w="100" w:type="dxa"/>
              <w:bottom w:w="80" w:type="dxa"/>
              <w:end w:w="100" w:type="dxa"/>
            </w:tcMar>
          </w:tcPr>
          <w:p>
            <w:pPr>
              <w:spacing w:before="40" w:after="40"/>
              <w:jc w:val="left"/>
            </w:pPr>
            <w:r>
              <w:rPr>
                <w:b w:val="0"/>
                <w:sz w:val="19"/>
              </w:rPr>
              <w:t>Composite ID, parent test/catalogue identities, EXPLORATORY class, common build/configuration, exact required case set, constituent links/verdicts, completeness and aggregate determination/reason.</w:t>
            </w:r>
          </w:p>
        </w:tc>
      </w:tr>
      <w:tr>
        <w:trPr>
          <w:cantSplit/>
        </w:trPr>
        <w:tc>
          <w:tcPr>
            <w:tcW w:type="dxa" w:w="2700"/>
            <w:vAlign w:val="center"/>
            <w:tcMar>
              <w:top w:w="80" w:type="dxa"/>
              <w:start w:w="100" w:type="dxa"/>
              <w:bottom w:w="80" w:type="dxa"/>
              <w:end w:w="100" w:type="dxa"/>
            </w:tcMar>
          </w:tcPr>
          <w:p>
            <w:pPr>
              <w:spacing w:before="40" w:after="40"/>
              <w:jc w:val="left"/>
            </w:pPr>
            <w:r>
              <w:rPr>
                <w:b w:val="0"/>
                <w:sz w:val="19"/>
              </w:rPr>
              <w:t>CompositeConstituentLink</w:t>
            </w:r>
          </w:p>
        </w:tc>
        <w:tc>
          <w:tcPr>
            <w:tcW w:type="dxa" w:w="6660"/>
            <w:vAlign w:val="center"/>
            <w:tcMar>
              <w:top w:w="80" w:type="dxa"/>
              <w:start w:w="100" w:type="dxa"/>
              <w:bottom w:w="80" w:type="dxa"/>
              <w:end w:w="100" w:type="dxa"/>
            </w:tcMar>
          </w:tcPr>
          <w:p>
            <w:pPr>
              <w:spacing w:before="40" w:after="40"/>
              <w:jc w:val="left"/>
            </w:pPr>
            <w:r>
              <w:rPr>
                <w:b w:val="0"/>
                <w:sz w:val="19"/>
              </w:rPr>
              <w:t>Composite ID, case ID/hash, execution ID, run ID, evidence references and constituent verdict.</w:t>
            </w:r>
          </w:p>
        </w:tc>
      </w:tr>
      <w:tr>
        <w:trPr>
          <w:cantSplit/>
        </w:trPr>
        <w:tc>
          <w:tcPr>
            <w:tcW w:type="dxa" w:w="4680"/>
            <w:vAlign w:val="center"/>
          </w:tcPr>
          <w:p>
            <w:pPr>
              <w:spacing w:before="40" w:after="40"/>
              <w:jc w:val="left"/>
            </w:pPr>
            <w:r>
              <w:rPr>
                <w:sz w:val="19"/>
              </w:rPr>
              <w:t>AcceptedCatalogueRevision</w:t>
            </w:r>
          </w:p>
        </w:tc>
        <w:tc>
          <w:tcPr>
            <w:tcW w:type="dxa" w:w="4680"/>
            <w:vAlign w:val="center"/>
          </w:tcPr>
          <w:p>
            <w:pPr>
              <w:spacing w:before="40" w:after="40"/>
              <w:jc w:val="left"/>
            </w:pPr>
            <w:r>
              <w:rPr>
                <w:sz w:val="19"/>
              </w:rPr>
              <w:t>immutable catalogue ID/version/hash, manifest/hash, exact test definitions and acceptance identity; independently resolvable for historical execution review/export.</w:t>
            </w:r>
          </w:p>
        </w:tc>
      </w:tr>
    </w:tbl>
    <w:p>
      <w:pPr/>
    </w:p>
    <w:p>
      <w:pPr/>
      <w:r>
        <w:t>ConstituentCaseDefinition is controlled definition data, not runtime network configuration. Its comparison_expected_values contains only predetermined engineering/case expectations; build/catalogue/test/case hashes and identities are separate provenance/binding fields. AcceptedCatalogueRevision is an immutable historical engineering input. CompositeValidationResult is a validation-assurance record, not a ScenarioRun, ValidationExecution or operational event. It owns no engineering scenario time; each constituent retains its own controlled time, while any composite audit timestamp is administrative only. Generated record identities are UUIDs; stable case IDs are controlled engineering identifiers within their parent test.</w:t>
      </w:r>
    </w:p>
    <w:p>
      <w:pPr>
        <w:pStyle w:val="Heading2"/>
      </w:pPr>
      <w:r>
        <w:t>36.2 Ownership and Service Boundaries</w:t>
      </w:r>
    </w:p>
    <w:p>
      <w:pPr/>
      <w:r>
        <w:t>•</w:t>
        <w:tab/>
        <w:t>The validation catalogue authority owns the current accepted catalogue for new executions and an identity-based resolver for immutable accepted historical catalogue/test-definition packages.</w:t>
      </w:r>
    </w:p>
    <w:p>
      <w:pPr/>
      <w:r>
        <w:t>•</w:t>
        <w:tab/>
        <w:t>The validation service verifies test/case membership, binds one case to one existing run, fixes engineering expected values before evidence capture and validates dynamic catalogue/test/case/build identities separately as provenance.</w:t>
      </w:r>
    </w:p>
    <w:p>
      <w:pPr/>
      <w:r>
        <w:t>•</w:t>
        <w:tab/>
        <w:t>The scenario/topology/outage/restoration modules remain the sole authorities for observed and derived engineering results; they contain no case verdicts or section-specific validation branches.</w:t>
      </w:r>
    </w:p>
    <w:p>
      <w:pPr/>
      <w:r>
        <w:t>•</w:t>
        <w:tab/>
        <w:t>A bounded validation-assurance coordinator assembles a composite only from repository-returned finalised constituent records and applies the exact completeness/aggregate rules from the Validation Plan.</w:t>
      </w:r>
    </w:p>
    <w:p>
      <w:pPr/>
      <w:r>
        <w:t>•</w:t>
        <w:tab/>
        <w:t>The workspace/evidence API returns complete backend-owned constituent/composite projections and historical source-definition identities; React does not calculate completeness, provenance or verdicts.</w:t>
      </w:r>
    </w:p>
    <w:p>
      <w:pPr>
        <w:pStyle w:val="Heading2"/>
      </w:pPr>
      <w:r>
        <w:t>36.3 Persistence and Immutability</w:t>
      </w:r>
    </w:p>
    <w:p>
      <w:pPr/>
      <w:r>
        <w:t>SQLite stores composite headers and constituent links separately from scenario, operational event and evidence tables. Repository operations permit controlled insert/assembly/finalisation. Database-level guards reject update/delete of a finalised composite and reject update/delete/replacement or late insertion of finalised constituent membership. Accepted catalogue packages/manifests are immutable controlled inputs outside mutable run state and remain resolvable by identity. Missing, unexecuted, duplicate or identity-mismatched cases leave an assembly incomplete without a verdict. Repeats create new composite, run, execution and evidence identities. After catalogue promotion, unfinished executions bound to an older definition are historical/read-only and cannot accept evidence or finalisation under the new definition.</w:t>
      </w:r>
    </w:p>
    <w:p>
      <w:pPr>
        <w:pStyle w:val="Heading2"/>
      </w:pPr>
      <w:r>
        <w:t>36.4 Review Projection and Interaction</w:t>
      </w:r>
    </w:p>
    <w:p>
      <w:pPr/>
      <w:r>
        <w:t>The Validation/Evidence workspace presents the parent test identity, aggregate status/determination, required/present/missing cases and a row for every case showing case ID, execution ID, full run ID, constituent-controlled scenario/checkpoint time, case verdict and evidence link. Source catalogue/test-definition identity, common build/configuration and EXPLORATORY identity remain visible. Historical finalised executions remain reviewable through their original catalogue/definition after promotion. A reviewer can open each constituent independently. FORMAL progress calculations exclude constituent and composite exploratory records.</w:t>
      </w:r>
    </w:p>
    <w:p>
      <w:pPr/>
      <w:r>
        <w:t>Finalise Composite is backend-authorised only when the exact controlled completeness and provenance rules are satisfied. The interface does not offer PASS selection, allow constituent substitution or treat a visual checklist as determination evidence. An incomplete assembly is labelled INCOMPLETE / NO VERDICT rather than PASS, FAIL or silently BLOCKED-TEST. The composite does not display one authoritative engineering scenario time; administrative audit time is identified separately.</w:t>
      </w:r>
    </w:p>
    <w:p>
      <w:pPr>
        <w:pStyle w:val="Heading2"/>
      </w:pPr>
      <w:r>
        <w:t>36.5 Evidence Export</w:t>
      </w:r>
    </w:p>
    <w:p>
      <w:pPr/>
      <w:r>
        <w:t>Existing I8 per-execution ZIPs remain valid and immutable. Historical export resolves the execution-bound source catalogue/test definition by stored catalogue version/hash and test-definition version/hash, not by equality with the current catalogue. A later application build may package that evidence only while retaining the original source catalogue/test-definition identity separately from the generation build; it never relabels old evidence under the promoted catalogue. A test-level package is generated only from a finalised immutable composite plus all preserved constituent records/evidence, remains EXPLORATORY and never reconstructs mutable scenario state.</w:t>
      </w:r>
    </w:p>
    <w:p>
      <w:pPr>
        <w:pStyle w:val="Heading2"/>
      </w:pPr>
      <w:r>
        <w:t>36.6 Prohibited Implementations</w:t>
      </w:r>
    </w:p>
    <w:tbl>
      <w:tblPr>
        <w:tblW w:type="auto" w:w="0"/>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3300"/>
            <w:vAlign w:val="center"/>
            <w:tcMar>
              <w:top w:w="80" w:type="dxa"/>
              <w:start w:w="100" w:type="dxa"/>
              <w:bottom w:w="80" w:type="dxa"/>
              <w:end w:w="100" w:type="dxa"/>
            </w:tcMar>
            <w:shd w:fill="E7E7E7"/>
          </w:tcPr>
          <w:p>
            <w:pPr>
              <w:spacing w:before="40" w:after="40"/>
              <w:jc w:val="center"/>
            </w:pPr>
            <w:r>
              <w:rPr>
                <w:b/>
                <w:sz w:val="19"/>
              </w:rPr>
              <w:t>Prohibited shortcut</w:t>
            </w:r>
          </w:p>
        </w:tc>
        <w:tc>
          <w:tcPr>
            <w:tcW w:type="dxa" w:w="6060"/>
            <w:vAlign w:val="center"/>
            <w:tcMar>
              <w:top w:w="80" w:type="dxa"/>
              <w:start w:w="100" w:type="dxa"/>
              <w:bottom w:w="80" w:type="dxa"/>
              <w:end w:w="100" w:type="dxa"/>
            </w:tcMar>
            <w:shd w:fill="E7E7E7"/>
          </w:tcPr>
          <w:p>
            <w:pPr>
              <w:spacing w:before="40" w:after="40"/>
              <w:jc w:val="center"/>
            </w:pPr>
            <w:r>
              <w:rPr>
                <w:b/>
                <w:sz w:val="19"/>
              </w:rPr>
              <w:t>Required design</w:t>
            </w:r>
          </w:p>
        </w:tc>
      </w:tr>
      <w:tr>
        <w:trPr>
          <w:cantSplit/>
        </w:trPr>
        <w:tc>
          <w:tcPr>
            <w:tcW w:type="dxa" w:w="3300"/>
            <w:vAlign w:val="center"/>
            <w:tcMar>
              <w:top w:w="80" w:type="dxa"/>
              <w:start w:w="100" w:type="dxa"/>
              <w:bottom w:w="80" w:type="dxa"/>
              <w:end w:w="100" w:type="dxa"/>
            </w:tcMar>
          </w:tcPr>
          <w:p>
            <w:pPr>
              <w:spacing w:before="40" w:after="40"/>
              <w:jc w:val="left"/>
            </w:pPr>
            <w:r>
              <w:rPr>
                <w:b w:val="0"/>
                <w:sz w:val="19"/>
              </w:rPr>
              <w:t>One execution references several runs</w:t>
            </w:r>
          </w:p>
        </w:tc>
        <w:tc>
          <w:tcPr>
            <w:tcW w:type="dxa" w:w="6060"/>
            <w:vAlign w:val="center"/>
            <w:tcMar>
              <w:top w:w="80" w:type="dxa"/>
              <w:start w:w="100" w:type="dxa"/>
              <w:bottom w:w="80" w:type="dxa"/>
              <w:end w:w="100" w:type="dxa"/>
            </w:tcMar>
          </w:tcPr>
          <w:p>
            <w:pPr>
              <w:spacing w:before="40" w:after="40"/>
              <w:jc w:val="left"/>
            </w:pPr>
            <w:r>
              <w:rPr>
                <w:b w:val="0"/>
                <w:sz w:val="19"/>
              </w:rPr>
              <w:t>Preserve one constituent execution per one scenario run; compose only through the separate result.</w:t>
            </w:r>
          </w:p>
        </w:tc>
      </w:tr>
      <w:tr>
        <w:trPr>
          <w:cantSplit/>
        </w:trPr>
        <w:tc>
          <w:tcPr>
            <w:tcW w:type="dxa" w:w="3300"/>
            <w:vAlign w:val="center"/>
            <w:tcMar>
              <w:top w:w="80" w:type="dxa"/>
              <w:start w:w="100" w:type="dxa"/>
              <w:bottom w:w="80" w:type="dxa"/>
              <w:end w:w="100" w:type="dxa"/>
            </w:tcMar>
          </w:tcPr>
          <w:p>
            <w:pPr>
              <w:spacing w:before="40" w:after="40"/>
              <w:jc w:val="left"/>
            </w:pPr>
            <w:r>
              <w:rPr>
                <w:b w:val="0"/>
                <w:sz w:val="19"/>
              </w:rPr>
              <w:t>Section-ID-specific PASS code</w:t>
            </w:r>
          </w:p>
        </w:tc>
        <w:tc>
          <w:tcPr>
            <w:tcW w:type="dxa" w:w="6060"/>
            <w:vAlign w:val="center"/>
            <w:tcMar>
              <w:top w:w="80" w:type="dxa"/>
              <w:start w:w="100" w:type="dxa"/>
              <w:bottom w:w="80" w:type="dxa"/>
              <w:end w:w="100" w:type="dxa"/>
            </w:tcMar>
          </w:tcPr>
          <w:p>
            <w:pPr>
              <w:spacing w:before="40" w:after="40"/>
              <w:jc w:val="left"/>
            </w:pPr>
            <w:r>
              <w:rPr>
                <w:b w:val="0"/>
                <w:sz w:val="19"/>
              </w:rPr>
              <w:t>Use controlled case definitions plus the generic expected-versus-observed comparison.</w:t>
            </w:r>
          </w:p>
        </w:tc>
      </w:tr>
      <w:tr>
        <w:trPr>
          <w:cantSplit/>
        </w:trPr>
        <w:tc>
          <w:tcPr>
            <w:tcW w:type="dxa" w:w="3300"/>
            <w:vAlign w:val="center"/>
            <w:tcMar>
              <w:top w:w="80" w:type="dxa"/>
              <w:start w:w="100" w:type="dxa"/>
              <w:bottom w:w="80" w:type="dxa"/>
              <w:end w:w="100" w:type="dxa"/>
            </w:tcMar>
          </w:tcPr>
          <w:p>
            <w:pPr>
              <w:spacing w:before="40" w:after="40"/>
              <w:jc w:val="left"/>
            </w:pPr>
            <w:r>
              <w:rPr>
                <w:b w:val="0"/>
                <w:sz w:val="19"/>
              </w:rPr>
              <w:t>PASS from screenshots/manual impression</w:t>
            </w:r>
          </w:p>
        </w:tc>
        <w:tc>
          <w:tcPr>
            <w:tcW w:type="dxa" w:w="6060"/>
            <w:vAlign w:val="center"/>
            <w:tcMar>
              <w:top w:w="80" w:type="dxa"/>
              <w:start w:w="100" w:type="dxa"/>
              <w:bottom w:w="80" w:type="dxa"/>
              <w:end w:w="100" w:type="dxa"/>
            </w:tcMar>
          </w:tcPr>
          <w:p>
            <w:pPr>
              <w:spacing w:before="40" w:after="40"/>
              <w:jc w:val="left"/>
            </w:pPr>
            <w:r>
              <w:rPr>
                <w:b w:val="0"/>
                <w:sz w:val="19"/>
              </w:rPr>
              <w:t>Require finalised constituent records, exact completeness and preserved evidence links.</w:t>
            </w:r>
          </w:p>
        </w:tc>
      </w:tr>
      <w:tr>
        <w:trPr>
          <w:cantSplit/>
        </w:trPr>
        <w:tc>
          <w:tcPr>
            <w:tcW w:type="dxa" w:w="3300"/>
            <w:vAlign w:val="center"/>
            <w:tcMar>
              <w:top w:w="80" w:type="dxa"/>
              <w:start w:w="100" w:type="dxa"/>
              <w:bottom w:w="80" w:type="dxa"/>
              <w:end w:w="100" w:type="dxa"/>
            </w:tcMar>
          </w:tcPr>
          <w:p>
            <w:pPr>
              <w:spacing w:before="40" w:after="40"/>
              <w:jc w:val="left"/>
            </w:pPr>
            <w:r>
              <w:rPr>
                <w:b w:val="0"/>
                <w:sz w:val="19"/>
              </w:rPr>
              <w:t>Missing/duplicate case treated as BLOCKED-TEST</w:t>
            </w:r>
          </w:p>
        </w:tc>
        <w:tc>
          <w:tcPr>
            <w:tcW w:type="dxa" w:w="6060"/>
            <w:vAlign w:val="center"/>
            <w:tcMar>
              <w:top w:w="80" w:type="dxa"/>
              <w:start w:w="100" w:type="dxa"/>
              <w:bottom w:w="80" w:type="dxa"/>
              <w:end w:w="100" w:type="dxa"/>
            </w:tcMar>
          </w:tcPr>
          <w:p>
            <w:pPr>
              <w:spacing w:before="40" w:after="40"/>
              <w:jc w:val="left"/>
            </w:pPr>
            <w:r>
              <w:rPr>
                <w:b w:val="0"/>
                <w:sz w:val="19"/>
              </w:rPr>
              <w:t>Keep the composite INCOMPLETE with no verdict unless an accepted suspension condition explicitly supports BLOCKED-TEST.</w:t>
            </w:r>
          </w:p>
        </w:tc>
      </w:tr>
      <w:tr>
        <w:trPr>
          <w:cantSplit/>
        </w:trPr>
        <w:tc>
          <w:tcPr>
            <w:tcW w:type="dxa" w:w="3300"/>
            <w:vAlign w:val="center"/>
            <w:tcMar>
              <w:top w:w="80" w:type="dxa"/>
              <w:start w:w="100" w:type="dxa"/>
              <w:bottom w:w="80" w:type="dxa"/>
              <w:end w:w="100" w:type="dxa"/>
            </w:tcMar>
          </w:tcPr>
          <w:p>
            <w:pPr>
              <w:spacing w:before="40" w:after="40"/>
              <w:jc w:val="left"/>
            </w:pPr>
            <w:r>
              <w:rPr>
                <w:b w:val="0"/>
                <w:sz w:val="19"/>
              </w:rPr>
              <w:t>Frontend aggregate calculation</w:t>
            </w:r>
          </w:p>
        </w:tc>
        <w:tc>
          <w:tcPr>
            <w:tcW w:type="dxa" w:w="6060"/>
            <w:vAlign w:val="center"/>
            <w:tcMar>
              <w:top w:w="80" w:type="dxa"/>
              <w:start w:w="100" w:type="dxa"/>
              <w:bottom w:w="80" w:type="dxa"/>
              <w:end w:w="100" w:type="dxa"/>
            </w:tcMar>
          </w:tcPr>
          <w:p>
            <w:pPr>
              <w:spacing w:before="40" w:after="40"/>
              <w:jc w:val="left"/>
            </w:pPr>
            <w:r>
              <w:rPr>
                <w:b w:val="0"/>
                <w:sz w:val="19"/>
              </w:rPr>
              <w:t>Backend validation authority owns completeness and determination; UI is projection-only.</w:t>
            </w:r>
          </w:p>
        </w:tc>
      </w:tr>
      <w:tr>
        <w:trPr>
          <w:cantSplit/>
        </w:trPr>
        <w:tc>
          <w:tcPr>
            <w:tcW w:type="dxa" w:w="3300"/>
            <w:vAlign w:val="center"/>
            <w:tcMar>
              <w:top w:w="80" w:type="dxa"/>
              <w:start w:w="100" w:type="dxa"/>
              <w:bottom w:w="80" w:type="dxa"/>
              <w:end w:w="100" w:type="dxa"/>
            </w:tcMar>
          </w:tcPr>
          <w:p>
            <w:pPr>
              <w:spacing w:before="40" w:after="40"/>
              <w:jc w:val="left"/>
            </w:pPr>
            <w:r>
              <w:rPr>
                <w:b w:val="0"/>
                <w:sz w:val="19"/>
              </w:rPr>
              <w:t>Exploratory composite counted as formal</w:t>
            </w:r>
          </w:p>
        </w:tc>
        <w:tc>
          <w:tcPr>
            <w:tcW w:type="dxa" w:w="6060"/>
            <w:vAlign w:val="center"/>
            <w:tcMar>
              <w:top w:w="80" w:type="dxa"/>
              <w:start w:w="100" w:type="dxa"/>
              <w:bottom w:w="80" w:type="dxa"/>
              <w:end w:w="100" w:type="dxa"/>
            </w:tcMar>
          </w:tcPr>
          <w:p>
            <w:pPr>
              <w:spacing w:before="40" w:after="40"/>
              <w:jc w:val="left"/>
            </w:pPr>
            <w:r>
              <w:rPr>
                <w:b w:val="0"/>
                <w:sz w:val="19"/>
              </w:rPr>
              <w:t>Retain EXPLORATORY throughout query, progress, review and export boundaries.</w:t>
            </w:r>
          </w:p>
        </w:tc>
      </w:tr>
      <w:tr>
        <w:trPr>
          <w:cantSplit/>
        </w:trPr>
        <w:tc>
          <w:tcPr>
            <w:tcW w:type="dxa" w:w="3300"/>
            <w:vAlign w:val="center"/>
            <w:tcMar>
              <w:top w:w="80" w:type="dxa"/>
              <w:start w:w="100" w:type="dxa"/>
              <w:bottom w:w="80" w:type="dxa"/>
              <w:end w:w="100" w:type="dxa"/>
            </w:tcMar>
          </w:tcPr>
          <w:p>
            <w:pPr>
              <w:spacing w:before="40" w:after="40"/>
              <w:jc w:val="left"/>
            </w:pPr>
            <w:r>
              <w:rPr>
                <w:b w:val="0"/>
                <w:sz w:val="19"/>
              </w:rPr>
              <w:t>Reconstruct package from current state</w:t>
            </w:r>
          </w:p>
        </w:tc>
        <w:tc>
          <w:tcPr>
            <w:tcW w:type="dxa" w:w="6060"/>
            <w:vAlign w:val="center"/>
            <w:tcMar>
              <w:top w:w="80" w:type="dxa"/>
              <w:start w:w="100" w:type="dxa"/>
              <w:bottom w:w="80" w:type="dxa"/>
              <w:end w:w="100" w:type="dxa"/>
            </w:tcMar>
          </w:tcPr>
          <w:p>
            <w:pPr>
              <w:spacing w:before="40" w:after="40"/>
              <w:jc w:val="left"/>
            </w:pPr>
            <w:r>
              <w:rPr>
                <w:b w:val="0"/>
                <w:sz w:val="19"/>
              </w:rPr>
              <w:t>Package only immutable composite and constituent source records.</w:t>
            </w:r>
          </w:p>
        </w:tc>
      </w:tr>
      <w:tr>
        <w:trPr>
          <w:cantSplit/>
        </w:trPr>
        <w:tc>
          <w:tcPr>
            <w:tcW w:type="dxa" w:w="4680"/>
            <w:vAlign w:val="center"/>
          </w:tcPr>
          <w:p>
            <w:pPr>
              <w:spacing w:before="40" w:after="40"/>
              <w:jc w:val="left"/>
            </w:pPr>
            <w:r>
              <w:rPr>
                <w:sz w:val="19"/>
              </w:rPr>
              <w:t>Resolve historical export only against current catalogue</w:t>
            </w:r>
          </w:p>
        </w:tc>
        <w:tc>
          <w:tcPr>
            <w:tcW w:type="dxa" w:w="4680"/>
            <w:vAlign w:val="center"/>
          </w:tcPr>
          <w:p>
            <w:pPr>
              <w:spacing w:before="40" w:after="40"/>
              <w:jc w:val="left"/>
            </w:pPr>
            <w:r>
              <w:rPr>
                <w:sz w:val="19"/>
              </w:rPr>
              <w:t>Resolve the execution-bound immutable source catalogue/test definition by stored version/hash identity; keep current catalogue authority for new executions.</w:t>
            </w:r>
          </w:p>
        </w:tc>
      </w:tr>
      <w:tr>
        <w:trPr>
          <w:cantSplit/>
        </w:trPr>
        <w:tc>
          <w:tcPr>
            <w:tcW w:type="dxa" w:w="4680"/>
            <w:vAlign w:val="center"/>
          </w:tcPr>
          <w:p>
            <w:pPr>
              <w:spacing w:before="40" w:after="40"/>
              <w:jc w:val="left"/>
            </w:pPr>
            <w:r>
              <w:rPr>
                <w:sz w:val="19"/>
              </w:rPr>
              <w:t>Continue unfinished old-catalogue execution after promotion</w:t>
            </w:r>
          </w:p>
        </w:tc>
        <w:tc>
          <w:tcPr>
            <w:tcW w:type="dxa" w:w="4680"/>
            <w:vAlign w:val="center"/>
          </w:tcPr>
          <w:p>
            <w:pPr>
              <w:spacing w:before="40" w:after="40"/>
              <w:jc w:val="left"/>
            </w:pPr>
            <w:r>
              <w:rPr>
                <w:sz w:val="19"/>
              </w:rPr>
              <w:t>Keep it historical/read-only and require a new execution under the active accepted catalogue.</w:t>
            </w:r>
          </w:p>
        </w:tc>
      </w:tr>
      <w:tr>
        <w:trPr>
          <w:cantSplit/>
        </w:trPr>
        <w:tc>
          <w:tcPr>
            <w:tcW w:type="dxa" w:w="4680"/>
            <w:vAlign w:val="center"/>
          </w:tcPr>
          <w:p>
            <w:pPr>
              <w:spacing w:before="40" w:after="40"/>
              <w:jc w:val="left"/>
            </w:pPr>
            <w:r>
              <w:rPr>
                <w:sz w:val="19"/>
              </w:rPr>
              <w:t>Compare dynamic hashes/build ID as engineering expected values</w:t>
            </w:r>
          </w:p>
        </w:tc>
        <w:tc>
          <w:tcPr>
            <w:tcW w:type="dxa" w:w="4680"/>
            <w:vAlign w:val="center"/>
          </w:tcPr>
          <w:p>
            <w:pPr>
              <w:spacing w:before="40" w:after="40"/>
              <w:jc w:val="left"/>
            </w:pPr>
            <w:r>
              <w:rPr>
                <w:sz w:val="19"/>
              </w:rPr>
              <w:t>Validate them separately as provenance/binding invariants; comparison_expected_values contains predetermined engineering/case expectations only.</w:t>
            </w:r>
          </w:p>
        </w:tc>
      </w:tr>
      <w:tr>
        <w:trPr>
          <w:cantSplit/>
        </w:trPr>
        <w:tc>
          <w:tcPr>
            <w:tcW w:type="dxa" w:w="4680"/>
            <w:vAlign w:val="center"/>
          </w:tcPr>
          <w:p>
            <w:pPr>
              <w:spacing w:before="40" w:after="40"/>
              <w:jc w:val="left"/>
            </w:pPr>
            <w:r>
              <w:rPr>
                <w:sz w:val="19"/>
              </w:rPr>
              <w:t>Give the composite one engineering scenario time</w:t>
            </w:r>
          </w:p>
        </w:tc>
        <w:tc>
          <w:tcPr>
            <w:tcW w:type="dxa" w:w="4680"/>
            <w:vAlign w:val="center"/>
          </w:tcPr>
          <w:p>
            <w:pPr>
              <w:spacing w:before="40" w:after="40"/>
              <w:jc w:val="left"/>
            </w:pPr>
            <w:r>
              <w:rPr>
                <w:sz w:val="19"/>
              </w:rPr>
              <w:t>Retain each constituent's controlled time; any composite audit timestamp is administrative and does not affect determination.</w:t>
            </w:r>
          </w:p>
        </w:tc>
      </w:tr>
    </w:tbl>
    <w:p>
      <w:pPr/>
    </w:p>
    <w:p>
      <w:pPr>
        <w:pStyle w:val="Heading2"/>
      </w:pPr>
      <w:r>
        <w:t>36.7 Implementation and Verification Impact</w:t>
      </w:r>
    </w:p>
    <w:p>
      <w:pPr/>
      <w:r>
        <w:t>After separate application authorisation, bounded implementation affects immutable accepted-catalogue revision preservation, identity-based catalogue/test-definition resolution, validation catalogue/contracts, observed engineering comparison projection, separate provenance gates, SQLite validation-assurance migration/repository, composite service, historical read-only execution enforcement, validation/evidence read models, review presentation, historical/composite export and focused tests. The exact catalogue-package filesystem/repository arrangement remains a bounded implementation choice. No topology, outage, restoration, scenario electrical algorithm, controlled network configuration, 15-event catalogue or RTM mapping changes.</w:t>
      </w:r>
    </w:p>
    <w:p>
      <w:pPr/>
      <w:r>
        <w:t>Verification covers all nine VT-EXP-ALL-001 and four VT-EXP-ROLE-001 cases; exact-set PASS; constituent FAIL; missing/duplicate/provenance mismatch; independent reviewability; FORMAL-progress isolation; database immutability; export links; deterministic rerun equivalence; v1.0 finalised execution review/export after catalogue promotion with original source definition plus separate generation build; a new execution bound to the promoted identity; rejection of unfinished old-catalogue continuation/finalisation; engineering-comparison/provenance separation; and independent constituent scenario times. Counts remain 24 catalogue tests, 124 requirements and 286 exact RTM relationships.</w:t>
      </w:r>
    </w:p>
    <w:p>
      <w:pPr>
        <w:pStyle w:val="Heading2"/>
      </w:pPr>
      <w:r>
        <w:t>36.8 Accepted Design Gate</w:t>
      </w:r>
    </w:p>
    <w:p>
      <w:pPr/>
      <w:r>
        <w:t>DC-004 and Section 36 are accepted as authoritative Demonstrator Design v0.3, superseding v0.2. This acceptance authorises no machine catalogue, contract, schema, database, application or I9 implementation. A separate branch, tests, build identity, independent review and main incorporation are required before I9 resumes.</w:t>
      </w:r>
    </w:p>
    <w:p>
      <w:pPr>
        <w:pStyle w:val="Heading1"/>
      </w:pPr>
      <w:r>
        <w:t>37. Accepted Controlled Amendment — DC-005 Suspension Assurance Design</w:t>
      </w:r>
    </w:p>
    <w:p>
      <w:pPr/>
      <w:r>
        <w:t>This accepted amendment translates the Validation Plan DC-005 contract into a bounded application design. It adds no electrical, operational or event behaviour and does not implement the change. ValidationSuspensionRecord is a validation-assurance record owned by Validation/Evidence, never an operational event or substitute for an expected operational BLOCKED result.</w:t>
      </w:r>
    </w:p>
    <w:p>
      <w:pPr>
        <w:pStyle w:val="Heading2"/>
      </w:pPr>
      <w:r>
        <w:t>37.1 Data Structures and Relationships</w:t>
      </w:r>
    </w:p>
    <w:tbl>
      <w:tblPr>
        <w:tblW w:type="dxa" w:w="9360"/>
        <w:tblLayout w:type="fixed"/>
        <w:tblLook w:firstColumn="1" w:firstRow="1" w:lastColumn="0" w:lastRow="0" w:noHBand="0" w:noVBand="1" w:val="04A0"/>
        <w:jc w:val="left"/>
        <w:tblInd w:type="dxa" w:w="120"/>
      </w:tblPr>
      <w:tblGrid>
        <w:gridCol w:w="3370"/>
        <w:gridCol w:w="5990"/>
      </w:tblGrid>
      <w:tr>
        <w:trPr>
          <w:tblHeader w:val="true"/>
        </w:trPr>
        <w:tc>
          <w:tcPr>
            <w:tcW w:type="dxa" w:w="3370"/>
            <w:vAlign w:val="center"/>
            <w:tcMar>
              <w:top w:w="80" w:type="dxa"/>
              <w:start w:w="120" w:type="dxa"/>
              <w:bottom w:w="80" w:type="dxa"/>
              <w:end w:w="120" w:type="dxa"/>
            </w:tcMar>
            <w:shd w:fill="E7E7E7"/>
          </w:tcPr>
          <w:p>
            <w:r>
              <w:rPr>
                <w:b/>
              </w:rPr>
              <w:t>Structure</w:t>
            </w:r>
          </w:p>
        </w:tc>
        <w:tc>
          <w:tcPr>
            <w:tcW w:type="dxa" w:w="5990"/>
            <w:vAlign w:val="center"/>
            <w:tcMar>
              <w:top w:w="80" w:type="dxa"/>
              <w:start w:w="120" w:type="dxa"/>
              <w:bottom w:w="80" w:type="dxa"/>
              <w:end w:w="120" w:type="dxa"/>
            </w:tcMar>
            <w:shd w:fill="E7E7E7"/>
          </w:tcPr>
          <w:p>
            <w:r>
              <w:rPr>
                <w:b/>
              </w:rPr>
              <w:t>Ownership and controlled relationship</w:t>
            </w:r>
          </w:p>
        </w:tc>
      </w:tr>
      <w:tr>
        <w:trPr/>
        <w:tc>
          <w:tcPr>
            <w:tcW w:type="dxa" w:w="3370"/>
            <w:vAlign w:val="center"/>
            <w:tcMar>
              <w:top w:w="80" w:type="dxa"/>
              <w:start w:w="120" w:type="dxa"/>
              <w:bottom w:w="80" w:type="dxa"/>
              <w:end w:w="120" w:type="dxa"/>
            </w:tcMar>
          </w:tcPr>
          <w:p>
            <w:r>
              <w:t>ValidationSuspensionCondition</w:t>
            </w:r>
          </w:p>
        </w:tc>
        <w:tc>
          <w:tcPr>
            <w:tcW w:type="dxa" w:w="5990"/>
            <w:vAlign w:val="center"/>
            <w:tcMar>
              <w:top w:w="80" w:type="dxa"/>
              <w:start w:w="120" w:type="dxa"/>
              <w:bottom w:w="80" w:type="dxa"/>
              <w:end w:w="120" w:type="dxa"/>
            </w:tcMar>
          </w:tcPr>
          <w:p>
            <w:r>
              <w:t>Immutable registry for exactly VSC-001–VSC-005 plus versioned non-overlapping classifier gates, authority mode, evidence contract and deterministic reason template.</w:t>
            </w:r>
          </w:p>
        </w:tc>
      </w:tr>
      <w:tr>
        <w:trPr/>
        <w:tc>
          <w:tcPr>
            <w:tcW w:type="dxa" w:w="3370"/>
            <w:vAlign w:val="center"/>
            <w:tcMar>
              <w:top w:w="80" w:type="dxa"/>
              <w:start w:w="120" w:type="dxa"/>
              <w:bottom w:w="80" w:type="dxa"/>
              <w:end w:w="120" w:type="dxa"/>
            </w:tcMar>
          </w:tcPr>
          <w:p>
            <w:r>
              <w:t>ValidationSuspensionRecord</w:t>
            </w:r>
          </w:p>
        </w:tc>
        <w:tc>
          <w:tcPr>
            <w:tcW w:type="dxa" w:w="5990"/>
            <w:vAlign w:val="center"/>
            <w:tcMar>
              <w:top w:w="80" w:type="dxa"/>
              <w:start w:w="120" w:type="dxa"/>
              <w:bottom w:w="80" w:type="dxa"/>
              <w:end w:w="120" w:type="dxa"/>
            </w:tcMar>
          </w:tcPr>
          <w:p>
            <w:r>
              <w:t>UUID assurance record binding validation attempt, trusted target selection, resolved sources, failed-input evidence, distinct target/verifier builds, one classifier result, optional actual run/execution, authority, immutable evidence and reason.</w:t>
            </w:r>
          </w:p>
        </w:tc>
      </w:tr>
      <w:tr>
        <w:trPr/>
        <w:tc>
          <w:tcPr>
            <w:tcW w:type="dxa" w:w="3370"/>
            <w:vAlign w:val="center"/>
            <w:tcMar>
              <w:top w:w="80" w:type="dxa"/>
              <w:start w:w="120" w:type="dxa"/>
              <w:bottom w:w="80" w:type="dxa"/>
              <w:end w:w="120" w:type="dxa"/>
            </w:tcMar>
          </w:tcPr>
          <w:p>
            <w:r>
              <w:t>SuspensionEvidenceRecord</w:t>
            </w:r>
          </w:p>
        </w:tc>
        <w:tc>
          <w:tcPr>
            <w:tcW w:type="dxa" w:w="5990"/>
            <w:vAlign w:val="center"/>
            <w:tcMar>
              <w:top w:w="80" w:type="dxa"/>
              <w:start w:w="120" w:type="dxa"/>
              <w:bottom w:w="80" w:type="dxa"/>
              <w:end w:w="120" w:type="dxa"/>
            </w:tcMar>
          </w:tcPr>
          <w:p>
            <w:r>
              <w:t>Typed condition-specific evidence with common provenance envelope and canonical payload hash; cannot be attached across incompatible ownership identities.</w:t>
            </w:r>
          </w:p>
        </w:tc>
      </w:tr>
      <w:tr>
        <w:trPr/>
        <w:tc>
          <w:tcPr>
            <w:tcW w:type="dxa" w:w="3370"/>
            <w:vAlign w:val="center"/>
            <w:tcMar>
              <w:top w:w="80" w:type="dxa"/>
              <w:start w:w="120" w:type="dxa"/>
              <w:bottom w:w="80" w:type="dxa"/>
              <w:end w:w="120" w:type="dxa"/>
            </w:tcMar>
          </w:tcPr>
          <w:p>
            <w:r>
              <w:t>ExecutedValidationResult</w:t>
            </w:r>
          </w:p>
        </w:tc>
        <w:tc>
          <w:tcPr>
            <w:tcW w:type="dxa" w:w="5990"/>
            <w:vAlign w:val="center"/>
            <w:tcMar>
              <w:top w:w="80" w:type="dxa"/>
              <w:start w:w="120" w:type="dxa"/>
              <w:bottom w:w="80" w:type="dxa"/>
              <w:end w:w="120" w:type="dxa"/>
            </w:tcMar>
          </w:tcPr>
          <w:p>
            <w:r>
              <w:t>Created only after valid expected-versus-observed comparison; stores observed result, sufficient supporting evidence and exactly PASS or FAIL. A suspended attempt has no ExecutedValidationResult.</w:t>
            </w:r>
          </w:p>
        </w:tc>
      </w:tr>
      <w:tr>
        <w:trPr/>
        <w:tc>
          <w:tcPr>
            <w:tcW w:type="dxa" w:w="3370"/>
            <w:vAlign w:val="center"/>
            <w:tcMar>
              <w:top w:w="80" w:type="dxa"/>
              <w:start w:w="120" w:type="dxa"/>
              <w:bottom w:w="80" w:type="dxa"/>
              <w:end w:w="120" w:type="dxa"/>
            </w:tcMar>
          </w:tcPr>
          <w:p>
            <w:r>
              <w:t>CompositeConstituentLink</w:t>
            </w:r>
          </w:p>
        </w:tc>
        <w:tc>
          <w:tcPr>
            <w:tcW w:type="dxa" w:w="5990"/>
            <w:vAlign w:val="center"/>
            <w:tcMar>
              <w:top w:w="80" w:type="dxa"/>
              <w:start w:w="120" w:type="dxa"/>
              <w:bottom w:w="80" w:type="dxa"/>
              <w:end w:w="120" w:type="dxa"/>
            </w:tcMar>
          </w:tcPr>
          <w:p>
            <w:r>
              <w:t>Controlled union of EXECUTION_RESULT (PASS/FAIL) or SUSPENSION_RESULT (BLOCKED-TEST). Suspension must resolve a trusted target-selection anchor to the exact required case; client case_id text is insufficient.</w:t>
            </w:r>
          </w:p>
        </w:tc>
      </w:tr>
      <w:tr>
        <w:tc>
          <w:tcPr>
            <w:tcW w:type="dxa" w:w="3370"/>
          </w:tcPr>
          <w:p>
            <w:r>
              <w:t>ValidationAttempt / ValidationTargetSelection</w:t>
            </w:r>
          </w:p>
        </w:tc>
        <w:tc>
          <w:tcPr>
            <w:tcW w:type="dxa" w:w="5990"/>
          </w:tcPr>
          <w:p>
            <w:r>
              <w:t>Attempt lifecycle plus immutable campaign/test-selection authority, intended test/case/input identities and canonical selection hash; the anchor exists before entry and is separate from successfully resolved source identities.</w:t>
            </w:r>
          </w:p>
        </w:tc>
      </w:tr>
    </w:tbl>
    <w:p/>
    <w:p>
      <w:pPr>
        <w:pStyle w:val="Heading2"/>
      </w:pPr>
      <w:r>
        <w:t>37.2 Module, API and Authority Boundaries</w:t>
      </w:r>
    </w:p>
    <w:p>
      <w:pPr/>
      <w:r>
        <w:t>A trusted campaign/test-selection resolver creates the immutable ValidationTargetSelection and intended target before entry. The validation-assurance service resolves available source identities, keeps target application and assurance-verifier builds separate, evaluates the versioned single-condition classifier, validates evidence/authority, generates the reason, finalises suspension and supplies DC-004 linkage. Scenario/topology/outage/restoration modules provide preserved facts only. Export packages finalised records without reconstruction.</w:t>
      </w:r>
    </w:p>
    <w:p>
      <w:pPr/>
      <w:r>
        <w:t>The API accepts an evaluation against an existing trusted target_selection_id plus evidence references, not a client-authoritative case ID, verdict or reason. V1 machine-enforces controlled local actor_id/role eligibility, distinct proposal/finalisation actor IDs, audit linkage and immutable finalisation for judgement-based conditions; independent engineering review, not cryptography, asserts real human independence. Backend conditions use resolver/verifier facts the client cannot override.</w:t>
      </w:r>
    </w:p>
    <w:p>
      <w:pPr>
        <w:pStyle w:val="Heading2"/>
      </w:pPr>
      <w:r>
        <w:t>37.3 Persistence and Atomic Immutability</w:t>
      </w:r>
    </w:p>
    <w:p>
      <w:pPr/>
      <w:r>
        <w:t>SQLite separates target selections, validation attempts, condition/classifier registry, suspension header, evidence membership and reviewer-authority audit. Finalisation atomically freezes the target anchor, evaluated classifier gates, selected condition, evidence membership and reason; an existing attempt/run context is terminally linked SUSPENDED while no ExecutedValidationResult is created. Triggers reject replacement, late membership or reclassification. Repeats create new identities; historical drafts are read-only.</w:t>
      </w:r>
    </w:p>
    <w:p>
      <w:pPr>
        <w:pStyle w:val="Heading2"/>
      </w:pPr>
      <w:r>
        <w:t>37.4 Review Presentation and Progress</w:t>
      </w:r>
    </w:p>
    <w:p>
      <w:pPr/>
      <w:r>
        <w:t>Validation/Evidence shows target-selection authority/hash, intended test/case/input, resolved source identities, failed input role/presented evidence, target application build separately from assurance-verifier build, classifier version/gates/selected condition, actual run/execution where present, actor controls, evidence checklist and reason fingerprint. PRE_EXECUTION_ENTRY never displays a fabricated run or implies an ExecutedValidationResult. Optional notes remain subordinate.</w:t>
      </w:r>
    </w:p>
    <w:p>
      <w:pPr/>
      <w:r>
        <w:t>The UI offers no BLOCKED-TEST selector. It presents backend-owned eligibility/finalisation actions. FORMAL BLOCKED-TEST totals use finalised FORMAL suspension determinations, while execution totals increase only for real executions. EXPLORATORY suspension/composite records cannot affect FORMAL progress, preserving QA-034.</w:t>
      </w:r>
    </w:p>
    <w:p>
      <w:pPr>
        <w:pStyle w:val="Heading2"/>
      </w:pPr>
      <w:r>
        <w:t>37.5 DC-004 Composite and Export Treatment</w:t>
      </w:r>
    </w:p>
    <w:p>
      <w:pPr/>
      <w:r>
        <w:t>The composite read model exposes each case source kind. EXECUTION_RESULT requires immutable ExecutedValidationResult/run/evidence and PASS/FAIL. SUSPENSION_RESULT requires a finalised suspension whose trusted target selection resolves to the exact required case; it never trusts client case_id text or a stored enum. Actual run/execution identities remain visible when present. Missing, unanchored or invalid sources remain INCOMPLETE.</w:t>
      </w:r>
    </w:p>
    <w:p>
      <w:pPr/>
      <w:r>
        <w:t>Per-source and composite packages include suspension registry/record/evidence/authority/reason data, linked execution/run where applicable, original catalogue/test/case/build provenance and separate generation build. Package integrity and append-only identity controls remain those accepted under I8/DC-004. No operational event type is added.</w:t>
      </w:r>
    </w:p>
    <w:p>
      <w:pPr>
        <w:pStyle w:val="Heading2"/>
      </w:pPr>
      <w:r>
        <w:t>37.6 Implementation Impact, Prohibitions and Gate</w:t>
      </w:r>
    </w:p>
    <w:tbl>
      <w:tblPr>
        <w:tblW w:type="dxa" w:w="9360"/>
        <w:tblLayout w:type="fixed"/>
        <w:tblLook w:firstColumn="1" w:firstRow="1" w:lastColumn="0" w:lastRow="0" w:noHBand="0" w:noVBand="1" w:val="04A0"/>
        <w:jc w:val="left"/>
        <w:tblInd w:type="dxa" w:w="120"/>
      </w:tblPr>
      <w:tblGrid>
        <w:gridCol w:w="4493"/>
        <w:gridCol w:w="4867"/>
      </w:tblGrid>
      <w:tr>
        <w:trPr>
          <w:tblHeader w:val="true"/>
        </w:trPr>
        <w:tc>
          <w:tcPr>
            <w:tcW w:type="dxa" w:w="4493"/>
            <w:vAlign w:val="center"/>
            <w:tcMar>
              <w:top w:w="80" w:type="dxa"/>
              <w:start w:w="120" w:type="dxa"/>
              <w:bottom w:w="80" w:type="dxa"/>
              <w:end w:w="120" w:type="dxa"/>
            </w:tcMar>
            <w:shd w:fill="E7E7E7"/>
          </w:tcPr>
          <w:p>
            <w:r>
              <w:rPr>
                <w:b/>
              </w:rPr>
              <w:t>Permitted future application impact</w:t>
            </w:r>
          </w:p>
        </w:tc>
        <w:tc>
          <w:tcPr>
            <w:tcW w:type="dxa" w:w="4867"/>
            <w:vAlign w:val="center"/>
            <w:tcMar>
              <w:top w:w="80" w:type="dxa"/>
              <w:start w:w="120" w:type="dxa"/>
              <w:bottom w:w="80" w:type="dxa"/>
              <w:end w:w="120" w:type="dxa"/>
            </w:tcMar>
            <w:shd w:fill="E7E7E7"/>
          </w:tcPr>
          <w:p>
            <w:r>
              <w:rPr>
                <w:b/>
              </w:rPr>
              <w:t>Explicitly prohibited</w:t>
            </w:r>
          </w:p>
        </w:tc>
      </w:tr>
      <w:tr>
        <w:trPr/>
        <w:tc>
          <w:tcPr>
            <w:tcW w:type="dxa" w:w="4493"/>
            <w:vAlign w:val="center"/>
            <w:tcMar>
              <w:top w:w="80" w:type="dxa"/>
              <w:start w:w="120" w:type="dxa"/>
              <w:bottom w:w="80" w:type="dxa"/>
              <w:end w:w="120" w:type="dxa"/>
            </w:tcMar>
          </w:tcPr>
          <w:p>
            <w:r>
              <w:t>Validation enums/contracts; suspension repository/migration/service; execution terminal relationship; composite union/link validation; API/read model; review UI; export; focused tests.</w:t>
            </w:r>
          </w:p>
        </w:tc>
        <w:tc>
          <w:tcPr>
            <w:tcW w:type="dxa" w:w="4867"/>
            <w:vAlign w:val="center"/>
            <w:tcMar>
              <w:top w:w="80" w:type="dxa"/>
              <w:start w:w="120" w:type="dxa"/>
              <w:bottom w:w="80" w:type="dxa"/>
              <w:end w:w="120" w:type="dxa"/>
            </w:tcMar>
          </w:tcPr>
          <w:p>
            <w:r>
              <w:t>Client-selected verdict/reason; arbitrary free-text suspension; unrelated evidence; fictional runs; case-specific verdict rules; operational-event type 16; topology/outage/restoration/DC-003 change; I9 work.</w:t>
            </w:r>
          </w:p>
        </w:tc>
      </w:tr>
    </w:tbl>
    <w:p/>
    <w:p>
      <w:pPr/>
      <w:r>
        <w:t>Future verification is the exact matrix in Validation Plan Section 20.7 and DC-005 Section 15, including clarified attempt/result semantics, deterministic non-overlap, trusted target anchor, target/verifier build separation, actor-control boundary, every evidence/authority negative, composite precedence, immutability, history/export, FORMAL separation and unchanged controlled counts/hashes.</w:t>
      </w:r>
    </w:p>
    <w:p>
      <w:pPr/>
      <w:r>
        <w:t>DC-005 and Section 37 are accepted as the authoritative suspension-assurance design, and Demonstrator Design v0.4 supersedes v0.3 as the current demonstrator-design baseline. This design acceptance does not modify PR #10, apply QA-041/QA-042 or resume I9; application requires separate authorisation and independent review.</w:t>
      </w:r>
    </w:p>
    <w:p>
      <w:r>
        <w:br w:type="page"/>
      </w:r>
    </w:p>
    <w:p>
      <w:pPr>
        <w:pStyle w:val="Heading1"/>
      </w:pPr>
      <w:r>
        <w:t>38. Accepted Controlled Amendment — DC-006 Determination Demonstrator Design</w:t>
      </w:r>
    </w:p>
    <w:p>
      <w:r>
        <w:t>This accepted Section 38 defines the application structures required to implement the accepted DC-006 design in a future separately authorised phase. It changes validation-assurance design only. Demonstrator Design v0.5 is the accepted current demonstrator-design baseline and supersedes v0.4. Machine/catalogue application requires separate authorisation and I9 remains stopped.</w:t>
      </w:r>
    </w:p>
    <w:p>
      <w:pPr>
        <w:pStyle w:val="Heading2"/>
      </w:pPr>
      <w:r>
        <w:t>38.1 Contracts and Information Separation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DeterminationMethodDefinition</w:t>
            </w:r>
          </w:p>
        </w:tc>
        <w:tc>
          <w:tcPr>
            <w:tcW w:type="dxa" w:w="7260"/>
            <w:vAlign w:val="center"/>
            <w:tcMar>
              <w:top w:w="90" w:type="dxa"/>
              <w:left w:w="90" w:type="dxa"/>
              <w:bottom w:w="90" w:type="dxa"/>
              <w:right w:w="90" w:type="dxa"/>
            </w:tcMar>
          </w:tcPr>
          <w:p>
            <w:pPr>
              <w:spacing w:before="0" w:after="40" w:line="240" w:lineRule="auto"/>
            </w:pPr>
            <w:r>
              <w:rPr>
                <w:sz w:val="17"/>
              </w:rPr>
              <w:t>Immutable Validation Catalogue data: method ID/version/hash; test/optional case; evidence class; context kind; exact roles/checkpoints; criterion set; aggregate; source references; derived coverage.</w:t>
            </w:r>
          </w:p>
        </w:tc>
      </w:tr>
      <w:tr>
        <w:tc>
          <w:tcPr>
            <w:tcW w:type="dxa" w:w="2100"/>
            <w:vAlign w:val="center"/>
            <w:tcMar>
              <w:top w:w="90" w:type="dxa"/>
              <w:left w:w="90" w:type="dxa"/>
              <w:bottom w:w="90" w:type="dxa"/>
              <w:right w:w="90" w:type="dxa"/>
            </w:tcMar>
          </w:tcPr>
          <w:p>
            <w:pPr>
              <w:spacing w:before="0" w:after="40" w:line="240" w:lineRule="auto"/>
            </w:pPr>
            <w:r>
              <w:rPr>
                <w:sz w:val="17"/>
              </w:rPr>
              <w:t>CriterionDefinition</w:t>
            </w:r>
          </w:p>
        </w:tc>
        <w:tc>
          <w:tcPr>
            <w:tcW w:type="dxa" w:w="7260"/>
            <w:vAlign w:val="center"/>
            <w:tcMar>
              <w:top w:w="90" w:type="dxa"/>
              <w:left w:w="90" w:type="dxa"/>
              <w:bottom w:w="90" w:type="dxa"/>
              <w:right w:w="90" w:type="dxa"/>
            </w:tcMar>
          </w:tcPr>
          <w:p>
            <w:pPr>
              <w:spacing w:before="0" w:after="40" w:line="240" w:lineRule="auto"/>
            </w:pPr>
            <w:r>
              <w:rPr>
                <w:sz w:val="17"/>
              </w:rPr>
              <w:t>Immutable definition: ID/version/hash; kind; parent/optional case; context/checkpoint; expected value or proposition; source selector; operator/normalisation; evidence roles; requirement_ids.</w:t>
            </w:r>
          </w:p>
        </w:tc>
      </w:tr>
      <w:tr>
        <w:tc>
          <w:tcPr>
            <w:tcW w:type="dxa" w:w="2100"/>
            <w:vAlign w:val="center"/>
            <w:tcMar>
              <w:top w:w="90" w:type="dxa"/>
              <w:left w:w="90" w:type="dxa"/>
              <w:bottom w:w="90" w:type="dxa"/>
              <w:right w:w="90" w:type="dxa"/>
            </w:tcMar>
          </w:tcPr>
          <w:p>
            <w:pPr>
              <w:spacing w:before="0" w:after="40" w:line="240" w:lineRule="auto"/>
            </w:pPr>
            <w:r>
              <w:rPr>
                <w:sz w:val="17"/>
              </w:rPr>
              <w:t>DeterminationContext</w:t>
            </w:r>
          </w:p>
        </w:tc>
        <w:tc>
          <w:tcPr>
            <w:tcW w:type="dxa" w:w="7260"/>
            <w:vAlign w:val="center"/>
            <w:tcMar>
              <w:top w:w="90" w:type="dxa"/>
              <w:left w:w="90" w:type="dxa"/>
              <w:bottom w:w="90" w:type="dxa"/>
              <w:right w:w="90" w:type="dxa"/>
            </w:tcMar>
          </w:tcPr>
          <w:p>
            <w:pPr>
              <w:spacing w:before="0" w:after="40" w:line="240" w:lineRule="auto"/>
            </w:pPr>
            <w:r>
              <w:rPr>
                <w:sz w:val="17"/>
              </w:rPr>
              <w:t>Immutable header plus exactly one typed binding: scenario execution, fixture execution, preserved record set or engineering review. Composite parents own none.</w:t>
            </w:r>
          </w:p>
        </w:tc>
      </w:tr>
      <w:tr>
        <w:tc>
          <w:tcPr>
            <w:tcW w:type="dxa" w:w="2100"/>
            <w:vAlign w:val="center"/>
            <w:tcMar>
              <w:top w:w="90" w:type="dxa"/>
              <w:left w:w="90" w:type="dxa"/>
              <w:bottom w:w="90" w:type="dxa"/>
              <w:right w:w="90" w:type="dxa"/>
            </w:tcMar>
          </w:tcPr>
          <w:p>
            <w:pPr>
              <w:spacing w:before="0" w:after="40" w:line="240" w:lineRule="auto"/>
            </w:pPr>
            <w:r>
              <w:rPr>
                <w:sz w:val="17"/>
              </w:rPr>
              <w:t>CriterionFinding</w:t>
            </w:r>
          </w:p>
        </w:tc>
        <w:tc>
          <w:tcPr>
            <w:tcW w:type="dxa" w:w="7260"/>
            <w:vAlign w:val="center"/>
            <w:tcMar>
              <w:top w:w="90" w:type="dxa"/>
              <w:left w:w="90" w:type="dxa"/>
              <w:bottom w:w="90" w:type="dxa"/>
              <w:right w:w="90" w:type="dxa"/>
            </w:tcMar>
          </w:tcPr>
          <w:p>
            <w:pPr>
              <w:spacing w:before="0" w:after="40" w:line="240" w:lineRule="auto"/>
            </w:pPr>
            <w:r>
              <w:rPr>
                <w:sz w:val="17"/>
              </w:rPr>
              <w:t>Immutable expected/observed or reviewer finding with source/evidence/provenance, NOT_EVALUATED/SATISFIED/NOT_SATISFIED, reason and hash.</w:t>
            </w:r>
          </w:p>
        </w:tc>
      </w:tr>
      <w:tr>
        <w:tc>
          <w:tcPr>
            <w:tcW w:type="dxa" w:w="2100"/>
            <w:vAlign w:val="center"/>
            <w:tcMar>
              <w:top w:w="90" w:type="dxa"/>
              <w:left w:w="90" w:type="dxa"/>
              <w:bottom w:w="90" w:type="dxa"/>
              <w:right w:w="90" w:type="dxa"/>
            </w:tcMar>
          </w:tcPr>
          <w:p>
            <w:pPr>
              <w:spacing w:before="0" w:after="40" w:line="240" w:lineRule="auto"/>
            </w:pPr>
            <w:r>
              <w:rPr>
                <w:sz w:val="17"/>
              </w:rPr>
              <w:t>ExecutedValidationResult</w:t>
            </w:r>
          </w:p>
        </w:tc>
        <w:tc>
          <w:tcPr>
            <w:tcW w:type="dxa" w:w="7260"/>
            <w:vAlign w:val="center"/>
            <w:tcMar>
              <w:top w:w="90" w:type="dxa"/>
              <w:left w:w="90" w:type="dxa"/>
              <w:bottom w:w="90" w:type="dxa"/>
              <w:right w:w="90" w:type="dxa"/>
            </w:tcMar>
          </w:tcPr>
          <w:p>
            <w:pPr>
              <w:spacing w:before="0" w:after="40" w:line="240" w:lineRule="auto"/>
            </w:pPr>
            <w:r>
              <w:rPr>
                <w:sz w:val="17"/>
              </w:rPr>
              <w:t>Existing PASS/FAIL result created only by backend deterministic aggregate for a complete non-composite/case execution.</w:t>
            </w:r>
          </w:p>
        </w:tc>
      </w:tr>
      <w:tr>
        <w:tc>
          <w:tcPr>
            <w:tcW w:type="dxa" w:w="2100"/>
            <w:vAlign w:val="center"/>
            <w:tcMar>
              <w:top w:w="90" w:type="dxa"/>
              <w:left w:w="90" w:type="dxa"/>
              <w:bottom w:w="90" w:type="dxa"/>
              <w:right w:w="90" w:type="dxa"/>
            </w:tcMar>
          </w:tcPr>
          <w:p>
            <w:pPr>
              <w:spacing w:before="0" w:after="40" w:line="240" w:lineRule="auto"/>
            </w:pPr>
            <w:r>
              <w:rPr>
                <w:sz w:val="17"/>
              </w:rPr>
              <w:t>CompositeValidationResult</w:t>
            </w:r>
          </w:p>
        </w:tc>
        <w:tc>
          <w:tcPr>
            <w:tcW w:type="dxa" w:w="7260"/>
            <w:vAlign w:val="center"/>
            <w:tcMar>
              <w:top w:w="90" w:type="dxa"/>
              <w:left w:w="90" w:type="dxa"/>
              <w:bottom w:w="90" w:type="dxa"/>
              <w:right w:w="90" w:type="dxa"/>
            </w:tcMar>
          </w:tcPr>
          <w:p>
            <w:pPr>
              <w:spacing w:before="0" w:after="40" w:line="240" w:lineRule="auto"/>
            </w:pPr>
            <w:r>
              <w:rPr>
                <w:sz w:val="17"/>
              </w:rPr>
              <w:t>Existing DC-004 parent result over exact constituent sources; remains separate from execution/result records.</w:t>
            </w:r>
          </w:p>
        </w:tc>
      </w:tr>
      <w:tr>
        <w:tc>
          <w:tcPr>
            <w:tcW w:type="dxa" w:w="2100"/>
            <w:vAlign w:val="center"/>
            <w:tcMar>
              <w:top w:w="90" w:type="dxa"/>
              <w:left w:w="90" w:type="dxa"/>
              <w:bottom w:w="90" w:type="dxa"/>
              <w:right w:w="90" w:type="dxa"/>
            </w:tcMar>
          </w:tcPr>
          <w:p>
            <w:pPr>
              <w:spacing w:before="0" w:after="40" w:line="240" w:lineRule="auto"/>
            </w:pPr>
            <w:r>
              <w:rPr>
                <w:sz w:val="17"/>
              </w:rPr>
              <w:t>ValidationSuspensionRecord</w:t>
            </w:r>
          </w:p>
        </w:tc>
        <w:tc>
          <w:tcPr>
            <w:tcW w:type="dxa" w:w="7260"/>
            <w:vAlign w:val="center"/>
            <w:tcMar>
              <w:top w:w="90" w:type="dxa"/>
              <w:left w:w="90" w:type="dxa"/>
              <w:bottom w:w="90" w:type="dxa"/>
              <w:right w:w="90" w:type="dxa"/>
            </w:tcMar>
          </w:tcPr>
          <w:p>
            <w:pPr>
              <w:spacing w:before="0" w:after="40" w:line="240" w:lineRule="auto"/>
            </w:pPr>
            <w:r>
              <w:rPr>
                <w:sz w:val="17"/>
              </w:rPr>
              <w:t>Existing DC-005 BLOCKED-TEST source; no PASS/FAIL result; remains separate from engineering operational BLOCKED.</w:t>
            </w:r>
          </w:p>
        </w:tc>
      </w:tr>
    </w:tbl>
    <w:p>
      <w:pPr>
        <w:pStyle w:val="Heading2"/>
      </w:pPr>
      <w:r>
        <w:t>38.2 Module Ownership and Generic Adapters</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validation</w:t>
            </w:r>
          </w:p>
        </w:tc>
        <w:tc>
          <w:tcPr>
            <w:tcW w:type="dxa" w:w="7260"/>
            <w:vAlign w:val="center"/>
            <w:tcMar>
              <w:top w:w="90" w:type="dxa"/>
              <w:left w:w="90" w:type="dxa"/>
              <w:bottom w:w="90" w:type="dxa"/>
              <w:right w:w="90" w:type="dxa"/>
            </w:tcMar>
          </w:tcPr>
          <w:p>
            <w:pPr>
              <w:spacing w:before="0" w:after="40" w:line="240" w:lineRule="auto"/>
            </w:pPr>
            <w:r>
              <w:rPr>
                <w:sz w:val="17"/>
              </w:rPr>
              <w:t>Loads/resolves method/criterion definitions and historical Validation Catalogue revisions; validates exact direct/case coverage; binds contexts; evaluates findings; derives direct results.</w:t>
            </w:r>
          </w:p>
        </w:tc>
      </w:tr>
      <w:tr>
        <w:tc>
          <w:tcPr>
            <w:tcW w:type="dxa" w:w="2100"/>
            <w:vAlign w:val="center"/>
            <w:tcMar>
              <w:top w:w="90" w:type="dxa"/>
              <w:left w:w="90" w:type="dxa"/>
              <w:bottom w:w="90" w:type="dxa"/>
              <w:right w:w="90" w:type="dxa"/>
            </w:tcMar>
          </w:tcPr>
          <w:p>
            <w:pPr>
              <w:spacing w:before="0" w:after="40" w:line="240" w:lineRule="auto"/>
            </w:pPr>
            <w:r>
              <w:rPr>
                <w:sz w:val="17"/>
              </w:rPr>
              <w:t>scenario/topology/outage/telemetry/restoration/events</w:t>
            </w:r>
          </w:p>
        </w:tc>
        <w:tc>
          <w:tcPr>
            <w:tcW w:type="dxa" w:w="7260"/>
            <w:vAlign w:val="center"/>
            <w:tcMar>
              <w:top w:w="90" w:type="dxa"/>
              <w:left w:w="90" w:type="dxa"/>
              <w:bottom w:w="90" w:type="dxa"/>
              <w:right w:w="90" w:type="dxa"/>
            </w:tcMar>
          </w:tcPr>
          <w:p>
            <w:pPr>
              <w:spacing w:before="0" w:after="40" w:line="240" w:lineRule="auto"/>
            </w:pPr>
            <w:r>
              <w:rPr>
                <w:sz w:val="17"/>
              </w:rPr>
              <w:t>Remain exclusive engineering/operational authorities and expose preserved typed records through read-only adapter contracts.</w:t>
            </w:r>
          </w:p>
        </w:tc>
      </w:tr>
      <w:tr>
        <w:tc>
          <w:tcPr>
            <w:tcW w:type="dxa" w:w="2100"/>
            <w:vAlign w:val="center"/>
            <w:tcMar>
              <w:top w:w="90" w:type="dxa"/>
              <w:left w:w="90" w:type="dxa"/>
              <w:bottom w:w="90" w:type="dxa"/>
              <w:right w:w="90" w:type="dxa"/>
            </w:tcMar>
          </w:tcPr>
          <w:p>
            <w:pPr>
              <w:spacing w:before="0" w:after="40" w:line="240" w:lineRule="auto"/>
            </w:pPr>
            <w:r>
              <w:rPr>
                <w:sz w:val="17"/>
              </w:rPr>
              <w:t>validation_assurance</w:t>
            </w:r>
          </w:p>
        </w:tc>
        <w:tc>
          <w:tcPr>
            <w:tcW w:type="dxa" w:w="7260"/>
            <w:vAlign w:val="center"/>
            <w:tcMar>
              <w:top w:w="90" w:type="dxa"/>
              <w:left w:w="90" w:type="dxa"/>
              <w:bottom w:w="90" w:type="dxa"/>
              <w:right w:w="90" w:type="dxa"/>
            </w:tcMar>
          </w:tcPr>
          <w:p>
            <w:pPr>
              <w:spacing w:before="0" w:after="40" w:line="240" w:lineRule="auto"/>
            </w:pPr>
            <w:r>
              <w:rPr>
                <w:sz w:val="17"/>
              </w:rPr>
              <w:t>Owns reviewer proposal/finalisation controls, completeness diagnostics, DC-004 composite coordination and DC-005 integration without replacing either accepted engine.</w:t>
            </w:r>
          </w:p>
        </w:tc>
      </w:tr>
      <w:tr>
        <w:tc>
          <w:tcPr>
            <w:tcW w:type="dxa" w:w="2100"/>
            <w:vAlign w:val="center"/>
            <w:tcMar>
              <w:top w:w="90" w:type="dxa"/>
              <w:left w:w="90" w:type="dxa"/>
              <w:bottom w:w="90" w:type="dxa"/>
              <w:right w:w="90" w:type="dxa"/>
            </w:tcMar>
          </w:tcPr>
          <w:p>
            <w:pPr>
              <w:spacing w:before="0" w:after="40" w:line="240" w:lineRule="auto"/>
            </w:pPr>
            <w:r>
              <w:rPr>
                <w:sz w:val="17"/>
              </w:rPr>
              <w:t>evidence_export</w:t>
            </w:r>
          </w:p>
        </w:tc>
        <w:tc>
          <w:tcPr>
            <w:tcW w:type="dxa" w:w="7260"/>
            <w:vAlign w:val="center"/>
            <w:tcMar>
              <w:top w:w="90" w:type="dxa"/>
              <w:left w:w="90" w:type="dxa"/>
              <w:bottom w:w="90" w:type="dxa"/>
              <w:right w:w="90" w:type="dxa"/>
            </w:tcMar>
          </w:tcPr>
          <w:p>
            <w:pPr>
              <w:spacing w:before="0" w:after="40" w:line="240" w:lineRule="auto"/>
            </w:pPr>
            <w:r>
              <w:rPr>
                <w:sz w:val="17"/>
              </w:rPr>
              <w:t>Packages source definition, context, criteria, findings, requirement/evidence links, direct/composite/suspension source chains and separate source/generation build identities.</w:t>
            </w:r>
          </w:p>
        </w:tc>
      </w:tr>
      <w:tr>
        <w:tc>
          <w:tcPr>
            <w:tcW w:type="dxa" w:w="2100"/>
            <w:vAlign w:val="center"/>
            <w:tcMar>
              <w:top w:w="90" w:type="dxa"/>
              <w:left w:w="90" w:type="dxa"/>
              <w:bottom w:w="90" w:type="dxa"/>
              <w:right w:w="90" w:type="dxa"/>
            </w:tcMar>
          </w:tcPr>
          <w:p>
            <w:pPr>
              <w:spacing w:before="0" w:after="40" w:line="240" w:lineRule="auto"/>
            </w:pPr>
            <w:r>
              <w:rPr>
                <w:sz w:val="17"/>
              </w:rPr>
              <w:t>workspace/API/frontend</w:t>
            </w:r>
          </w:p>
        </w:tc>
        <w:tc>
          <w:tcPr>
            <w:tcW w:type="dxa" w:w="7260"/>
            <w:vAlign w:val="center"/>
            <w:tcMar>
              <w:top w:w="90" w:type="dxa"/>
              <w:left w:w="90" w:type="dxa"/>
              <w:bottom w:w="90" w:type="dxa"/>
              <w:right w:w="90" w:type="dxa"/>
            </w:tcMar>
          </w:tcPr>
          <w:p>
            <w:pPr>
              <w:spacing w:before="0" w:after="40" w:line="240" w:lineRule="auto"/>
            </w:pPr>
            <w:r>
              <w:rPr>
                <w:sz w:val="17"/>
              </w:rPr>
              <w:t>Presents backend-owned projections/actions. It never selects source values, applies operators, judges reviewer propositions, totals coverage or chooses a verdict.</w:t>
            </w:r>
          </w:p>
        </w:tc>
      </w:tr>
    </w:tbl>
    <w:p>
      <w:r>
        <w:t>The adapter registry is typed and versioned. Selectors address actual preserved backend records; every criterion uses exactly one accepted primitive operator and a separate definition-owned normalisation profile. Compound assertions are split or use a deterministic derived selector; no new parameterised/compound operator is permitted. No production branch may return an observed value or verdict by test_id, case_id, section ID, Network Configuration version or expected-outcome lookup.</w:t>
      </w:r>
    </w:p>
    <w:p>
      <w:pPr>
        <w:pStyle w:val="Heading2"/>
      </w:pPr>
      <w:r>
        <w:t>38.3 Persistence and Atomic Immutability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Definition packages</w:t>
            </w:r>
          </w:p>
        </w:tc>
        <w:tc>
          <w:tcPr>
            <w:tcW w:type="dxa" w:w="7260"/>
            <w:vAlign w:val="center"/>
            <w:tcMar>
              <w:top w:w="90" w:type="dxa"/>
              <w:left w:w="90" w:type="dxa"/>
              <w:bottom w:w="90" w:type="dxa"/>
              <w:right w:w="90" w:type="dxa"/>
            </w:tcMar>
          </w:tcPr>
          <w:p>
            <w:pPr>
              <w:spacing w:before="0" w:after="40" w:line="240" w:lineRule="auto"/>
            </w:pPr>
            <w:r>
              <w:rPr>
                <w:sz w:val="17"/>
              </w:rPr>
              <w:t>Future promoted Validation Catalogue package stores methods/criteria/case mappings and hashes; accepted v1.0/v1.1 catalogue packages remain byte-identical historical input.</w:t>
            </w:r>
          </w:p>
        </w:tc>
      </w:tr>
      <w:tr>
        <w:tc>
          <w:tcPr>
            <w:tcW w:type="dxa" w:w="2100"/>
            <w:vAlign w:val="center"/>
            <w:tcMar>
              <w:top w:w="90" w:type="dxa"/>
              <w:left w:w="90" w:type="dxa"/>
              <w:bottom w:w="90" w:type="dxa"/>
              <w:right w:w="90" w:type="dxa"/>
            </w:tcMar>
          </w:tcPr>
          <w:p>
            <w:pPr>
              <w:spacing w:before="0" w:after="40" w:line="240" w:lineRule="auto"/>
            </w:pPr>
            <w:r>
              <w:rPr>
                <w:sz w:val="17"/>
              </w:rPr>
              <w:t>Context tables</w:t>
            </w:r>
          </w:p>
        </w:tc>
        <w:tc>
          <w:tcPr>
            <w:tcW w:type="dxa" w:w="7260"/>
            <w:vAlign w:val="center"/>
            <w:tcMar>
              <w:top w:w="90" w:type="dxa"/>
              <w:left w:w="90" w:type="dxa"/>
              <w:bottom w:w="90" w:type="dxa"/>
              <w:right w:w="90" w:type="dxa"/>
            </w:tcMar>
          </w:tcPr>
          <w:p>
            <w:pPr>
              <w:spacing w:before="0" w:after="40" w:line="240" w:lineRule="auto"/>
            </w:pPr>
            <w:r>
              <w:rPr>
                <w:sz w:val="17"/>
              </w:rPr>
              <w:t>Separate typed headers/members for scenario, fixture, record-set and review contexts; exact membership freezes before final evaluation.</w:t>
            </w:r>
          </w:p>
        </w:tc>
      </w:tr>
      <w:tr>
        <w:tc>
          <w:tcPr>
            <w:tcW w:type="dxa" w:w="2100"/>
            <w:vAlign w:val="center"/>
            <w:tcMar>
              <w:top w:w="90" w:type="dxa"/>
              <w:left w:w="90" w:type="dxa"/>
              <w:bottom w:w="90" w:type="dxa"/>
              <w:right w:w="90" w:type="dxa"/>
            </w:tcMar>
          </w:tcPr>
          <w:p>
            <w:pPr>
              <w:spacing w:before="0" w:after="40" w:line="240" w:lineRule="auto"/>
            </w:pPr>
            <w:r>
              <w:rPr>
                <w:sz w:val="17"/>
              </w:rPr>
              <w:t>Finding/review tables</w:t>
            </w:r>
          </w:p>
        </w:tc>
        <w:tc>
          <w:tcPr>
            <w:tcW w:type="dxa" w:w="7260"/>
            <w:vAlign w:val="center"/>
            <w:tcMar>
              <w:top w:w="90" w:type="dxa"/>
              <w:left w:w="90" w:type="dxa"/>
              <w:bottom w:w="90" w:type="dxa"/>
              <w:right w:w="90" w:type="dxa"/>
            </w:tcMar>
          </w:tcPr>
          <w:p>
            <w:pPr>
              <w:spacing w:before="0" w:after="40" w:line="240" w:lineRule="auto"/>
            </w:pPr>
            <w:r>
              <w:rPr>
                <w:sz w:val="17"/>
              </w:rPr>
              <w:t>Machine finding plus source/evidence links; review proposal and independent finalisation actor/role/reason/evidence audit.</w:t>
            </w:r>
          </w:p>
        </w:tc>
      </w:tr>
      <w:tr>
        <w:tc>
          <w:tcPr>
            <w:tcW w:type="dxa" w:w="2100"/>
            <w:vAlign w:val="center"/>
            <w:tcMar>
              <w:top w:w="90" w:type="dxa"/>
              <w:left w:w="90" w:type="dxa"/>
              <w:bottom w:w="90" w:type="dxa"/>
              <w:right w:w="90" w:type="dxa"/>
            </w:tcMar>
          </w:tcPr>
          <w:p>
            <w:pPr>
              <w:spacing w:before="0" w:after="40" w:line="240" w:lineRule="auto"/>
            </w:pPr>
            <w:r>
              <w:rPr>
                <w:sz w:val="17"/>
              </w:rPr>
              <w:t>Result/completeness</w:t>
            </w:r>
          </w:p>
        </w:tc>
        <w:tc>
          <w:tcPr>
            <w:tcW w:type="dxa" w:w="7260"/>
            <w:vAlign w:val="center"/>
            <w:tcMar>
              <w:top w:w="90" w:type="dxa"/>
              <w:left w:w="90" w:type="dxa"/>
              <w:bottom w:w="90" w:type="dxa"/>
              <w:right w:w="90" w:type="dxa"/>
            </w:tcMar>
          </w:tcPr>
          <w:p>
            <w:pPr>
              <w:spacing w:before="0" w:after="40" w:line="240" w:lineRule="auto"/>
            </w:pPr>
            <w:r>
              <w:rPr>
                <w:sz w:val="17"/>
              </w:rPr>
              <w:t>Direct result and completeness diagnostics; existing composite/suspension records remain separate and linked by controlled source identities.</w:t>
            </w:r>
          </w:p>
        </w:tc>
      </w:tr>
      <w:tr>
        <w:tc>
          <w:tcPr>
            <w:tcW w:type="dxa" w:w="2100"/>
            <w:vAlign w:val="center"/>
            <w:tcMar>
              <w:top w:w="90" w:type="dxa"/>
              <w:left w:w="90" w:type="dxa"/>
              <w:bottom w:w="90" w:type="dxa"/>
              <w:right w:w="90" w:type="dxa"/>
            </w:tcMar>
          </w:tcPr>
          <w:p>
            <w:pPr>
              <w:spacing w:before="0" w:after="40" w:line="240" w:lineRule="auto"/>
            </w:pPr>
            <w:r>
              <w:rPr>
                <w:sz w:val="17"/>
              </w:rPr>
              <w:t>Database guards</w:t>
            </w:r>
          </w:p>
        </w:tc>
        <w:tc>
          <w:tcPr>
            <w:tcW w:type="dxa" w:w="7260"/>
            <w:vAlign w:val="center"/>
            <w:tcMar>
              <w:top w:w="90" w:type="dxa"/>
              <w:left w:w="90" w:type="dxa"/>
              <w:bottom w:w="90" w:type="dxa"/>
              <w:right w:w="90" w:type="dxa"/>
            </w:tcMar>
          </w:tcPr>
          <w:p>
            <w:pPr>
              <w:spacing w:before="0" w:after="40" w:line="240" w:lineRule="auto"/>
            </w:pPr>
            <w:r>
              <w:rPr>
                <w:sz w:val="17"/>
              </w:rPr>
              <w:t>Reject final record update/delete, criterion/context member substitution, late evidence insertion, reviewer-authority mutation, result override and parent-composite direct-result insertion.</w:t>
            </w:r>
          </w:p>
        </w:tc>
      </w:tr>
    </w:tbl>
    <w:p>
      <w:pPr>
        <w:pStyle w:val="Heading2"/>
      </w:pPr>
      <w:r>
        <w:t>38.4 API, Actions and Read Models</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Prepare determination</w:t>
            </w:r>
          </w:p>
        </w:tc>
        <w:tc>
          <w:tcPr>
            <w:tcW w:type="dxa" w:w="7260"/>
            <w:vAlign w:val="center"/>
            <w:tcMar>
              <w:top w:w="90" w:type="dxa"/>
              <w:left w:w="90" w:type="dxa"/>
              <w:bottom w:w="90" w:type="dxa"/>
              <w:right w:w="90" w:type="dxa"/>
            </w:tcMar>
          </w:tcPr>
          <w:p>
            <w:pPr>
              <w:spacing w:before="0" w:after="40" w:line="240" w:lineRule="auto"/>
            </w:pPr>
            <w:r>
              <w:rPr>
                <w:sz w:val="17"/>
              </w:rPr>
              <w:t>Resolve active target/method and return backend-owned required context/criterion/evidence roles; client cannot alter definition meaning.</w:t>
            </w:r>
          </w:p>
        </w:tc>
      </w:tr>
      <w:tr>
        <w:tc>
          <w:tcPr>
            <w:tcW w:type="dxa" w:w="2100"/>
            <w:vAlign w:val="center"/>
            <w:tcMar>
              <w:top w:w="90" w:type="dxa"/>
              <w:left w:w="90" w:type="dxa"/>
              <w:bottom w:w="90" w:type="dxa"/>
              <w:right w:w="90" w:type="dxa"/>
            </w:tcMar>
          </w:tcPr>
          <w:p>
            <w:pPr>
              <w:spacing w:before="0" w:after="40" w:line="240" w:lineRule="auto"/>
            </w:pPr>
            <w:r>
              <w:rPr>
                <w:sz w:val="17"/>
              </w:rPr>
              <w:t>Bind/capture context</w:t>
            </w:r>
          </w:p>
        </w:tc>
        <w:tc>
          <w:tcPr>
            <w:tcW w:type="dxa" w:w="7260"/>
            <w:vAlign w:val="center"/>
            <w:tcMar>
              <w:top w:w="90" w:type="dxa"/>
              <w:left w:w="90" w:type="dxa"/>
              <w:bottom w:w="90" w:type="dxa"/>
              <w:right w:w="90" w:type="dxa"/>
            </w:tcMar>
          </w:tcPr>
          <w:p>
            <w:pPr>
              <w:spacing w:before="0" w:after="40" w:line="240" w:lineRule="auto"/>
            </w:pPr>
            <w:r>
              <w:rPr>
                <w:sz w:val="17"/>
              </w:rPr>
              <w:t>Create/bind only the definition-authorised context kind and exact role members; scenario binding accepts one existing/created run only.</w:t>
            </w:r>
          </w:p>
        </w:tc>
      </w:tr>
      <w:tr>
        <w:tc>
          <w:tcPr>
            <w:tcW w:type="dxa" w:w="2100"/>
            <w:vAlign w:val="center"/>
            <w:tcMar>
              <w:top w:w="90" w:type="dxa"/>
              <w:left w:w="90" w:type="dxa"/>
              <w:bottom w:w="90" w:type="dxa"/>
              <w:right w:w="90" w:type="dxa"/>
            </w:tcMar>
          </w:tcPr>
          <w:p>
            <w:pPr>
              <w:spacing w:before="0" w:after="40" w:line="240" w:lineRule="auto"/>
            </w:pPr>
            <w:r>
              <w:rPr>
                <w:sz w:val="17"/>
              </w:rPr>
              <w:t>Evaluate machine criteria</w:t>
            </w:r>
          </w:p>
        </w:tc>
        <w:tc>
          <w:tcPr>
            <w:tcW w:type="dxa" w:w="7260"/>
            <w:vAlign w:val="center"/>
            <w:tcMar>
              <w:top w:w="90" w:type="dxa"/>
              <w:left w:w="90" w:type="dxa"/>
              <w:bottom w:w="90" w:type="dxa"/>
              <w:right w:w="90" w:type="dxa"/>
            </w:tcMar>
          </w:tcPr>
          <w:p>
            <w:pPr>
              <w:spacing w:before="0" w:after="40" w:line="240" w:lineRule="auto"/>
            </w:pPr>
            <w:r>
              <w:rPr>
                <w:sz w:val="17"/>
              </w:rPr>
              <w:t>Backend resolves adapters/operators and returns immutable findings plus incomplete reasons. No caller-supplied observed result.</w:t>
            </w:r>
          </w:p>
        </w:tc>
      </w:tr>
      <w:tr>
        <w:tc>
          <w:tcPr>
            <w:tcW w:type="dxa" w:w="2100"/>
            <w:vAlign w:val="center"/>
            <w:tcMar>
              <w:top w:w="90" w:type="dxa"/>
              <w:left w:w="90" w:type="dxa"/>
              <w:bottom w:w="90" w:type="dxa"/>
              <w:right w:w="90" w:type="dxa"/>
            </w:tcMar>
          </w:tcPr>
          <w:p>
            <w:pPr>
              <w:spacing w:before="0" w:after="40" w:line="240" w:lineRule="auto"/>
            </w:pPr>
            <w:r>
              <w:rPr>
                <w:sz w:val="17"/>
              </w:rPr>
              <w:t>Propose/finalise reviewer finding</w:t>
            </w:r>
          </w:p>
        </w:tc>
        <w:tc>
          <w:tcPr>
            <w:tcW w:type="dxa" w:w="7260"/>
            <w:vAlign w:val="center"/>
            <w:tcMar>
              <w:top w:w="90" w:type="dxa"/>
              <w:left w:w="90" w:type="dxa"/>
              <w:bottom w:w="90" w:type="dxa"/>
              <w:right w:w="90" w:type="dxa"/>
            </w:tcMar>
          </w:tcPr>
          <w:p>
            <w:pPr>
              <w:spacing w:before="0" w:after="40" w:line="240" w:lineRule="auto"/>
            </w:pPr>
            <w:r>
              <w:rPr>
                <w:sz w:val="17"/>
              </w:rPr>
              <w:t>Accept only exact criterion ID, controlled evidence references, actor ID and criterion-level finding/reason under eligibility/distinct-actor checks.</w:t>
            </w:r>
          </w:p>
        </w:tc>
      </w:tr>
      <w:tr>
        <w:tc>
          <w:tcPr>
            <w:tcW w:type="dxa" w:w="2100"/>
            <w:vAlign w:val="center"/>
            <w:tcMar>
              <w:top w:w="90" w:type="dxa"/>
              <w:left w:w="90" w:type="dxa"/>
              <w:bottom w:w="90" w:type="dxa"/>
              <w:right w:w="90" w:type="dxa"/>
            </w:tcMar>
          </w:tcPr>
          <w:p>
            <w:pPr>
              <w:spacing w:before="0" w:after="40" w:line="240" w:lineRule="auto"/>
            </w:pPr>
            <w:r>
              <w:rPr>
                <w:sz w:val="17"/>
              </w:rPr>
              <w:t>Finalise direct result</w:t>
            </w:r>
          </w:p>
        </w:tc>
        <w:tc>
          <w:tcPr>
            <w:tcW w:type="dxa" w:w="7260"/>
            <w:vAlign w:val="center"/>
            <w:tcMar>
              <w:top w:w="90" w:type="dxa"/>
              <w:left w:w="90" w:type="dxa"/>
              <w:bottom w:w="90" w:type="dxa"/>
              <w:right w:w="90" w:type="dxa"/>
            </w:tcMar>
          </w:tcPr>
          <w:p>
            <w:pPr>
              <w:spacing w:before="0" w:after="40" w:line="240" w:lineRule="auto"/>
            </w:pPr>
            <w:r>
              <w:rPr>
                <w:sz w:val="17"/>
              </w:rPr>
              <w:t>Backend action available only when exact completeness passes; response returns PASS/FAIL derived from findings. No verdict parameter.</w:t>
            </w:r>
          </w:p>
        </w:tc>
      </w:tr>
      <w:tr>
        <w:tc>
          <w:tcPr>
            <w:tcW w:type="dxa" w:w="2100"/>
            <w:vAlign w:val="center"/>
            <w:tcMar>
              <w:top w:w="90" w:type="dxa"/>
              <w:left w:w="90" w:type="dxa"/>
              <w:bottom w:w="90" w:type="dxa"/>
              <w:right w:w="90" w:type="dxa"/>
            </w:tcMar>
          </w:tcPr>
          <w:p>
            <w:pPr>
              <w:spacing w:before="0" w:after="40" w:line="240" w:lineRule="auto"/>
            </w:pPr>
            <w:r>
              <w:rPr>
                <w:sz w:val="17"/>
              </w:rPr>
              <w:t>Assemble/finalise composite</w:t>
            </w:r>
          </w:p>
        </w:tc>
        <w:tc>
          <w:tcPr>
            <w:tcW w:type="dxa" w:w="7260"/>
            <w:vAlign w:val="center"/>
            <w:tcMar>
              <w:top w:w="90" w:type="dxa"/>
              <w:left w:w="90" w:type="dxa"/>
              <w:bottom w:w="90" w:type="dxa"/>
              <w:right w:w="90" w:type="dxa"/>
            </w:tcMar>
          </w:tcPr>
          <w:p>
            <w:pPr>
              <w:spacing w:before="0" w:after="40" w:line="240" w:lineRule="auto"/>
            </w:pPr>
            <w:r>
              <w:rPr>
                <w:sz w:val="17"/>
              </w:rPr>
              <w:t>Existing DC-004 actions use exact case sources only. UI exposes source kind and never offers a direct parent DC-006 result action.</w:t>
            </w:r>
          </w:p>
        </w:tc>
      </w:tr>
      <w:tr>
        <w:tc>
          <w:tcPr>
            <w:tcW w:type="dxa" w:w="2100"/>
            <w:vAlign w:val="center"/>
            <w:tcMar>
              <w:top w:w="90" w:type="dxa"/>
              <w:left w:w="90" w:type="dxa"/>
              <w:bottom w:w="90" w:type="dxa"/>
              <w:right w:w="90" w:type="dxa"/>
            </w:tcMar>
          </w:tcPr>
          <w:p>
            <w:pPr>
              <w:spacing w:before="0" w:after="40" w:line="240" w:lineRule="auto"/>
            </w:pPr>
            <w:r>
              <w:rPr>
                <w:sz w:val="17"/>
              </w:rPr>
              <w:t>Suspend</w:t>
            </w:r>
          </w:p>
        </w:tc>
        <w:tc>
          <w:tcPr>
            <w:tcW w:type="dxa" w:w="7260"/>
            <w:vAlign w:val="center"/>
            <w:tcMar>
              <w:top w:w="90" w:type="dxa"/>
              <w:left w:w="90" w:type="dxa"/>
              <w:bottom w:w="90" w:type="dxa"/>
              <w:right w:w="90" w:type="dxa"/>
            </w:tcMar>
          </w:tcPr>
          <w:p>
            <w:pPr>
              <w:spacing w:before="0" w:after="40" w:line="240" w:lineRule="auto"/>
            </w:pPr>
            <w:r>
              <w:rPr>
                <w:sz w:val="17"/>
              </w:rPr>
              <w:t>Existing DC-005 API only; no BLOCKED-TEST selector and no automatic conversion from incomplete.</w:t>
            </w:r>
          </w:p>
        </w:tc>
      </w:tr>
    </w:tbl>
    <w:p>
      <w:pPr>
        <w:pStyle w:val="Heading2"/>
      </w:pPr>
      <w:r>
        <w:t>38.5 Review Presentation</w:t>
      </w:r>
    </w:p>
    <w:p>
      <w:r>
        <w:t>Validation/Evidence presents method/context identity, expected roles, completeness, each criterion's kind/expectation/source/operator/finding/requirement_ids/evidence, reviewer authority status and backend aggregate. Defined coverage and successfully verified evidence are shown separately. A composite shows the exact required cases, each constituent finding chain or valid suspension source, static parent coverage union and achieved aggregate evidence without implying that a suspended case verified its mapped requirements.</w:t>
      </w:r>
    </w:p>
    <w:p>
      <w:r>
        <w:t>NFR review surfaces machine-proven presence/identity/linkage/structure/configuration separately from reviewer propositions for prominence, understandability, clarity, engineering-first character and not-misleading treatment. Reviewer controls never expose an overall verdict selector.</w:t>
      </w:r>
    </w:p>
    <w:p>
      <w:pPr>
        <w:pStyle w:val="Heading3"/>
      </w:pPr>
      <w:r>
        <w:t>38.5.1 Exact NFR Review Evidence Sets</w:t>
      </w:r>
    </w:p>
    <w:p>
      <w:r>
        <w:t>CONTROLLED_SURFACE_SET is the exact eight-member Demonstrator Design Section 14 view register below. Every member must visibly carry the fixed notice 'Simulated operation only — no real equipment control' and the exact identity profile shown. The implementation cannot add, omit or substitute a review member when executing VT-NFR-REVIEW-001.</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Start / Run Setup</w:t>
            </w:r>
          </w:p>
        </w:tc>
        <w:tc>
          <w:tcPr>
            <w:tcW w:type="dxa" w:w="7260"/>
            <w:vAlign w:val="center"/>
            <w:tcMar>
              <w:top w:w="90" w:type="dxa"/>
              <w:left w:w="90" w:type="dxa"/>
              <w:bottom w:w="90" w:type="dxa"/>
              <w:right w:w="90" w:type="dxa"/>
            </w:tcMar>
          </w:tcPr>
          <w:p>
            <w:pPr>
              <w:spacing w:before="0" w:after="40" w:line="240" w:lineRule="auto"/>
            </w:pPr>
            <w:r>
              <w:rPr>
                <w:sz w:val="17"/>
              </w:rPr>
              <w:t>Fixed notice; mode; test and Validation Catalogue identity; Network Configuration identity; Exploration fault selection where applicable; backend build identity; initial-condition preview; full run identity after creation.</w:t>
            </w:r>
          </w:p>
        </w:tc>
      </w:tr>
      <w:tr>
        <w:tc>
          <w:tcPr>
            <w:tcW w:type="dxa" w:w="2100"/>
            <w:vAlign w:val="center"/>
            <w:tcMar>
              <w:top w:w="90" w:type="dxa"/>
              <w:left w:w="90" w:type="dxa"/>
              <w:bottom w:w="90" w:type="dxa"/>
              <w:right w:w="90" w:type="dxa"/>
            </w:tcMar>
          </w:tcPr>
          <w:p>
            <w:pPr>
              <w:spacing w:before="0" w:after="40" w:line="240" w:lineRule="auto"/>
            </w:pPr>
            <w:r>
              <w:rPr>
                <w:sz w:val="17"/>
              </w:rPr>
              <w:t>Operational Workspace</w:t>
            </w:r>
          </w:p>
        </w:tc>
        <w:tc>
          <w:tcPr>
            <w:tcW w:type="dxa" w:w="7260"/>
            <w:vAlign w:val="center"/>
            <w:tcMar>
              <w:top w:w="90" w:type="dxa"/>
              <w:left w:w="90" w:type="dxa"/>
              <w:bottom w:w="90" w:type="dxa"/>
              <w:right w:w="90" w:type="dxa"/>
            </w:tcMar>
          </w:tcPr>
          <w:p>
            <w:pPr>
              <w:spacing w:before="0" w:after="40" w:line="240" w:lineRule="auto"/>
            </w:pPr>
            <w:r>
              <w:rPr>
                <w:sz w:val="17"/>
              </w:rPr>
              <w:t>Fixed notice; full run identity; mode; Network Configuration identity; selected/controlled fault; workflow/N-state; state revision; evidence class; backend build identity.</w:t>
            </w:r>
          </w:p>
        </w:tc>
      </w:tr>
      <w:tr>
        <w:tc>
          <w:tcPr>
            <w:tcW w:type="dxa" w:w="2100"/>
            <w:vAlign w:val="center"/>
            <w:tcMar>
              <w:top w:w="90" w:type="dxa"/>
              <w:left w:w="90" w:type="dxa"/>
              <w:bottom w:w="90" w:type="dxa"/>
              <w:right w:w="90" w:type="dxa"/>
            </w:tcMar>
          </w:tcPr>
          <w:p>
            <w:pPr>
              <w:spacing w:before="0" w:after="40" w:line="240" w:lineRule="auto"/>
            </w:pPr>
            <w:r>
              <w:rPr>
                <w:sz w:val="17"/>
              </w:rPr>
              <w:t>Telemetry &amp; Events</w:t>
            </w:r>
          </w:p>
        </w:tc>
        <w:tc>
          <w:tcPr>
            <w:tcW w:type="dxa" w:w="7260"/>
            <w:vAlign w:val="center"/>
            <w:tcMar>
              <w:top w:w="90" w:type="dxa"/>
              <w:left w:w="90" w:type="dxa"/>
              <w:bottom w:w="90" w:type="dxa"/>
              <w:right w:w="90" w:type="dxa"/>
            </w:tcMar>
          </w:tcPr>
          <w:p>
            <w:pPr>
              <w:spacing w:before="0" w:after="40" w:line="240" w:lineRule="auto"/>
            </w:pPr>
            <w:r>
              <w:rPr>
                <w:sz w:val="17"/>
              </w:rPr>
              <w:t>Fixed notice; full run identity; telemetry value/quality/timestamp/age/freshness/reasons; exact event type/sequence/time/revision/source identity.</w:t>
            </w:r>
          </w:p>
        </w:tc>
      </w:tr>
      <w:tr>
        <w:tc>
          <w:tcPr>
            <w:tcW w:type="dxa" w:w="2100"/>
            <w:vAlign w:val="center"/>
            <w:tcMar>
              <w:top w:w="90" w:type="dxa"/>
              <w:left w:w="90" w:type="dxa"/>
              <w:bottom w:w="90" w:type="dxa"/>
              <w:right w:w="90" w:type="dxa"/>
            </w:tcMar>
          </w:tcPr>
          <w:p>
            <w:pPr>
              <w:spacing w:before="0" w:after="40" w:line="240" w:lineRule="auto"/>
            </w:pPr>
            <w:r>
              <w:rPr>
                <w:sz w:val="17"/>
              </w:rPr>
              <w:t>Restoration Assessment</w:t>
            </w:r>
          </w:p>
        </w:tc>
        <w:tc>
          <w:tcPr>
            <w:tcW w:type="dxa" w:w="7260"/>
            <w:vAlign w:val="center"/>
            <w:tcMar>
              <w:top w:w="90" w:type="dxa"/>
              <w:left w:w="90" w:type="dxa"/>
              <w:bottom w:w="90" w:type="dxa"/>
              <w:right w:w="90" w:type="dxa"/>
            </w:tcMar>
          </w:tcPr>
          <w:p>
            <w:pPr>
              <w:spacing w:before="0" w:after="40" w:line="240" w:lineRule="auto"/>
            </w:pPr>
            <w:r>
              <w:rPr>
                <w:sz w:val="17"/>
              </w:rPr>
              <w:t>Fixed notice; full run and Network Configuration identities; assessment/candidate identities; bound revisions/evidence; permissives; calculation inputs/results; outcome/status.</w:t>
            </w:r>
          </w:p>
        </w:tc>
      </w:tr>
      <w:tr>
        <w:tc>
          <w:tcPr>
            <w:tcW w:type="dxa" w:w="2100"/>
            <w:vAlign w:val="center"/>
            <w:tcMar>
              <w:top w:w="90" w:type="dxa"/>
              <w:left w:w="90" w:type="dxa"/>
              <w:bottom w:w="90" w:type="dxa"/>
              <w:right w:w="90" w:type="dxa"/>
            </w:tcMar>
          </w:tcPr>
          <w:p>
            <w:pPr>
              <w:spacing w:before="0" w:after="40" w:line="240" w:lineRule="auto"/>
            </w:pPr>
            <w:r>
              <w:rPr>
                <w:sz w:val="17"/>
              </w:rPr>
              <w:t>Formal Validation</w:t>
            </w:r>
          </w:p>
        </w:tc>
        <w:tc>
          <w:tcPr>
            <w:tcW w:type="dxa" w:w="7260"/>
            <w:vAlign w:val="center"/>
            <w:tcMar>
              <w:top w:w="90" w:type="dxa"/>
              <w:left w:w="90" w:type="dxa"/>
              <w:bottom w:w="90" w:type="dxa"/>
              <w:right w:w="90" w:type="dxa"/>
            </w:tcMar>
          </w:tcPr>
          <w:p>
            <w:pPr>
              <w:spacing w:before="0" w:after="40" w:line="240" w:lineRule="auto"/>
            </w:pPr>
            <w:r>
              <w:rPr>
                <w:sz w:val="17"/>
              </w:rPr>
              <w:t>Fixed notice; Validation Catalogue/test/method/criterion identities; execution/run/Network Configuration/build identities; FORMAL evidence class; checkpoints/findings/result.</w:t>
            </w:r>
          </w:p>
        </w:tc>
      </w:tr>
      <w:tr>
        <w:tc>
          <w:tcPr>
            <w:tcW w:type="dxa" w:w="2100"/>
            <w:vAlign w:val="center"/>
            <w:tcMar>
              <w:top w:w="90" w:type="dxa"/>
              <w:left w:w="90" w:type="dxa"/>
              <w:bottom w:w="90" w:type="dxa"/>
              <w:right w:w="90" w:type="dxa"/>
            </w:tcMar>
          </w:tcPr>
          <w:p>
            <w:pPr>
              <w:spacing w:before="0" w:after="40" w:line="240" w:lineRule="auto"/>
            </w:pPr>
            <w:r>
              <w:rPr>
                <w:sz w:val="17"/>
              </w:rPr>
              <w:t>Evidence Library</w:t>
            </w:r>
          </w:p>
        </w:tc>
        <w:tc>
          <w:tcPr>
            <w:tcW w:type="dxa" w:w="7260"/>
            <w:vAlign w:val="center"/>
            <w:tcMar>
              <w:top w:w="90" w:type="dxa"/>
              <w:left w:w="90" w:type="dxa"/>
              <w:bottom w:w="90" w:type="dxa"/>
              <w:right w:w="90" w:type="dxa"/>
            </w:tcMar>
          </w:tcPr>
          <w:p>
            <w:pPr>
              <w:spacing w:before="0" w:after="40" w:line="240" w:lineRule="auto"/>
            </w:pPr>
            <w:r>
              <w:rPr>
                <w:sz w:val="17"/>
              </w:rPr>
              <w:t>Fixed notice; evidence/package identities and class; source catalogue/configuration/execution/build identities; separate generation-build identity; immutable hashes/links.</w:t>
            </w:r>
          </w:p>
        </w:tc>
      </w:tr>
      <w:tr>
        <w:tc>
          <w:tcPr>
            <w:tcW w:type="dxa" w:w="2100"/>
            <w:vAlign w:val="center"/>
            <w:tcMar>
              <w:top w:w="90" w:type="dxa"/>
              <w:left w:w="90" w:type="dxa"/>
              <w:bottom w:w="90" w:type="dxa"/>
              <w:right w:w="90" w:type="dxa"/>
            </w:tcMar>
          </w:tcPr>
          <w:p>
            <w:pPr>
              <w:spacing w:before="0" w:after="40" w:line="240" w:lineRule="auto"/>
            </w:pPr>
            <w:r>
              <w:rPr>
                <w:sz w:val="17"/>
              </w:rPr>
              <w:t>Defect Investigation</w:t>
            </w:r>
          </w:p>
        </w:tc>
        <w:tc>
          <w:tcPr>
            <w:tcW w:type="dxa" w:w="7260"/>
            <w:vAlign w:val="center"/>
            <w:tcMar>
              <w:top w:w="90" w:type="dxa"/>
              <w:left w:w="90" w:type="dxa"/>
              <w:bottom w:w="90" w:type="dxa"/>
              <w:right w:w="90" w:type="dxa"/>
            </w:tcMar>
          </w:tcPr>
          <w:p>
            <w:pPr>
              <w:spacing w:before="0" w:after="40" w:line="240" w:lineRule="auto"/>
            </w:pPr>
            <w:r>
              <w:rPr>
                <w:sz w:val="17"/>
              </w:rPr>
              <w:t>Fixed notice; Network Configuration v1.0 failure, DEF-001, COR-001, corrected v1.1 repeat/regression identities; same-build and source-catalogue provenance.</w:t>
            </w:r>
          </w:p>
        </w:tc>
      </w:tr>
      <w:tr>
        <w:tc>
          <w:tcPr>
            <w:tcW w:type="dxa" w:w="2100"/>
            <w:vAlign w:val="center"/>
            <w:tcMar>
              <w:top w:w="90" w:type="dxa"/>
              <w:left w:w="90" w:type="dxa"/>
              <w:bottom w:w="90" w:type="dxa"/>
              <w:right w:w="90" w:type="dxa"/>
            </w:tcMar>
          </w:tcPr>
          <w:p>
            <w:pPr>
              <w:spacing w:before="0" w:after="40" w:line="240" w:lineRule="auto"/>
            </w:pPr>
            <w:r>
              <w:rPr>
                <w:sz w:val="17"/>
              </w:rPr>
              <w:t>Engineering Basis</w:t>
            </w:r>
          </w:p>
        </w:tc>
        <w:tc>
          <w:tcPr>
            <w:tcW w:type="dxa" w:w="7260"/>
            <w:vAlign w:val="center"/>
            <w:tcMar>
              <w:top w:w="90" w:type="dxa"/>
              <w:left w:w="90" w:type="dxa"/>
              <w:bottom w:w="90" w:type="dxa"/>
              <w:right w:w="90" w:type="dxa"/>
            </w:tcMar>
          </w:tcPr>
          <w:p>
            <w:pPr>
              <w:spacing w:before="0" w:after="40" w:line="240" w:lineRule="auto"/>
            </w:pPr>
            <w:r>
              <w:rPr>
                <w:sz w:val="17"/>
              </w:rPr>
              <w:t>Fixed notice; authoritative artefact/version/hash; requirement/source/module/view traceability; build metadata; read-only/no operational action.</w:t>
            </w:r>
          </w:p>
        </w:tc>
      </w:tr>
    </w:tbl>
    <w:p>
      <w:r>
        <w:t>STRUCTURAL_RECORD_SET is the following exact concrete review-member set. It is not an open-ended schema-adapter result: membership and one controlling owner are frozen below. A later accepted design change is required to add, remove, rename or reassign a member for this validation method.</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configuration</w:t>
            </w:r>
          </w:p>
        </w:tc>
        <w:tc>
          <w:tcPr>
            <w:tcW w:type="dxa" w:w="7260"/>
            <w:vAlign w:val="center"/>
            <w:tcMar>
              <w:top w:w="90" w:type="dxa"/>
              <w:left w:w="90" w:type="dxa"/>
              <w:bottom w:w="90" w:type="dxa"/>
              <w:right w:w="90" w:type="dxa"/>
            </w:tcMar>
          </w:tcPr>
          <w:p>
            <w:pPr>
              <w:spacing w:before="0" w:after="40" w:line="240" w:lineRule="auto"/>
            </w:pPr>
            <w:r>
              <w:rPr>
                <w:sz w:val="17"/>
              </w:rPr>
              <w:t>ConfigurationCatalogEntry; NetworkEntity; ConnectivityEdge; LoadCapacity; CustomerZoneMapping; ConfigurationManifest</w:t>
            </w:r>
          </w:p>
        </w:tc>
      </w:tr>
      <w:tr>
        <w:tc>
          <w:tcPr>
            <w:tcW w:type="dxa" w:w="2100"/>
            <w:vAlign w:val="center"/>
            <w:tcMar>
              <w:top w:w="90" w:type="dxa"/>
              <w:left w:w="90" w:type="dxa"/>
              <w:bottom w:w="90" w:type="dxa"/>
              <w:right w:w="90" w:type="dxa"/>
            </w:tcMar>
          </w:tcPr>
          <w:p>
            <w:pPr>
              <w:spacing w:before="0" w:after="40" w:line="240" w:lineRule="auto"/>
            </w:pPr>
            <w:r>
              <w:rPr>
                <w:sz w:val="17"/>
              </w:rPr>
              <w:t>scenario</w:t>
            </w:r>
          </w:p>
        </w:tc>
        <w:tc>
          <w:tcPr>
            <w:tcW w:type="dxa" w:w="7260"/>
            <w:vAlign w:val="center"/>
            <w:tcMar>
              <w:top w:w="90" w:type="dxa"/>
              <w:left w:w="90" w:type="dxa"/>
              <w:bottom w:w="90" w:type="dxa"/>
              <w:right w:w="90" w:type="dxa"/>
            </w:tcMar>
          </w:tcPr>
          <w:p>
            <w:pPr>
              <w:spacing w:before="0" w:after="40" w:line="240" w:lineRule="auto"/>
            </w:pPr>
            <w:r>
              <w:rPr>
                <w:sz w:val="17"/>
              </w:rPr>
              <w:t>ScenarioRun</w:t>
            </w:r>
          </w:p>
        </w:tc>
      </w:tr>
      <w:tr>
        <w:tc>
          <w:tcPr>
            <w:tcW w:type="dxa" w:w="2100"/>
            <w:vAlign w:val="center"/>
            <w:tcMar>
              <w:top w:w="90" w:type="dxa"/>
              <w:left w:w="90" w:type="dxa"/>
              <w:bottom w:w="90" w:type="dxa"/>
              <w:right w:w="90" w:type="dxa"/>
            </w:tcMar>
          </w:tcPr>
          <w:p>
            <w:pPr>
              <w:spacing w:before="0" w:after="40" w:line="240" w:lineRule="auto"/>
            </w:pPr>
            <w:r>
              <w:rPr>
                <w:sz w:val="17"/>
              </w:rPr>
              <w:t>telemetry</w:t>
            </w:r>
          </w:p>
        </w:tc>
        <w:tc>
          <w:tcPr>
            <w:tcW w:type="dxa" w:w="7260"/>
            <w:vAlign w:val="center"/>
            <w:tcMar>
              <w:top w:w="90" w:type="dxa"/>
              <w:left w:w="90" w:type="dxa"/>
              <w:bottom w:w="90" w:type="dxa"/>
              <w:right w:w="90" w:type="dxa"/>
            </w:tcMar>
          </w:tcPr>
          <w:p>
            <w:pPr>
              <w:spacing w:before="0" w:after="40" w:line="240" w:lineRule="auto"/>
            </w:pPr>
            <w:r>
              <w:rPr>
                <w:sz w:val="17"/>
              </w:rPr>
              <w:t>TelemetryPoint; TelemetryValidity; Alarm; TelemetrySnapshot</w:t>
            </w:r>
          </w:p>
        </w:tc>
      </w:tr>
      <w:tr>
        <w:tc>
          <w:tcPr>
            <w:tcW w:type="dxa" w:w="2100"/>
            <w:vAlign w:val="center"/>
            <w:tcMar>
              <w:top w:w="90" w:type="dxa"/>
              <w:left w:w="90" w:type="dxa"/>
              <w:bottom w:w="90" w:type="dxa"/>
              <w:right w:w="90" w:type="dxa"/>
            </w:tcMar>
          </w:tcPr>
          <w:p>
            <w:pPr>
              <w:spacing w:before="0" w:after="40" w:line="240" w:lineRule="auto"/>
            </w:pPr>
            <w:r>
              <w:rPr>
                <w:sz w:val="17"/>
              </w:rPr>
              <w:t>topology/outage</w:t>
            </w:r>
          </w:p>
        </w:tc>
        <w:tc>
          <w:tcPr>
            <w:tcW w:type="dxa" w:w="7260"/>
            <w:vAlign w:val="center"/>
            <w:tcMar>
              <w:top w:w="90" w:type="dxa"/>
              <w:left w:w="90" w:type="dxa"/>
              <w:bottom w:w="90" w:type="dxa"/>
              <w:right w:w="90" w:type="dxa"/>
            </w:tcMar>
          </w:tcPr>
          <w:p>
            <w:pPr>
              <w:spacing w:before="0" w:after="40" w:line="240" w:lineRule="auto"/>
            </w:pPr>
            <w:r>
              <w:rPr>
                <w:sz w:val="17"/>
              </w:rPr>
              <w:t>TopologySnapshot; SectionDerivedState; IsolationProof; OutageSnapshot; CalculationTrace</w:t>
            </w:r>
          </w:p>
        </w:tc>
      </w:tr>
      <w:tr>
        <w:tc>
          <w:tcPr>
            <w:tcW w:type="dxa" w:w="2100"/>
            <w:vAlign w:val="center"/>
            <w:tcMar>
              <w:top w:w="90" w:type="dxa"/>
              <w:left w:w="90" w:type="dxa"/>
              <w:bottom w:w="90" w:type="dxa"/>
              <w:right w:w="90" w:type="dxa"/>
            </w:tcMar>
          </w:tcPr>
          <w:p>
            <w:pPr>
              <w:spacing w:before="0" w:after="40" w:line="240" w:lineRule="auto"/>
            </w:pPr>
            <w:r>
              <w:rPr>
                <w:sz w:val="17"/>
              </w:rPr>
              <w:t>restoration</w:t>
            </w:r>
          </w:p>
        </w:tc>
        <w:tc>
          <w:tcPr>
            <w:tcW w:type="dxa" w:w="7260"/>
            <w:vAlign w:val="center"/>
            <w:tcMar>
              <w:top w:w="90" w:type="dxa"/>
              <w:left w:w="90" w:type="dxa"/>
              <w:bottom w:w="90" w:type="dxa"/>
              <w:right w:w="90" w:type="dxa"/>
            </w:tcMar>
          </w:tcPr>
          <w:p>
            <w:pPr>
              <w:spacing w:before="0" w:after="40" w:line="240" w:lineRule="auto"/>
            </w:pPr>
            <w:r>
              <w:rPr>
                <w:sz w:val="17"/>
              </w:rPr>
              <w:t>RestorationCandidate; PermissiveResult; RestorationAssessment; AssessmentInvalidation; RestorationExecutionBinding</w:t>
            </w:r>
          </w:p>
        </w:tc>
      </w:tr>
      <w:tr>
        <w:tc>
          <w:tcPr>
            <w:tcW w:type="dxa" w:w="2100"/>
            <w:vAlign w:val="center"/>
            <w:tcMar>
              <w:top w:w="90" w:type="dxa"/>
              <w:left w:w="90" w:type="dxa"/>
              <w:bottom w:w="90" w:type="dxa"/>
              <w:right w:w="90" w:type="dxa"/>
            </w:tcMar>
          </w:tcPr>
          <w:p>
            <w:pPr>
              <w:spacing w:before="0" w:after="40" w:line="240" w:lineRule="auto"/>
            </w:pPr>
            <w:r>
              <w:rPr>
                <w:sz w:val="17"/>
              </w:rPr>
              <w:t>events</w:t>
            </w:r>
          </w:p>
        </w:tc>
        <w:tc>
          <w:tcPr>
            <w:tcW w:type="dxa" w:w="7260"/>
            <w:vAlign w:val="center"/>
            <w:tcMar>
              <w:top w:w="90" w:type="dxa"/>
              <w:left w:w="90" w:type="dxa"/>
              <w:bottom w:w="90" w:type="dxa"/>
              <w:right w:w="90" w:type="dxa"/>
            </w:tcMar>
          </w:tcPr>
          <w:p>
            <w:pPr>
              <w:spacing w:before="0" w:after="40" w:line="240" w:lineRule="auto"/>
            </w:pPr>
            <w:r>
              <w:rPr>
                <w:sz w:val="17"/>
              </w:rPr>
              <w:t>OperationalEvent</w:t>
            </w:r>
          </w:p>
        </w:tc>
      </w:tr>
      <w:tr>
        <w:tc>
          <w:tcPr>
            <w:tcW w:type="dxa" w:w="2100"/>
            <w:vAlign w:val="center"/>
            <w:tcMar>
              <w:top w:w="90" w:type="dxa"/>
              <w:left w:w="90" w:type="dxa"/>
              <w:bottom w:w="90" w:type="dxa"/>
              <w:right w:w="90" w:type="dxa"/>
            </w:tcMar>
          </w:tcPr>
          <w:p>
            <w:pPr>
              <w:spacing w:before="0" w:after="40" w:line="240" w:lineRule="auto"/>
            </w:pPr>
            <w:r>
              <w:rPr>
                <w:sz w:val="17"/>
              </w:rPr>
              <w:t>validation</w:t>
            </w:r>
          </w:p>
        </w:tc>
        <w:tc>
          <w:tcPr>
            <w:tcW w:type="dxa" w:w="7260"/>
            <w:vAlign w:val="center"/>
            <w:tcMar>
              <w:top w:w="90" w:type="dxa"/>
              <w:left w:w="90" w:type="dxa"/>
              <w:bottom w:w="90" w:type="dxa"/>
              <w:right w:w="90" w:type="dxa"/>
            </w:tcMar>
          </w:tcPr>
          <w:p>
            <w:pPr>
              <w:spacing w:before="0" w:after="40" w:line="240" w:lineRule="auto"/>
            </w:pPr>
            <w:r>
              <w:rPr>
                <w:sz w:val="17"/>
              </w:rPr>
              <w:t>TestDefinition; ValidationExecution; EvidenceSnapshot; ExecutedValidationResult; DefectRecord; CorrectionRecord; RepeatLink</w:t>
            </w:r>
          </w:p>
        </w:tc>
      </w:tr>
      <w:tr>
        <w:tc>
          <w:tcPr>
            <w:tcW w:type="dxa" w:w="2100"/>
            <w:vAlign w:val="center"/>
            <w:tcMar>
              <w:top w:w="90" w:type="dxa"/>
              <w:left w:w="90" w:type="dxa"/>
              <w:bottom w:w="90" w:type="dxa"/>
              <w:right w:w="90" w:type="dxa"/>
            </w:tcMar>
          </w:tcPr>
          <w:p>
            <w:pPr>
              <w:spacing w:before="0" w:after="40" w:line="240" w:lineRule="auto"/>
            </w:pPr>
            <w:r>
              <w:rPr>
                <w:sz w:val="17"/>
              </w:rPr>
              <w:t>validation_assurance</w:t>
            </w:r>
          </w:p>
        </w:tc>
        <w:tc>
          <w:tcPr>
            <w:tcW w:type="dxa" w:w="7260"/>
            <w:vAlign w:val="center"/>
            <w:tcMar>
              <w:top w:w="90" w:type="dxa"/>
              <w:left w:w="90" w:type="dxa"/>
              <w:bottom w:w="90" w:type="dxa"/>
              <w:right w:w="90" w:type="dxa"/>
            </w:tcMar>
          </w:tcPr>
          <w:p>
            <w:pPr>
              <w:spacing w:before="0" w:after="40" w:line="240" w:lineRule="auto"/>
            </w:pPr>
            <w:r>
              <w:rPr>
                <w:sz w:val="17"/>
              </w:rPr>
              <w:t>ConstituentCaseDefinition; CompositeValidationResult; CompositeConstituentLink; AcceptedCatalogueRevision; ValidationSuspensionCondition; ValidationSuspensionRecord; SuspensionEvidenceRecord; ValidationAttempt; ValidationTargetSelection; DeterminationMethodDefinition; CriterionDefinition; DeterminationContext; CriterionFinding; EngineeringReviewProposal; EngineeringReviewFinalisation</w:t>
            </w:r>
          </w:p>
        </w:tc>
      </w:tr>
      <w:tr>
        <w:tc>
          <w:tcPr>
            <w:tcW w:type="dxa" w:w="2100"/>
            <w:vAlign w:val="center"/>
            <w:tcMar>
              <w:top w:w="90" w:type="dxa"/>
              <w:left w:w="90" w:type="dxa"/>
              <w:bottom w:w="90" w:type="dxa"/>
              <w:right w:w="90" w:type="dxa"/>
            </w:tcMar>
          </w:tcPr>
          <w:p>
            <w:pPr>
              <w:spacing w:before="0" w:after="40" w:line="240" w:lineRule="auto"/>
            </w:pPr>
            <w:r>
              <w:rPr>
                <w:sz w:val="17"/>
              </w:rPr>
              <w:t>evidence_export</w:t>
            </w:r>
          </w:p>
        </w:tc>
        <w:tc>
          <w:tcPr>
            <w:tcW w:type="dxa" w:w="7260"/>
            <w:vAlign w:val="center"/>
            <w:tcMar>
              <w:top w:w="90" w:type="dxa"/>
              <w:left w:w="90" w:type="dxa"/>
              <w:bottom w:w="90" w:type="dxa"/>
              <w:right w:w="90" w:type="dxa"/>
            </w:tcMar>
          </w:tcPr>
          <w:p>
            <w:pPr>
              <w:spacing w:before="0" w:after="40" w:line="240" w:lineRule="auto"/>
            </w:pPr>
            <w:r>
              <w:rPr>
                <w:sz w:val="17"/>
              </w:rPr>
              <w:t>EvidencePackage</w:t>
            </w:r>
          </w:p>
        </w:tc>
      </w:tr>
    </w:tbl>
    <w:p>
      <w:r>
        <w:t>VT-TOP-DEF-001 presentation shows the Network Configuration v1.0 FAIL and corrected Network Configuration v1.1 PASS as separate one-run executions. DEF-001/COR-001/repeat links may navigate between them, but the UI must not label their relationship as one aggregate execution or a meta-PASS. Fixture review shows fixture definition/version/hash, inputs/results, executing build and configuration/hash provenance and never invents a run identity.</w:t>
      </w:r>
    </w:p>
    <w:p>
      <w:pPr>
        <w:pStyle w:val="Heading2"/>
      </w:pPr>
      <w:r>
        <w:t>38.6 History, Resolution and Export</w:t>
      </w:r>
    </w:p>
    <w:p>
      <w:r>
        <w:t>Read models and export resolve completed records against their stored Validation Catalogue/test/case/method/criterion identities and retain separate Network Configuration v1.0/v1.1 identity. A future promoted catalogue does not relabel historical executions. Unfinished old-catalogue work becomes read-only. Export remains append-only/non-overwriting and retains file/entry/archive hashes, relative links, source versus generation build and full requirement→criterion→finding→evidence links.</w:t>
      </w:r>
    </w:p>
    <w:p>
      <w:pPr>
        <w:pStyle w:val="Heading2"/>
      </w:pPr>
      <w:r>
        <w:t>38.7 Future Machine-Application Boundary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Permitted only after separate authorisation</w:t>
            </w:r>
          </w:p>
        </w:tc>
        <w:tc>
          <w:tcPr>
            <w:tcW w:type="dxa" w:w="7260"/>
            <w:vAlign w:val="center"/>
            <w:tcMar>
              <w:top w:w="90" w:type="dxa"/>
              <w:left w:w="90" w:type="dxa"/>
              <w:bottom w:w="90" w:type="dxa"/>
              <w:right w:w="90" w:type="dxa"/>
            </w:tcMar>
          </w:tcPr>
          <w:p>
            <w:pPr>
              <w:spacing w:before="0" w:after="40" w:line="240" w:lineRule="auto"/>
            </w:pPr>
            <w:r>
              <w:rPr>
                <w:sz w:val="17"/>
              </w:rPr>
              <w:t>Preserve historical Validation Catalogue packages; promote the accepted criteria catalogue; add contracts/resolver/adapters/operators/context/finding/review/result persistence; extend API/read models/export; implement exact audit/tests.</w:t>
            </w:r>
          </w:p>
        </w:tc>
      </w:tr>
      <w:tr>
        <w:tc>
          <w:tcPr>
            <w:tcW w:type="dxa" w:w="2100"/>
            <w:vAlign w:val="center"/>
            <w:tcMar>
              <w:top w:w="90" w:type="dxa"/>
              <w:left w:w="90" w:type="dxa"/>
              <w:bottom w:w="90" w:type="dxa"/>
              <w:right w:w="90" w:type="dxa"/>
            </w:tcMar>
          </w:tcPr>
          <w:p>
            <w:pPr>
              <w:spacing w:before="0" w:after="40" w:line="240" w:lineRule="auto"/>
            </w:pPr>
            <w:r>
              <w:rPr>
                <w:sz w:val="17"/>
              </w:rPr>
              <w:t>Explicitly prohibited</w:t>
            </w:r>
          </w:p>
        </w:tc>
        <w:tc>
          <w:tcPr>
            <w:tcW w:type="dxa" w:w="7260"/>
            <w:vAlign w:val="center"/>
            <w:tcMar>
              <w:top w:w="90" w:type="dxa"/>
              <w:left w:w="90" w:type="dxa"/>
              <w:bottom w:w="90" w:type="dxa"/>
              <w:right w:w="90" w:type="dxa"/>
            </w:tcMar>
          </w:tcPr>
          <w:p>
            <w:pPr>
              <w:spacing w:before="0" w:after="40" w:line="240" w:lineRule="auto"/>
            </w:pPr>
            <w:r>
              <w:rPr>
                <w:sz w:val="17"/>
              </w:rPr>
              <w:t>Network/topology/outage/restoration/telemetry behaviour change; direct composite-parent method/result; test-ID outcome lookup; reviewer overall verdict; fictional run; manufactured Exploration suspension; machine subjective judgement; RTM/event/network/dependency change; I9 resumption.</w:t>
            </w:r>
          </w:p>
        </w:tc>
      </w:tr>
    </w:tbl>
    <w:p>
      <w:pPr>
        <w:pStyle w:val="Heading2"/>
      </w:pPr>
      <w:r>
        <w:t>38.8 Accepted Application and Review Gate</w:t>
      </w:r>
    </w:p>
    <w:p>
      <w:r>
        <w:t>Future verification shall prove all direct and exact constituent coverage unions, generic selector/operator behaviour, one-run scenario bindings, N0–N5 chronology, reviewer boundary, exact event registry, Exploration separation, deterministic/package roles, historical resolution, persistence immutability, DC-004/DC-005 compatibility and unchanged 24/124/286/15 invariants.</w:t>
      </w:r>
    </w:p>
    <w:p>
      <w:r>
        <w:t>DC-006 design and authoritative-document application are independently accepted. This Section 38 and Demonstrator Design v0.5 are the accepted current demonstrator-design baseline, superseding v0.4. Machine Validation Catalogue, schema, migration, application and dependency work remain pending separate authorisation; I9 remains stopped.</w:t>
      </w:r>
    </w:p>
    <w:p>
      <w:r>
        <w:t>V2 Automation Candidate — Evidence-to-criterion binding, coverage diagnostics and review-package preparation are strong future automation candidates. V1 remains definition-driven, immutable and reviewer-controlled.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OT Project Demonstrator Design</dc:title>
  <cp:lastModifiedBy>python-docx</cp:lastModifiedBy>
  <cp:revision>1</cp:revision>
  <dcterms:modified xsi:type="dcterms:W3CDTF">2026-08-09T07:35:21Z</dcterms:modified>
  <dc:subject>Step 8 practical demonstrator design for the OT Graduate Demonstration Project</dc:subject>
  <dc:creator>Operational Technology Graduate Demonstration Project</dc:creator>
  <cp:keywords>OT, demonstrator design, SCADA, ADMS, OMS, validation, evidence, topology</cp:keywords>
  <dc:description>DC-003 applied and accepted 2026-08-09; no requirements change and no implementation authority.</dc:description>
</cp:coreProperties>
</file>