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0.3 — Proposed DC-004 controlled revision</w:t>
        <w:br/>
        <w:t>Status: Draft — DC-004 core accepted in substance; bounded correction pending final independent review; v0.2 remains the accepted baseline</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Proposed Controlled Amendment — DC-004 Multi-Run Exploratory Validation Determination</w:t>
      </w:r>
    </w:p>
    <w:p>
      <w:pPr/>
      <w:r>
        <w:t>This proposed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r>
        <w:trPr>
          <w:cantSplit/>
        </w:trPr>
        <w:tc>
          <w:tcPr>
            <w:tcW w:type="dxa" w:w="4680"/>
            <w:vAlign w:val="center"/>
          </w:tcPr>
          <w:p>
            <w:pPr>
              <w:spacing w:before="40" w:after="40"/>
              <w:jc w:val="left"/>
            </w:pPr>
            <w:r>
              <w:rPr>
                <w:sz w:val="19"/>
              </w:rPr>
              <w:t>AcceptedCatalogueRevision</w:t>
            </w:r>
          </w:p>
        </w:tc>
        <w:tc>
          <w:tcPr>
            <w:tcW w:type="dxa" w:w="4680"/>
            <w:vAlign w:val="center"/>
          </w:tcPr>
          <w:p>
            <w:pPr>
              <w:spacing w:before="40" w:after="40"/>
              <w:jc w:val="left"/>
            </w:pPr>
            <w:r>
              <w:rPr>
                <w:sz w:val="19"/>
              </w:rPr>
              <w:t>immutable catalogue ID/version/hash, manifest/hash, exact test definitions and acceptance identity; independently resolvable for historical execution review/export.</w:t>
            </w:r>
          </w:p>
        </w:tc>
      </w:tr>
    </w:tbl>
    <w:p>
      <w:pPr/>
    </w:p>
    <w:p>
      <w:pPr/>
      <w:r>
        <w:t>ConstituentCaseDefinition is controlled definition data, not runtime network configuration. Its comparison_expected_values contains only predetermined engineering/case expectations; build/catalogue/test/case hashes and identities are separate provenance/binding fields. AcceptedCatalogueRevision is an immutable historical engineering input. CompositeValidationResult is a validation-assurance record, not a ScenarioRun, ValidationExecution or operational event. It owns no engineering scenario time; each constituent retains its own controlled time, while any composite audit timestamp is administrative only. Generated record identities are UUIDs; stable case IDs are controlled engineering identifiers within their parent test.</w:t>
      </w:r>
    </w:p>
    <w:p>
      <w:pPr>
        <w:pStyle w:val="Heading2"/>
      </w:pPr>
      <w:r>
        <w:t>36.2 Ownership and Service Boundaries</w:t>
      </w:r>
    </w:p>
    <w:p>
      <w:pPr/>
      <w:r>
        <w:t>•</w:t>
        <w:tab/>
        <w:t>The validation catalogue authority owns the current accepted catalogue for new executions and an identity-based resolver for immutable accepted historical catalogue/test-definition packages.</w:t>
      </w:r>
    </w:p>
    <w:p>
      <w:pPr/>
      <w:r>
        <w:t>•</w:t>
        <w:tab/>
        <w:t>The validation service verifies test/case membership, binds one case to one existing run, fixes engineering expected values before evidence capture and validates dynamic catalogue/test/case/build identities separately as provenance.</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and historical source-definition identities; React does not calculate completeness, provenance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Accepted catalogue packages/manifests are immutable controlled inputs outside mutable run state and remain resolvable by identity. Missing, unexecuted, duplicate or identity-mismatched cases leave an assembly incomplete without a verdict. Repeats create new composite, run, execution and evidence identities. After catalogue promotion, unfinished executions bound to an older definition are historical/read-only and cannot accept evidence or finalisation under the new definition.</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constituent-controlled scenario/checkpoint time, case verdict and evidence link. Source catalogue/test-definition identity, common build/configuration and EXPLORATORY identity remain visible. Historical finalised executions remain reviewable through their original catalogue/definition after promotion. A reviewer can open each constituent independently. FORMAL progress calculations exclude constituent and composite exploratory records.</w:t>
      </w:r>
    </w:p>
    <w:p>
      <w:pPr/>
      <w:r>
        <w:t>Finalise Composite is backend-authorised only when the exact controlled completeness and provenance rules are satisfied. The interface does not offer PASS selection, allow constituent substitution or treat a visual checklist as determination evidence. An incomplete assembly is labelled INCOMPLETE / NO VERDICT rather than PASS, FAIL or silently BLOCKED-TEST. The composite does not display one authoritative engineering scenario time; administrative audit time is identified separately.</w:t>
      </w:r>
    </w:p>
    <w:p>
      <w:pPr>
        <w:pStyle w:val="Heading2"/>
      </w:pPr>
      <w:r>
        <w:t>36.5 Evidence Export</w:t>
      </w:r>
    </w:p>
    <w:p>
      <w:pPr/>
      <w:r>
        <w:t>Existing I8 per-execution ZIPs remain valid and immutable. Historical export resolves the execution-bound source catalogue/test definition by stored catalogue version/hash and test-definition version/hash, not by equality with the current catalogue. A later application build may package that evidence only while retaining the original source catalogue/test-definition identity separately from the generation build; it never relabels old evidence under the promoted catalogue. A test-level package is generated only from a finalised immutable composite plus all preserved constituent records/evidence, remains EXPLORATORY and never reconstructs mutable scenario state.</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r>
        <w:trPr>
          <w:cantSplit/>
        </w:trPr>
        <w:tc>
          <w:tcPr>
            <w:tcW w:type="dxa" w:w="4680"/>
            <w:vAlign w:val="center"/>
          </w:tcPr>
          <w:p>
            <w:pPr>
              <w:spacing w:before="40" w:after="40"/>
              <w:jc w:val="left"/>
            </w:pPr>
            <w:r>
              <w:rPr>
                <w:sz w:val="19"/>
              </w:rPr>
              <w:t>Resolve historical export only against current catalogue</w:t>
            </w:r>
          </w:p>
        </w:tc>
        <w:tc>
          <w:tcPr>
            <w:tcW w:type="dxa" w:w="4680"/>
            <w:vAlign w:val="center"/>
          </w:tcPr>
          <w:p>
            <w:pPr>
              <w:spacing w:before="40" w:after="40"/>
              <w:jc w:val="left"/>
            </w:pPr>
            <w:r>
              <w:rPr>
                <w:sz w:val="19"/>
              </w:rPr>
              <w:t>Resolve the execution-bound immutable source catalogue/test definition by stored version/hash identity; keep current catalogue authority for new executions.</w:t>
            </w:r>
          </w:p>
        </w:tc>
      </w:tr>
      <w:tr>
        <w:trPr>
          <w:cantSplit/>
        </w:trPr>
        <w:tc>
          <w:tcPr>
            <w:tcW w:type="dxa" w:w="4680"/>
            <w:vAlign w:val="center"/>
          </w:tcPr>
          <w:p>
            <w:pPr>
              <w:spacing w:before="40" w:after="40"/>
              <w:jc w:val="left"/>
            </w:pPr>
            <w:r>
              <w:rPr>
                <w:sz w:val="19"/>
              </w:rPr>
              <w:t>Continue unfinished old-catalogue execution after promotion</w:t>
            </w:r>
          </w:p>
        </w:tc>
        <w:tc>
          <w:tcPr>
            <w:tcW w:type="dxa" w:w="4680"/>
            <w:vAlign w:val="center"/>
          </w:tcPr>
          <w:p>
            <w:pPr>
              <w:spacing w:before="40" w:after="40"/>
              <w:jc w:val="left"/>
            </w:pPr>
            <w:r>
              <w:rPr>
                <w:sz w:val="19"/>
              </w:rPr>
              <w:t>Keep it historical/read-only and require a new execution under the active accepted catalogue.</w:t>
            </w:r>
          </w:p>
        </w:tc>
      </w:tr>
      <w:tr>
        <w:trPr>
          <w:cantSplit/>
        </w:trPr>
        <w:tc>
          <w:tcPr>
            <w:tcW w:type="dxa" w:w="4680"/>
            <w:vAlign w:val="center"/>
          </w:tcPr>
          <w:p>
            <w:pPr>
              <w:spacing w:before="40" w:after="40"/>
              <w:jc w:val="left"/>
            </w:pPr>
            <w:r>
              <w:rPr>
                <w:sz w:val="19"/>
              </w:rPr>
              <w:t>Compare dynamic hashes/build ID as engineering expected values</w:t>
            </w:r>
          </w:p>
        </w:tc>
        <w:tc>
          <w:tcPr>
            <w:tcW w:type="dxa" w:w="4680"/>
            <w:vAlign w:val="center"/>
          </w:tcPr>
          <w:p>
            <w:pPr>
              <w:spacing w:before="40" w:after="40"/>
              <w:jc w:val="left"/>
            </w:pPr>
            <w:r>
              <w:rPr>
                <w:sz w:val="19"/>
              </w:rPr>
              <w:t>Validate them separately as provenance/binding invariants; comparison_expected_values contains predetermined engineering/case expectations only.</w:t>
            </w:r>
          </w:p>
        </w:tc>
      </w:tr>
      <w:tr>
        <w:trPr>
          <w:cantSplit/>
        </w:trPr>
        <w:tc>
          <w:tcPr>
            <w:tcW w:type="dxa" w:w="4680"/>
            <w:vAlign w:val="center"/>
          </w:tcPr>
          <w:p>
            <w:pPr>
              <w:spacing w:before="40" w:after="40"/>
              <w:jc w:val="left"/>
            </w:pPr>
            <w:r>
              <w:rPr>
                <w:sz w:val="19"/>
              </w:rPr>
              <w:t>Give the composite one engineering scenario time</w:t>
            </w:r>
          </w:p>
        </w:tc>
        <w:tc>
          <w:tcPr>
            <w:tcW w:type="dxa" w:w="4680"/>
            <w:vAlign w:val="center"/>
          </w:tcPr>
          <w:p>
            <w:pPr>
              <w:spacing w:before="40" w:after="40"/>
              <w:jc w:val="left"/>
            </w:pPr>
            <w:r>
              <w:rPr>
                <w:sz w:val="19"/>
              </w:rPr>
              <w:t>Retain each constituent's controlled time; any composite audit timestamp is administrative and does not affect determination.</w:t>
            </w:r>
          </w:p>
        </w:tc>
      </w:tr>
    </w:tbl>
    <w:p>
      <w:pPr/>
    </w:p>
    <w:p>
      <w:pPr>
        <w:pStyle w:val="Heading2"/>
      </w:pPr>
      <w:r>
        <w:t>36.7 Implementation and Verification Impact</w:t>
      </w:r>
    </w:p>
    <w:p>
      <w:pPr/>
      <w:r>
        <w:t>After independent acceptance and separate authorisation, bounded implementation affects immutable accepted-catalogue revision preservation, identity-based catalogue/test-definition resolution, validation catalogue/contracts, observed engineering comparison projection, separate provenance gates, SQLite validation-assurance migration/repository, composite service, historical read-only execution enforcement, validation/evidence read models, review presentation, historical/composite export and focused tests. The exact catalogue-package filesystem/repository arrangement remains a bounded implementation choice. No topology, outage, restoration, scenario electrical algorithm, controlled network configuration, 15-event catalogue or RTM mapping changes.</w:t>
      </w:r>
    </w:p>
    <w:p>
      <w:pPr/>
      <w:r>
        <w:t>Verification covers all nine VT-EXP-ALL-001 and four VT-EXP-ROLE-001 cases; exact-set PASS; constituent FAIL; missing/duplicate/provenance mismatch; independent reviewability; FORMAL-progress isolation; database immutability; export links; deterministic rerun equivalence; v1.0 finalised execution review/export after catalogue promotion with original source definition plus separate generation build; a new execution bound to the promoted identity; rejection of unfinished old-catalogue continuation/finalisation; engineering-comparison/provenance separation; and independent constituent scenario times. Counts remain 24 catalogue tests, 124 requirements and 286 exact RTM relationships.</w:t>
      </w:r>
    </w:p>
    <w:p>
      <w:pPr>
        <w:pStyle w:val="Heading2"/>
      </w:pPr>
      <w:r>
        <w:t>36.8 Proposal Gate</w:t>
      </w:r>
    </w:p>
    <w:p>
      <w:pPr/>
      <w:r>
        <w:t>DC-004 core architecture is accepted in substance, with this bounded correction pending final independent review. It does not authorise implementation or resume I9. Machine-readable catalogue/contracts remain at the accepted I8 baseline pending separate acceptance and controlled application.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