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1.1 — Proposed DC-004 controlled revision</w:t>
        <w:br/>
        <w:t>Status: Proposed DC-004 core accepted in substance; bounded correction pending final independent review; v1.0 remains the accepted baseline</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rPr>
          <w:b w:val="0"/>
          <w:i w:val="0"/>
        </w:rPr>
        <w:t>A numerical/display match alone is insufficient. PASS requires the expected source records, derivation/calculation evidence, classification and traceability links. Missing mandatory evidence makes the test FAIL unless the test itself could not run, in which case BLOCKED-TEST is used with a reason. Export generation never changes the underlying execution verdict.</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Proposed Controlled Amendment — DC-004 Multi-Run Exploratory Validation Determination</w:t>
      </w:r>
    </w:p>
    <w:p>
      <w:pPr/>
      <w:r>
        <w:t>This proposed amendment resolves the I9 stop condition for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content and immutability remain unchanged; accepted catalogue revisions are immutable historical engineering inputs, and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comparison_expected_values contains only predetermined engineering/case expectations from the accepted oracle—such as selected section, affected/alternate feeder, incident-boundary set, telemetry freshness/proof state, restoration candidate, load, capacity and outcome. Dynamic build, catalogue, test-definition and case-definition identities are separate provenance/binding invariants, not ordinary expected-versus-observed engineering fields. Starting a constituent requires test_id, case_id and one scenario_run_id. The validation authority verifies membership, fixes the engineering oracle before execution and records the case and provenance identities on the execution/evidence.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the predetermined selected_fault_section_id. Scenario mode EXPLORATION, evidence class EXPLORATORY, corrected configuration identity/version 1.1, backend build identity, catalogue/test-definition identity and case-definition identity are validated separately as provenance/binding invariants.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compare the selected fault and case-specific engineering fields in the table. EXPLORATION/EXPLORATORY classification, corrected v1.1 configuration, backend build and catalogue/test/case-definition identities are separate provenance/binding invariants. REJECTED and NO_CANDIDATE are expected operational results and yield a case-level validation PASS when the structured engineering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r>
              <w:t>composite_result_id; test ID; test-definition version/hash; catalogue version/hash; optional administrative created/finalised audit timestamps, never engineering scenario time.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 The composite owns no authoritative scenario time: each constituent retains its own controlled run/checkpoint time. Any composite created/finalised timestamp is administrative audit metadata only and cannot participate in engineering comparison or aggregate determination.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Historical Catalogue Resolution, Review and Export</w:t>
      </w:r>
    </w:p>
    <w:p>
      <w:pPr/>
      <w:r>
        <w:t>Database-level controls reject update/delete of a finalised composite and replacement, deletion or late insertion of its constituent links. A repeat/corrected campaign creates new composite, run, execution and evidence identities. Accepted catalogue revisions are preserved as immutable historical engineering inputs. Before the DC-004 catalogue is promoted, the exact accepted catalogue v1.0 package and its manifest/hash must remain independently resolvable. New executions bind to the active accepted catalogue. Historical finalised executions resolve their original catalogue/test definition from the version/hash identities stored on the execution rather than requiring equality with the active catalogue. An unfinished old-catalogue execution becomes historical/read-only after promotion: it cannot capture more evidence or be continued/finalised against the new definition, and a new execution is required. The exact filesystem/repository arrangement is an implementation decision and must not weaken this identity rule.</w:t>
      </w:r>
    </w:p>
    <w:p>
      <w:pPr/>
      <w:r>
        <w:t>Existing I8 evidence ZIPs remain valid and immutable. A later build may export a finalised historical execution, but the package resolves and includes the execution-bound source catalogue/test-definition identity separately from the generation application-build identity and never relabels old evidence under the promoted catalogue. A requested catalogue-level package may be produced only from a finalised immutable composite and its preserved constituent records/evidence. It contains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After independent acceptance, the two affected definition versions and catalogue/manifest hashes change under controlled application; the exact accepted catalogue v1.0 package/manifest remains preserved and historical executions remain bound to its source identity. Machine catalogue/contracts remain unchanged while this proposal is under review.</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unchanged counts of 15 events, 24 tests, 124 requirements and 286 RTM pairs; finalise an execution under catalogue v1.0, promote the controlled DC-004 revision, reopen and resolve the exact original definition, and export it with original source-catalogue/test identity plus separate generation build; bind a new execution to the promoted identity; reject continuation/finalisation of an unfinished old-catalogue execution; and prove dynamic provenance identities are excluded from engineering comparison fields but enforced by binding/finalisation gates.</w:t>
      </w:r>
    </w:p>
    <w:p>
      <w:pPr>
        <w:pStyle w:val="Heading2"/>
      </w:pPr>
      <w:r>
        <w:t>19.9 Proposal Gate</w:t>
      </w:r>
    </w:p>
    <w:p>
      <w:pPr/>
      <w:r>
        <w:t>DC-004 core architecture is accepted in substance, with this bounded correction pending final independent review. It does not authorise machine-readable catalogue/schema/application changes and does not resume I9. If accepted, it must be applied to controlled validation identities/contracts—including historical catalogue resolution—and cross-document verified before I9 receives separate authorisation to resume.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