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rPr>
          <w:sz w:val="20"/>
        </w:rPr>
        <w:t>Operational Technology Graduate Demonstration Project</w:t>
        <w:br/>
        <w:t>Document: OT Project Workflow Design</w:t>
        <w:br/>
        <w:t>Version: 0.2</w:t>
        <w:br/>
        <w:t>Status: Draft</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title="Formal SEC-A2 N0 to N5 workflow" descr="Operator/reviewer actions, source and OT functions, and graduate validation activities aligned across the N0 normal through N5 downstream-restored sequence."/>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title="DEF-001 investigation, correction and revalidation workflow" descr="Preserved v1.0 failure leads through source-consequence investigation, SW-A23 endpoint correction record, same-build v1.1 repeat and formal N0 to N5 regression."/>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r>
        <w:trPr>
          <w:cantSplit/>
          <w:cantSplit/>
        </w:trPr>
        <w:tc>
          <w:tcPr>
            <w:tcW w:type="dxa" w:w="1700"/>
            <w:tcMar>
              <w:top w:w="80" w:type="dxa"/>
              <w:start w:w="100" w:type="dxa"/>
              <w:bottom w:w="80" w:type="dxa"/>
              <w:end w:w="100" w:type="dxa"/>
            </w:tcMar>
            <w:vAlign w:val="center"/>
          </w:tcPr>
          <w:p>
            <w:pPr>
              <w:spacing w:before="20" w:after="20"/>
            </w:pPr>
            <w:r>
              <w:rPr>
                <w:rFonts w:ascii="Roboto Mono" w:hAnsi="Roboto Mono" w:eastAsia="Roboto Mono"/>
                <w:color w:val="188038"/>
                <w:sz w:val="16"/>
              </w:rPr>
              <w:t>AD-WF-017</w:t>
            </w:r>
          </w:p>
        </w:tc>
        <w:tc>
          <w:tcPr>
            <w:tcW w:type="dxa" w:w="7660"/>
            <w:tcMar>
              <w:top w:w="80" w:type="dxa"/>
              <w:start w:w="100" w:type="dxa"/>
              <w:bottom w:w="80" w:type="dxa"/>
              <w:end w:w="100" w:type="dxa"/>
            </w:tcMar>
            <w:vAlign w:val="center"/>
          </w:tcPr>
          <w:p>
            <w:pPr>
              <w:spacing w:before="20" w:after="20"/>
            </w:pPr>
            <w:r>
              <w:rPr>
                <w:sz w:val="16"/>
              </w:rPr>
              <w:t>For the active fault, derive incident switchable boundaries from configuration, evaluate A/B/C evidence, expose only authorised OPEN actions and fully recalculate after every accepted command or valid telemetry update until all boundaries are proven OPEN and zero source paths remain.</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p>
      <w:pPr>
        <w:pStyle w:val="Heading1"/>
        <w:keepNext/>
      </w:pPr>
      <w:r>
        <w:t>27. Controlled Amendment — DC-003 Generic Isolation Workflow</w:t>
      </w:r>
    </w:p>
    <w:p>
      <w:pPr>
        <w:pStyle w:val="Heading2"/>
        <w:keepNext/>
      </w:pPr>
      <w:r>
        <w:t>27.1 Entry and Derivation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5"/>
              </w:rPr>
              <w:t>Sequence</w:t>
            </w:r>
          </w:p>
        </w:tc>
        <w:tc>
          <w:tcPr>
            <w:tcW w:type="dxa" w:w="1800"/>
            <w:shd w:fill="E7E7E7"/>
            <w:tcMar>
              <w:top w:w="80" w:type="dxa"/>
              <w:start w:w="100" w:type="dxa"/>
              <w:bottom w:w="80" w:type="dxa"/>
              <w:end w:w="100" w:type="dxa"/>
            </w:tcMar>
            <w:vAlign w:val="center"/>
          </w:tcPr>
          <w:p>
            <w:pPr>
              <w:spacing w:before="40" w:after="40"/>
              <w:jc w:val="center"/>
            </w:pPr>
            <w:r>
              <w:rPr>
                <w:b/>
                <w:sz w:val="15"/>
              </w:rPr>
              <w:t>Actor / component</w:t>
            </w:r>
          </w:p>
        </w:tc>
        <w:tc>
          <w:tcPr>
            <w:tcW w:type="dxa" w:w="3888"/>
            <w:shd w:fill="E7E7E7"/>
            <w:tcMar>
              <w:top w:w="80" w:type="dxa"/>
              <w:start w:w="100" w:type="dxa"/>
              <w:bottom w:w="80" w:type="dxa"/>
              <w:end w:w="100" w:type="dxa"/>
            </w:tcMar>
            <w:vAlign w:val="center"/>
          </w:tcPr>
          <w:p>
            <w:pPr>
              <w:spacing w:before="40" w:after="40"/>
              <w:jc w:val="center"/>
            </w:pPr>
            <w:r>
              <w:rPr>
                <w:b/>
                <w:sz w:val="15"/>
              </w:rPr>
              <w:t>Controlled activity</w:t>
            </w:r>
          </w:p>
        </w:tc>
        <w:tc>
          <w:tcPr>
            <w:tcW w:type="dxa" w:w="2880"/>
            <w:shd w:fill="E7E7E7"/>
            <w:tcMar>
              <w:top w:w="80" w:type="dxa"/>
              <w:start w:w="100" w:type="dxa"/>
              <w:bottom w:w="80" w:type="dxa"/>
              <w:end w:w="100" w:type="dxa"/>
            </w:tcMar>
            <w:vAlign w:val="center"/>
          </w:tcPr>
          <w:p>
            <w:pPr>
              <w:spacing w:before="40" w:after="40"/>
              <w:jc w:val="center"/>
            </w:pPr>
            <w:r>
              <w:rPr>
                <w:b/>
                <w:sz w:val="15"/>
              </w:rPr>
              <w:t>Required result / record</w:t>
            </w:r>
          </w:p>
        </w:tc>
      </w:tr>
      <w:tr>
        <w:trPr>
          <w:cantSplit/>
        </w:trPr>
        <w:tc>
          <w:tcPr>
            <w:tcW w:type="dxa" w:w="792"/>
            <w:tcMar>
              <w:top w:w="80" w:type="dxa"/>
              <w:start w:w="100" w:type="dxa"/>
              <w:bottom w:w="80" w:type="dxa"/>
              <w:end w:w="100" w:type="dxa"/>
            </w:tcMar>
            <w:vAlign w:val="center"/>
          </w:tcPr>
          <w:p>
            <w:pPr>
              <w:spacing w:before="20" w:after="20"/>
            </w:pPr>
            <w:r>
              <w:rPr>
                <w:sz w:val="15"/>
              </w:rPr>
              <w:t>1</w:t>
            </w:r>
          </w:p>
        </w:tc>
        <w:tc>
          <w:tcPr>
            <w:tcW w:type="dxa" w:w="1800"/>
            <w:tcMar>
              <w:top w:w="80" w:type="dxa"/>
              <w:start w:w="100" w:type="dxa"/>
              <w:bottom w:w="80" w:type="dxa"/>
              <w:end w:w="100" w:type="dxa"/>
            </w:tcMar>
            <w:vAlign w:val="center"/>
          </w:tcPr>
          <w:p>
            <w:pPr>
              <w:spacing w:before="20" w:after="20"/>
            </w:pPr>
            <w:r>
              <w:rPr>
                <w:sz w:val="15"/>
              </w:rPr>
              <w:t>Scenario Coordinator</w:t>
            </w:r>
          </w:p>
        </w:tc>
        <w:tc>
          <w:tcPr>
            <w:tcW w:type="dxa" w:w="3888"/>
            <w:tcMar>
              <w:top w:w="80" w:type="dxa"/>
              <w:start w:w="100" w:type="dxa"/>
              <w:bottom w:w="80" w:type="dxa"/>
              <w:end w:w="100" w:type="dxa"/>
            </w:tcMar>
            <w:vAlign w:val="center"/>
          </w:tcPr>
          <w:p>
            <w:pPr>
              <w:spacing w:before="20" w:after="20"/>
            </w:pPr>
            <w:r>
              <w:rPr>
                <w:sz w:val="15"/>
              </w:rPr>
              <w:t>Receive the active fault section and current run/configuration revision.</w:t>
            </w:r>
          </w:p>
        </w:tc>
        <w:tc>
          <w:tcPr>
            <w:tcW w:type="dxa" w:w="2880"/>
            <w:tcMar>
              <w:top w:w="80" w:type="dxa"/>
              <w:start w:w="100" w:type="dxa"/>
              <w:bottom w:w="80" w:type="dxa"/>
              <w:end w:w="100" w:type="dxa"/>
            </w:tcMar>
            <w:vAlign w:val="center"/>
          </w:tcPr>
          <w:p>
            <w:pPr>
              <w:spacing w:before="20" w:after="20"/>
            </w:pPr>
            <w:r>
              <w:rPr>
                <w:sz w:val="15"/>
              </w:rPr>
              <w:t>Active fault remains transient scenario state; formal mode remains SEC-A2.</w:t>
            </w:r>
          </w:p>
        </w:tc>
      </w:tr>
      <w:tr>
        <w:trPr>
          <w:cantSplit/>
        </w:trPr>
        <w:tc>
          <w:tcPr>
            <w:tcW w:type="dxa" w:w="792"/>
            <w:tcMar>
              <w:top w:w="80" w:type="dxa"/>
              <w:start w:w="100" w:type="dxa"/>
              <w:bottom w:w="80" w:type="dxa"/>
              <w:end w:w="100" w:type="dxa"/>
            </w:tcMar>
            <w:vAlign w:val="center"/>
          </w:tcPr>
          <w:p>
            <w:pPr>
              <w:spacing w:before="20" w:after="20"/>
            </w:pPr>
            <w:r>
              <w:rPr>
                <w:sz w:val="15"/>
              </w:rPr>
              <w:t>2</w:t>
            </w:r>
          </w:p>
        </w:tc>
        <w:tc>
          <w:tcPr>
            <w:tcW w:type="dxa" w:w="1800"/>
            <w:tcMar>
              <w:top w:w="80" w:type="dxa"/>
              <w:start w:w="100" w:type="dxa"/>
              <w:bottom w:w="80" w:type="dxa"/>
              <w:end w:w="100" w:type="dxa"/>
            </w:tcMar>
            <w:vAlign w:val="center"/>
          </w:tcPr>
          <w:p>
            <w:pPr>
              <w:spacing w:before="20" w:after="20"/>
            </w:pPr>
            <w:r>
              <w:rPr>
                <w:sz w:val="15"/>
              </w:rPr>
              <w:t>Topology Processing</w:t>
            </w:r>
          </w:p>
        </w:tc>
        <w:tc>
          <w:tcPr>
            <w:tcW w:type="dxa" w:w="3888"/>
            <w:tcMar>
              <w:top w:w="80" w:type="dxa"/>
              <w:start w:w="100" w:type="dxa"/>
              <w:bottom w:w="80" w:type="dxa"/>
              <w:end w:w="100" w:type="dxa"/>
            </w:tcMar>
            <w:vAlign w:val="center"/>
          </w:tcPr>
          <w:p>
            <w:pPr>
              <w:spacing w:before="20" w:after="20"/>
            </w:pPr>
            <w:r>
              <w:rPr>
                <w:sz w:val="15"/>
              </w:rPr>
              <w:t>Query the selected configuration for all directly incident switchable devices.</w:t>
            </w:r>
          </w:p>
        </w:tc>
        <w:tc>
          <w:tcPr>
            <w:tcW w:type="dxa" w:w="2880"/>
            <w:tcMar>
              <w:top w:w="80" w:type="dxa"/>
              <w:start w:w="100" w:type="dxa"/>
              <w:bottom w:w="80" w:type="dxa"/>
              <w:end w:w="100" w:type="dxa"/>
            </w:tcMar>
            <w:vAlign w:val="center"/>
          </w:tcPr>
          <w:p>
            <w:pPr>
              <w:spacing w:before="20" w:after="20"/>
            </w:pPr>
            <w:r>
              <w:rPr>
                <w:sz w:val="15"/>
              </w:rPr>
              <w:t>Complete boundary-device set returned from connectivity; no section lookup.</w:t>
            </w:r>
          </w:p>
        </w:tc>
      </w:tr>
      <w:tr>
        <w:trPr>
          <w:cantSplit/>
        </w:trPr>
        <w:tc>
          <w:tcPr>
            <w:tcW w:type="dxa" w:w="792"/>
            <w:tcMar>
              <w:top w:w="80" w:type="dxa"/>
              <w:start w:w="100" w:type="dxa"/>
              <w:bottom w:w="80" w:type="dxa"/>
              <w:end w:w="100" w:type="dxa"/>
            </w:tcMar>
            <w:vAlign w:val="center"/>
          </w:tcPr>
          <w:p>
            <w:pPr>
              <w:spacing w:before="20" w:after="20"/>
            </w:pPr>
            <w:r>
              <w:rPr>
                <w:sz w:val="15"/>
              </w:rPr>
              <w:t>3</w:t>
            </w:r>
          </w:p>
        </w:tc>
        <w:tc>
          <w:tcPr>
            <w:tcW w:type="dxa" w:w="1800"/>
            <w:tcMar>
              <w:top w:w="80" w:type="dxa"/>
              <w:start w:w="100" w:type="dxa"/>
              <w:bottom w:w="80" w:type="dxa"/>
              <w:end w:w="100" w:type="dxa"/>
            </w:tcMar>
            <w:vAlign w:val="center"/>
          </w:tcPr>
          <w:p>
            <w:pPr>
              <w:spacing w:before="20" w:after="20"/>
            </w:pPr>
            <w:r>
              <w:rPr>
                <w:sz w:val="15"/>
              </w:rPr>
              <w:t>Telemetry + Topology</w:t>
            </w:r>
          </w:p>
        </w:tc>
        <w:tc>
          <w:tcPr>
            <w:tcW w:type="dxa" w:w="3888"/>
            <w:tcMar>
              <w:top w:w="80" w:type="dxa"/>
              <w:start w:w="100" w:type="dxa"/>
              <w:bottom w:w="80" w:type="dxa"/>
              <w:end w:w="100" w:type="dxa"/>
            </w:tcMar>
            <w:vAlign w:val="center"/>
          </w:tcPr>
          <w:p>
            <w:pPr>
              <w:spacing w:before="20" w:after="20"/>
            </w:pPr>
            <w:r>
              <w:rPr>
                <w:sz w:val="15"/>
              </w:rPr>
              <w:t>Evaluate each device value, quality, timestamp and freshness under Conditions A/B/C.</w:t>
            </w:r>
          </w:p>
        </w:tc>
        <w:tc>
          <w:tcPr>
            <w:tcW w:type="dxa" w:w="2880"/>
            <w:tcMar>
              <w:top w:w="80" w:type="dxa"/>
              <w:start w:w="100" w:type="dxa"/>
              <w:bottom w:w="80" w:type="dxa"/>
              <w:end w:w="100" w:type="dxa"/>
            </w:tcMar>
            <w:vAlign w:val="center"/>
          </w:tcPr>
          <w:p>
            <w:pPr>
              <w:spacing w:before="20" w:after="20"/>
            </w:pPr>
            <w:r>
              <w:rPr>
                <w:sz w:val="15"/>
              </w:rPr>
              <w:t>Each boundary becomes PROVEN OPEN, PROVEN CLOSED or UNPROVEN with evidence/reason.</w:t>
            </w:r>
          </w:p>
        </w:tc>
      </w:tr>
      <w:tr>
        <w:trPr>
          <w:cantSplit/>
        </w:trPr>
        <w:tc>
          <w:tcPr>
            <w:tcW w:type="dxa" w:w="792"/>
            <w:tcMar>
              <w:top w:w="80" w:type="dxa"/>
              <w:start w:w="100" w:type="dxa"/>
              <w:bottom w:w="80" w:type="dxa"/>
              <w:end w:w="100" w:type="dxa"/>
            </w:tcMar>
            <w:vAlign w:val="center"/>
          </w:tcPr>
          <w:p>
            <w:pPr>
              <w:spacing w:before="20" w:after="20"/>
            </w:pPr>
            <w:r>
              <w:rPr>
                <w:sz w:val="15"/>
              </w:rPr>
              <w:t>4</w:t>
            </w:r>
          </w:p>
        </w:tc>
        <w:tc>
          <w:tcPr>
            <w:tcW w:type="dxa" w:w="1800"/>
            <w:tcMar>
              <w:top w:w="80" w:type="dxa"/>
              <w:start w:w="100" w:type="dxa"/>
              <w:bottom w:w="80" w:type="dxa"/>
              <w:end w:w="100" w:type="dxa"/>
            </w:tcMar>
            <w:vAlign w:val="center"/>
          </w:tcPr>
          <w:p>
            <w:pPr>
              <w:spacing w:before="20" w:after="20"/>
            </w:pPr>
            <w:r>
              <w:rPr>
                <w:sz w:val="15"/>
              </w:rPr>
              <w:t>Coordinator</w:t>
            </w:r>
          </w:p>
        </w:tc>
        <w:tc>
          <w:tcPr>
            <w:tcW w:type="dxa" w:w="3888"/>
            <w:tcMar>
              <w:top w:w="80" w:type="dxa"/>
              <w:start w:w="100" w:type="dxa"/>
              <w:bottom w:w="80" w:type="dxa"/>
              <w:end w:w="100" w:type="dxa"/>
            </w:tcMar>
            <w:vAlign w:val="center"/>
          </w:tcPr>
          <w:p>
            <w:pPr>
              <w:spacing w:before="20" w:after="20"/>
            </w:pPr>
            <w:r>
              <w:rPr>
                <w:sz w:val="15"/>
              </w:rPr>
              <w:t>Apply existing workflow, actor, revision and command gates to PROVEN CLOSED boundaries.</w:t>
            </w:r>
          </w:p>
        </w:tc>
        <w:tc>
          <w:tcPr>
            <w:tcW w:type="dxa" w:w="2880"/>
            <w:tcMar>
              <w:top w:w="80" w:type="dxa"/>
              <w:start w:w="100" w:type="dxa"/>
              <w:bottom w:w="80" w:type="dxa"/>
              <w:end w:w="100" w:type="dxa"/>
            </w:tcMar>
            <w:vAlign w:val="center"/>
          </w:tcPr>
          <w:p>
            <w:pPr>
              <w:spacing w:before="20" w:after="20"/>
            </w:pPr>
            <w:r>
              <w:rPr>
                <w:sz w:val="15"/>
              </w:rPr>
              <w:t>Zero, one or multiple authorised OPEN actions may be available; no CLOSE isolation action.</w:t>
            </w:r>
          </w:p>
        </w:tc>
      </w:tr>
      <w:tr>
        <w:trPr>
          <w:cantSplit/>
        </w:trPr>
        <w:tc>
          <w:tcPr>
            <w:tcW w:type="dxa" w:w="792"/>
            <w:tcMar>
              <w:top w:w="80" w:type="dxa"/>
              <w:start w:w="100" w:type="dxa"/>
              <w:bottom w:w="80" w:type="dxa"/>
              <w:end w:w="100" w:type="dxa"/>
            </w:tcMar>
            <w:vAlign w:val="center"/>
          </w:tcPr>
          <w:p>
            <w:pPr>
              <w:spacing w:before="20" w:after="20"/>
            </w:pPr>
            <w:r>
              <w:rPr>
                <w:sz w:val="15"/>
              </w:rPr>
              <w:t>5</w:t>
            </w:r>
          </w:p>
        </w:tc>
        <w:tc>
          <w:tcPr>
            <w:tcW w:type="dxa" w:w="1800"/>
            <w:tcMar>
              <w:top w:w="80" w:type="dxa"/>
              <w:start w:w="100" w:type="dxa"/>
              <w:bottom w:w="80" w:type="dxa"/>
              <w:end w:w="100" w:type="dxa"/>
            </w:tcMar>
            <w:vAlign w:val="center"/>
          </w:tcPr>
          <w:p>
            <w:pPr>
              <w:spacing w:before="20" w:after="20"/>
            </w:pPr>
            <w:r>
              <w:rPr>
                <w:sz w:val="15"/>
              </w:rPr>
              <w:t>Operator/reviewer</w:t>
            </w:r>
          </w:p>
        </w:tc>
        <w:tc>
          <w:tcPr>
            <w:tcW w:type="dxa" w:w="3888"/>
            <w:tcMar>
              <w:top w:w="80" w:type="dxa"/>
              <w:start w:w="100" w:type="dxa"/>
              <w:bottom w:w="80" w:type="dxa"/>
              <w:end w:w="100" w:type="dxa"/>
            </w:tcMar>
            <w:vAlign w:val="center"/>
          </w:tcPr>
          <w:p>
            <w:pPr>
              <w:spacing w:before="20" w:after="20"/>
            </w:pPr>
            <w:r>
              <w:rPr>
                <w:sz w:val="15"/>
              </w:rPr>
              <w:t>Select at most one currently authorised OPEN action.</w:t>
            </w:r>
          </w:p>
        </w:tc>
        <w:tc>
          <w:tcPr>
            <w:tcW w:type="dxa" w:w="2880"/>
            <w:tcMar>
              <w:top w:w="80" w:type="dxa"/>
              <w:start w:w="100" w:type="dxa"/>
              <w:bottom w:w="80" w:type="dxa"/>
              <w:end w:w="100" w:type="dxa"/>
            </w:tcMar>
            <w:vAlign w:val="center"/>
          </w:tcPr>
          <w:p>
            <w:pPr>
              <w:spacing w:before="20" w:after="20"/>
            </w:pPr>
            <w:r>
              <w:rPr>
                <w:sz w:val="15"/>
              </w:rPr>
              <w:t>Accepted command is recorded before derived recalculation.</w:t>
            </w:r>
          </w:p>
        </w:tc>
      </w:tr>
      <w:tr>
        <w:trPr>
          <w:cantSplit/>
        </w:trPr>
        <w:tc>
          <w:tcPr>
            <w:tcW w:type="dxa" w:w="792"/>
            <w:tcMar>
              <w:top w:w="80" w:type="dxa"/>
              <w:start w:w="100" w:type="dxa"/>
              <w:bottom w:w="80" w:type="dxa"/>
              <w:end w:w="100" w:type="dxa"/>
            </w:tcMar>
            <w:vAlign w:val="center"/>
          </w:tcPr>
          <w:p>
            <w:pPr>
              <w:spacing w:before="20" w:after="20"/>
            </w:pPr>
            <w:r>
              <w:rPr>
                <w:sz w:val="15"/>
              </w:rPr>
              <w:t>6</w:t>
            </w:r>
          </w:p>
        </w:tc>
        <w:tc>
          <w:tcPr>
            <w:tcW w:type="dxa" w:w="1800"/>
            <w:tcMar>
              <w:top w:w="80" w:type="dxa"/>
              <w:start w:w="100" w:type="dxa"/>
              <w:bottom w:w="80" w:type="dxa"/>
              <w:end w:w="100" w:type="dxa"/>
            </w:tcMar>
            <w:vAlign w:val="center"/>
          </w:tcPr>
          <w:p>
            <w:pPr>
              <w:spacing w:before="20" w:after="20"/>
            </w:pPr>
            <w:r>
              <w:rPr>
                <w:sz w:val="15"/>
              </w:rPr>
              <w:t>Coordinator + domain engine</w:t>
            </w:r>
          </w:p>
        </w:tc>
        <w:tc>
          <w:tcPr>
            <w:tcW w:type="dxa" w:w="3888"/>
            <w:tcMar>
              <w:top w:w="80" w:type="dxa"/>
              <w:start w:w="100" w:type="dxa"/>
              <w:bottom w:w="80" w:type="dxa"/>
              <w:end w:w="100" w:type="dxa"/>
            </w:tcMar>
            <w:vAlign w:val="center"/>
          </w:tcPr>
          <w:p>
            <w:pPr>
              <w:spacing w:before="20" w:after="20"/>
            </w:pPr>
            <w:r>
              <w:rPr>
                <w:sz w:val="15"/>
              </w:rPr>
              <w:t>Recalculate boundary status, available actions, topology, source paths, energisation, outage and proof.</w:t>
            </w:r>
          </w:p>
        </w:tc>
        <w:tc>
          <w:tcPr>
            <w:tcW w:type="dxa" w:w="2880"/>
            <w:tcMar>
              <w:top w:w="80" w:type="dxa"/>
              <w:start w:w="100" w:type="dxa"/>
              <w:bottom w:w="80" w:type="dxa"/>
              <w:end w:w="100" w:type="dxa"/>
            </w:tcMar>
            <w:vAlign w:val="center"/>
          </w:tcPr>
          <w:p>
            <w:pPr>
              <w:spacing w:before="20" w:after="20"/>
            </w:pPr>
            <w:r>
              <w:rPr>
                <w:sz w:val="15"/>
              </w:rPr>
              <w:t>All derived records bind to the new revision; stale prior actions are invalid.</w:t>
            </w:r>
          </w:p>
        </w:tc>
      </w:tr>
      <w:tr>
        <w:trPr>
          <w:cantSplit/>
        </w:trPr>
        <w:tc>
          <w:tcPr>
            <w:tcW w:type="dxa" w:w="792"/>
            <w:tcMar>
              <w:top w:w="80" w:type="dxa"/>
              <w:start w:w="100" w:type="dxa"/>
              <w:bottom w:w="80" w:type="dxa"/>
              <w:end w:w="100" w:type="dxa"/>
            </w:tcMar>
            <w:vAlign w:val="center"/>
          </w:tcPr>
          <w:p>
            <w:pPr>
              <w:spacing w:before="20" w:after="20"/>
            </w:pPr>
            <w:r>
              <w:rPr>
                <w:sz w:val="15"/>
              </w:rPr>
              <w:t>7</w:t>
            </w:r>
          </w:p>
        </w:tc>
        <w:tc>
          <w:tcPr>
            <w:tcW w:type="dxa" w:w="1800"/>
            <w:tcMar>
              <w:top w:w="80" w:type="dxa"/>
              <w:start w:w="100" w:type="dxa"/>
              <w:bottom w:w="80" w:type="dxa"/>
              <w:end w:w="100" w:type="dxa"/>
            </w:tcMar>
            <w:vAlign w:val="center"/>
          </w:tcPr>
          <w:p>
            <w:pPr>
              <w:spacing w:before="20" w:after="20"/>
            </w:pPr>
            <w:r>
              <w:rPr>
                <w:sz w:val="15"/>
              </w:rPr>
              <w:t>Workflow gate</w:t>
            </w:r>
          </w:p>
        </w:tc>
        <w:tc>
          <w:tcPr>
            <w:tcW w:type="dxa" w:w="3888"/>
            <w:tcMar>
              <w:top w:w="80" w:type="dxa"/>
              <w:start w:w="100" w:type="dxa"/>
              <w:bottom w:w="80" w:type="dxa"/>
              <w:end w:w="100" w:type="dxa"/>
            </w:tcMar>
            <w:vAlign w:val="center"/>
          </w:tcPr>
          <w:p>
            <w:pPr>
              <w:spacing w:before="20" w:after="20"/>
            </w:pPr>
            <w:r>
              <w:rPr>
                <w:sz w:val="15"/>
              </w:rPr>
              <w:t>Repeat evidence correction or one-action execution as required.</w:t>
            </w:r>
          </w:p>
        </w:tc>
        <w:tc>
          <w:tcPr>
            <w:tcW w:type="dxa" w:w="2880"/>
            <w:tcMar>
              <w:top w:w="80" w:type="dxa"/>
              <w:start w:w="100" w:type="dxa"/>
              <w:bottom w:w="80" w:type="dxa"/>
              <w:end w:w="100" w:type="dxa"/>
            </w:tcMar>
            <w:vAlign w:val="center"/>
          </w:tcPr>
          <w:p>
            <w:pPr>
              <w:spacing w:before="20" w:after="20"/>
            </w:pPr>
            <w:r>
              <w:rPr>
                <w:sz w:val="15"/>
              </w:rPr>
              <w:t>Isolation is complete only when every boundary is proven OPEN and zero active source paths reach the fault.</w:t>
            </w:r>
          </w:p>
        </w:tc>
      </w:tr>
    </w:tbl>
    <w:p>
      <w:pPr>
        <w:spacing w:after="0"/>
      </w:pPr>
    </w:p>
    <w:p>
      <w:pPr>
        <w:pStyle w:val="Heading2"/>
        <w:keepNext/>
      </w:pPr>
      <w:r>
        <w:t>27.2 Evidence-Condition Branches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Condition C never causes a redundant OPEN command merely because the reported state cannot be trusted. The workflow presents the exact telemetry deficiency and awaits a controlled valid update/refreshed observation. That update triggers the same full recalculation as a command. Source breakers opened by protection are processed through the same evidence conditions.</w:t>
      </w:r>
    </w:p>
    <w:p>
      <w:pPr>
        <w:pStyle w:val="Heading2"/>
        <w:keepNext/>
      </w:pPr>
      <w:r>
        <w:t>27.3 Formal and Exploration Application</w:t>
      </w:r>
    </w:p>
    <w:p>
      <w:pPr>
        <w:spacing w:before="120" w:after="120"/>
      </w:pPr>
      <w:r>
        <w:rPr>
          <w:b w:val="0"/>
          <w:i w:val="0"/>
        </w:rPr>
        <w:t>In formal mode the generic workflow derives SW-A12 and SW-A23 for SEC-A2 and the approved deterministic procedure opens them in that order. After N2 proof, the existing next action remains BRK-A reclose to N3; alternate restoration assessment is not enabled until the N3 preconditions are met. In Exploration Mode, all eight represented sections use the same derivation and workflow, and feeder roles and outcomes remain run-specific and non-guaranteed.</w:t>
      </w:r>
    </w:p>
    <w:p>
      <w:pPr>
        <w:pStyle w:val="Heading2"/>
        <w:keepNext/>
      </w:pPr>
      <w:r>
        <w:t>27.4 Lifecycle Gate</w:t>
      </w:r>
    </w:p>
    <w:p>
      <w:pPr>
        <w:spacing w:before="120" w:after="120"/>
      </w:pPr>
      <w:r>
        <w:rPr>
          <w:b/>
          <w:i w:val="0"/>
        </w:rPr>
        <w:t>DC-003 must be applied to every affected authoritative artefact and cross-document verified before final Step 9 acceptance and implementation authorisation. This lifecycle gate supersedes the former increment-specific draft wording. Implementation remains subject to a later explicit user authorisation.</w:t>
      </w:r>
    </w:p>
    <w:p>
      <w:pPr>
        <w:spacing w:before="160" w:after="160"/>
        <w:ind w:left="288" w:right="288"/>
        <w:pBdr>
          <w:bottom w:val="single" w:sz="12" w:color="188038"/>
        </w:pBdr>
      </w:pPr>
      <w:r>
        <w:rPr>
          <w:b/>
          <w:color w:val="188038"/>
        </w:rPr>
        <w:t>V2 Automation Candidate</w:t>
      </w:r>
      <w:r>
        <w:t xml:space="preserve"> — A future assurance workflow could automatically compare boundary/action records across revisions and select affected regression tests. V1 preserves the deterministic sequence and engineer-controlled evidence review.</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dc:description>DC-003 applied and accepted 2026-08-09; no requirements change and no implementation authority.</dc:description>
</cp:coreProperties>
</file>