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val="0"/>
        <w:spacing w:before="480"/>
      </w:pPr>
      <w:r>
        <w:rPr>
          <w:b/>
          <w:sz w:val="46"/>
        </w:rPr>
        <w:t>Step 6 — System Architecture</w:t>
      </w:r>
    </w:p>
    <w:p>
      <w:pPr>
        <w:spacing w:before="240" w:after="240"/>
      </w:pPr>
      <w:r>
        <w:t>Operational Technology Graduate Demonstration Project</w:t>
        <w:br/>
        <w:t>Document: OT System Architecture</w:t>
        <w:br/>
        <w:t>Version: 0.3 — Proposed DC-005 controlled revision</w:t>
        <w:br/>
        <w:t>Status: Draft — proposed authoritative revision pending independent review; accepted baseline remains v0.2</w:t>
      </w:r>
    </w:p>
    <w:p>
      <w:pPr>
        <w:spacing w:after="240"/>
        <w:pBdr>
          <w:bottom w:val="single" w:sz="12" w:space="1" w:color="A6A6A6"/>
        </w:pBdr>
      </w:pPr>
    </w:p>
    <w:p>
      <w:pPr>
        <w:pStyle w:val="Heading1"/>
      </w:pPr>
      <w:r>
        <w:t>1. Purpose</w:t>
      </w:r>
    </w:p>
    <w:p>
      <w:pPr>
        <w:keepLines/>
        <w:spacing w:before="240" w:after="240"/>
      </w:pPr>
      <w:r>
        <w:rPr>
          <w:i w:val="0"/>
        </w:rPr>
        <w:t>This document defines the logical system architecture for the Operational Technology Graduate Demonstration Project. It translates the approved engineering investigations, Design Brief, 124-requirement System Requirements Specification and completed Simplified Network Model into explicit functional components, information ownership, interface responsibilities and processing boundaries.</w:t>
      </w:r>
    </w:p>
    <w:p>
      <w:pPr>
        <w:keepLines/>
        <w:spacing w:before="240" w:after="240"/>
      </w:pPr>
      <w:r>
        <w:rPr>
          <w:i w:val="0"/>
        </w:rPr>
        <w:t>The architecture exists to make later workflow design, demonstrator design, implementation and validation traceable to the engineering baseline. It is not a commercial SCADA, ADMS or OMS product architecture and does not claim that its logical functions must be deployed as separate software services.</w:t>
      </w:r>
    </w:p>
    <w:p>
      <w:pPr>
        <w:keepLines/>
        <w:spacing w:before="240" w:after="240"/>
      </w:pPr>
      <w:r>
        <w:rPr>
          <w:i w:val="0"/>
        </w:rPr>
        <w:t>The architecture shall allow a reviewer to follow one coherent engineering chain:</w:t>
      </w:r>
    </w:p>
    <w:p>
      <w:pPr>
        <w:numPr>
          <w:ilvl w:val="0"/>
          <w:numId w:val="5"/>
        </w:numPr>
        <w:keepLines/>
        <w:spacing w:before="240" w:after="0"/>
      </w:pPr>
      <w:r>
        <w:t>persistent network configuration and current operational telemetry enter through distinct functional boundaries;</w:t>
      </w:r>
    </w:p>
    <w:p>
      <w:pPr>
        <w:numPr>
          <w:ilvl w:val="0"/>
          <w:numId w:val="5"/>
        </w:numPr>
        <w:keepLines/>
        <w:spacing w:before="0" w:after="0"/>
      </w:pPr>
      <w:r>
        <w:t>the active topology, source attribution and section energisation are derived generically;</w:t>
      </w:r>
    </w:p>
    <w:p>
      <w:pPr>
        <w:numPr>
          <w:ilvl w:val="0"/>
          <w:numId w:val="5"/>
        </w:numPr>
        <w:keepLines/>
        <w:spacing w:before="0" w:after="0"/>
      </w:pPr>
      <w:r>
        <w:t>outage extent and customer impact follow from the derived de-energised section set;</w:t>
      </w:r>
    </w:p>
    <w:p>
      <w:pPr>
        <w:numPr>
          <w:ilvl w:val="0"/>
          <w:numId w:val="5"/>
        </w:numPr>
        <w:keepLines/>
        <w:spacing w:before="0" w:after="0"/>
      </w:pPr>
      <w:r>
        <w:t>restoration candidates and permissives are evaluated using traceable engineering evidence;</w:t>
      </w:r>
    </w:p>
    <w:p>
      <w:pPr>
        <w:numPr>
          <w:ilvl w:val="0"/>
          <w:numId w:val="5"/>
        </w:numPr>
        <w:keepLines/>
        <w:spacing w:before="0" w:after="0"/>
      </w:pPr>
      <w:r>
        <w:t>simulated switching changes operational state only after a current PERMITTED assessment;</w:t>
      </w:r>
    </w:p>
    <w:p>
      <w:pPr>
        <w:numPr>
          <w:ilvl w:val="0"/>
          <w:numId w:val="5"/>
        </w:numPr>
        <w:keepLines/>
        <w:spacing w:before="0" w:after="0"/>
      </w:pPr>
      <w:r>
        <w:t>operational events are preserved separately from engineering validation evidence;</w:t>
      </w:r>
    </w:p>
    <w:p>
      <w:pPr>
        <w:numPr>
          <w:ilvl w:val="0"/>
          <w:numId w:val="5"/>
        </w:numPr>
        <w:keepLines/>
        <w:spacing w:before="0" w:after="240"/>
      </w:pPr>
      <w:r>
        <w:t>and the defective v1.0 and corrected v1.1 configurations are processed by the same logic.</w:t>
      </w:r>
    </w:p>
    <w:p>
      <w:pPr>
        <w:pStyle w:val="Heading2"/>
      </w:pPr>
      <w:r>
        <w:t>1.1 Position in the Engineering Lifecycle</w:t>
      </w:r>
    </w:p>
    <w:p>
      <w:pPr>
        <w:keepLines/>
        <w:spacing w:before="240" w:after="240"/>
      </w:pPr>
      <w:r>
        <w:rPr>
          <w:i w:val="0"/>
        </w:rPr>
        <w:t>This is Step 6 of the project lifecycle. The Network Model is the concrete engineering answer key; this architecture defines how a V1 demonstrator will consume that model and produce the required operational and validation behaviour. The later Workflow Design will define detailed user/engineer procedures, and Step 8 Demonstrator Design will define screens, interactions and implementation-oriented presentation decisions.</w:t>
      </w:r>
    </w:p>
    <w:p>
      <w:pPr>
        <w:pStyle w:val="Heading2"/>
      </w:pPr>
      <w:r>
        <w:t>1.2 Governing Authority</w:t>
      </w:r>
    </w:p>
    <w:p>
      <w:pPr>
        <w:keepLines/>
        <w:spacing w:before="240" w:after="240"/>
      </w:pPr>
      <w:r>
        <w:rPr>
          <w:i w:val="0"/>
        </w:rPr>
        <w:t>Where a conflict appears, the governing Project Vision, Project Definition and Project Decisions take precedence, followed by the detailed engineering source documents and accepted design changes. This architecture cannot simplify away a requirement, network rule, equation, state, identifier or evidence obligation established by those sources.</w:t>
      </w:r>
    </w:p>
    <w:p>
      <w:pPr>
        <w:pStyle w:val="Heading1"/>
      </w:pPr>
      <w:r>
        <w:t>2. Architecture Scope and Boundary</w:t>
      </w:r>
    </w:p>
    <w:p>
      <w:pPr>
        <w:pStyle w:val="Heading2"/>
      </w:pPr>
      <w:r>
        <w:t>2.1 Included Logical Capabilities</w:t>
      </w:r>
    </w:p>
    <w:p>
      <w:pPr>
        <w:numPr>
          <w:ilvl w:val="0"/>
          <w:numId w:val="5"/>
        </w:numPr>
        <w:keepLines/>
        <w:spacing w:before="240" w:after="0"/>
      </w:pPr>
      <w:r>
        <w:t>versioned fictional network configuration and customer-zone relationships;</w:t>
      </w:r>
    </w:p>
    <w:p>
      <w:pPr>
        <w:numPr>
          <w:ilvl w:val="0"/>
          <w:numId w:val="5"/>
        </w:numPr>
        <w:keepLines/>
        <w:spacing w:before="0" w:after="0"/>
      </w:pPr>
      <w:r>
        <w:t>simulated monitored breaker and switch state with telemetry value, quality and timestamp;</w:t>
      </w:r>
    </w:p>
    <w:p>
      <w:pPr>
        <w:numPr>
          <w:ilvl w:val="0"/>
          <w:numId w:val="5"/>
        </w:numPr>
        <w:keepLines/>
        <w:spacing w:before="0" w:after="0"/>
      </w:pPr>
      <w:r>
        <w:t>alarm creation and acknowledgement;</w:t>
      </w:r>
    </w:p>
    <w:p>
      <w:pPr>
        <w:numPr>
          <w:ilvl w:val="0"/>
          <w:numId w:val="5"/>
        </w:numPr>
        <w:keepLines/>
        <w:spacing w:before="0" w:after="0"/>
      </w:pPr>
      <w:r>
        <w:t>active-topology derivation, source tracing and section energisation;</w:t>
      </w:r>
    </w:p>
    <w:p>
      <w:pPr>
        <w:numPr>
          <w:ilvl w:val="0"/>
          <w:numId w:val="5"/>
        </w:numPr>
        <w:keepLines/>
        <w:spacing w:before="0" w:after="0"/>
      </w:pPr>
      <w:r>
        <w:t>outage extent and affected-customer calculation;</w:t>
      </w:r>
    </w:p>
    <w:p>
      <w:pPr>
        <w:numPr>
          <w:ilvl w:val="0"/>
          <w:numId w:val="5"/>
        </w:numPr>
        <w:keepLines/>
        <w:spacing w:before="0" w:after="0"/>
      </w:pPr>
      <w:r>
        <w:t>generic restoration-candidate discovery and permissive assessment;</w:t>
      </w:r>
    </w:p>
    <w:p>
      <w:pPr>
        <w:numPr>
          <w:ilvl w:val="0"/>
          <w:numId w:val="5"/>
        </w:numPr>
        <w:keepLines/>
        <w:spacing w:before="0" w:after="0"/>
      </w:pPr>
      <w:r>
        <w:t>simulated isolation and restoration switching;</w:t>
      </w:r>
    </w:p>
    <w:p>
      <w:pPr>
        <w:numPr>
          <w:ilvl w:val="0"/>
          <w:numId w:val="5"/>
        </w:numPr>
        <w:keepLines/>
        <w:spacing w:before="0" w:after="0"/>
      </w:pPr>
      <w:r>
        <w:t>formal validation execution, evidence capture and repeat validation;</w:t>
      </w:r>
    </w:p>
    <w:p>
      <w:pPr>
        <w:numPr>
          <w:ilvl w:val="0"/>
          <w:numId w:val="5"/>
        </w:numPr>
        <w:keepLines/>
        <w:spacing w:before="0" w:after="0"/>
      </w:pPr>
      <w:r>
        <w:t>Exploration Mode fault-section selection using the common scenario engine;</w:t>
      </w:r>
    </w:p>
    <w:p>
      <w:pPr>
        <w:numPr>
          <w:ilvl w:val="0"/>
          <w:numId w:val="5"/>
        </w:numPr>
        <w:keepLines/>
        <w:spacing w:before="0" w:after="0"/>
      </w:pPr>
      <w:r>
        <w:t>seeded configuration-defect investigation and controlled correction;</w:t>
      </w:r>
    </w:p>
    <w:p>
      <w:pPr>
        <w:numPr>
          <w:ilvl w:val="0"/>
          <w:numId w:val="5"/>
        </w:numPr>
        <w:keepLines/>
        <w:spacing w:before="0" w:after="240"/>
      </w:pPr>
      <w:r>
        <w:t>chronological operational events and traceable engineering records.</w:t>
      </w:r>
    </w:p>
    <w:p>
      <w:pPr>
        <w:pStyle w:val="Heading2"/>
      </w:pPr>
      <w:r>
        <w:t>2.2 Excluded Capabilities</w:t>
      </w:r>
    </w:p>
    <w:p>
      <w:pPr>
        <w:numPr>
          <w:ilvl w:val="0"/>
          <w:numId w:val="5"/>
        </w:numPr>
        <w:keepLines/>
        <w:spacing w:before="240" w:after="0"/>
      </w:pPr>
      <w:r>
        <w:t>interfaces to real utility equipment, SCADA servers or operational networks;</w:t>
      </w:r>
    </w:p>
    <w:p>
      <w:pPr>
        <w:numPr>
          <w:ilvl w:val="0"/>
          <w:numId w:val="5"/>
        </w:numPr>
        <w:keepLines/>
        <w:spacing w:before="0" w:after="0"/>
      </w:pPr>
      <w:r>
        <w:t>vendor-specific SCADA, ADMS, OMS or GIS emulation;</w:t>
      </w:r>
    </w:p>
    <w:p>
      <w:pPr>
        <w:numPr>
          <w:ilvl w:val="0"/>
          <w:numId w:val="5"/>
        </w:numPr>
        <w:keepLines/>
        <w:spacing w:before="0" w:after="0"/>
      </w:pPr>
      <w:r>
        <w:t>protection coordination, fault-current, load-flow or voltage analysis;</w:t>
      </w:r>
    </w:p>
    <w:p>
      <w:pPr>
        <w:numPr>
          <w:ilvl w:val="0"/>
          <w:numId w:val="5"/>
        </w:numPr>
        <w:keepLines/>
        <w:spacing w:before="0" w:after="0"/>
      </w:pPr>
      <w:r>
        <w:t>automatic fault-location algorithms or detailed electrical fault types;</w:t>
      </w:r>
    </w:p>
    <w:p>
      <w:pPr>
        <w:numPr>
          <w:ilvl w:val="0"/>
          <w:numId w:val="5"/>
        </w:numPr>
        <w:keepLines/>
        <w:spacing w:before="0" w:after="0"/>
      </w:pPr>
      <w:r>
        <w:t>crew dispatch, customer communications, call-centre, estimated-restoration-time or work-management functions;</w:t>
      </w:r>
    </w:p>
    <w:p>
      <w:pPr>
        <w:numPr>
          <w:ilvl w:val="0"/>
          <w:numId w:val="5"/>
        </w:numPr>
        <w:keepLines/>
        <w:spacing w:before="0" w:after="0"/>
      </w:pPr>
      <w:r>
        <w:t>autonomous real-world switching and closed-loop control;</w:t>
      </w:r>
    </w:p>
    <w:p>
      <w:pPr>
        <w:numPr>
          <w:ilvl w:val="0"/>
          <w:numId w:val="5"/>
        </w:numPr>
        <w:keepLines/>
        <w:spacing w:before="0" w:after="0"/>
      </w:pPr>
      <w:r>
        <w:t>production cybersecurity, high availability, enterprise integration or commercial deployment architecture;</w:t>
      </w:r>
    </w:p>
    <w:p>
      <w:pPr>
        <w:numPr>
          <w:ilvl w:val="0"/>
          <w:numId w:val="5"/>
        </w:numPr>
        <w:keepLines/>
        <w:spacing w:before="0" w:after="240"/>
      </w:pPr>
      <w:r>
        <w:t>AI or automation features not already required by the V1 engineering baseline.</w:t>
      </w:r>
    </w:p>
    <w:p>
      <w:pPr>
        <w:pStyle w:val="Heading2"/>
      </w:pPr>
      <w:r>
        <w:t>2.3 Logical Architecture Versus Software Deployment</w:t>
      </w:r>
    </w:p>
    <w:p>
      <w:pPr>
        <w:keepLines/>
        <w:spacing w:before="240" w:after="240"/>
      </w:pPr>
      <w:r>
        <w:rPr>
          <w:i w:val="0"/>
        </w:rPr>
        <w:t>The named components in this document are logical responsibility boundaries. V1 should ordinarily implement them as modules within one locally operated demonstrator rather than as distributed microservices. This preserves visible functional ownership without creating deployment complexity that does not contribute to the graduate engineering work package.</w:t>
      </w:r>
    </w:p>
    <w:p>
      <w:pPr>
        <w:keepLines/>
        <w:spacing w:before="240" w:after="240"/>
      </w:pPr>
      <w:r>
        <w:rPr>
          <w:i w:val="0"/>
        </w:rPr>
        <w:t>Technology stack, frontend framework, storage product and detailed screen structure remain deferred. Later design may select simple local technologies provided they preserve the interfaces, data separation and behaviour defined here.</w:t>
      </w:r>
    </w:p>
    <w:p>
      <w:pPr>
        <w:pStyle w:val="Heading1"/>
      </w:pPr>
      <w:r>
        <w:t>3. System Architecture Principles</w:t>
      </w:r>
    </w:p>
    <w:p>
      <w:pPr>
        <w:keepNext/>
        <w:spacing w:before="240" w:after="120"/>
      </w:pPr>
      <w:r>
        <w:rPr>
          <w:rFonts w:ascii="Roboto Mono" w:hAnsi="Roboto Mono"/>
          <w:b/>
          <w:color w:val="188038"/>
        </w:rPr>
        <w:t>SA-P01</w:t>
      </w:r>
      <w:r>
        <w:rPr>
          <w:b/>
        </w:rPr>
        <w:t xml:space="preserve"> — Engineering baseline is authoritative</w:t>
      </w:r>
    </w:p>
    <w:p>
      <w:pPr>
        <w:keepLines/>
        <w:spacing w:before="240" w:after="240"/>
      </w:pPr>
      <w:r>
        <w:rPr>
          <w:i w:val="0"/>
        </w:rPr>
        <w:t>Software behaviour, expected results and configuration data shall implement the approved engineering sources. The presentation layer or implementation convenience shall not redefine the engineering answer key.</w:t>
      </w:r>
    </w:p>
    <w:p>
      <w:pPr>
        <w:keepNext/>
        <w:spacing w:before="240" w:after="120"/>
      </w:pPr>
      <w:r>
        <w:rPr>
          <w:rFonts w:ascii="Roboto Mono" w:hAnsi="Roboto Mono"/>
          <w:b/>
          <w:color w:val="188038"/>
        </w:rPr>
        <w:t>SA-P02</w:t>
      </w:r>
      <w:r>
        <w:rPr>
          <w:b/>
        </w:rPr>
        <w:t xml:space="preserve"> — Configuration, observed state and derived state remain separate</w:t>
      </w:r>
    </w:p>
    <w:p>
      <w:pPr>
        <w:keepLines/>
        <w:spacing w:before="240" w:after="240"/>
      </w:pPr>
      <w:r>
        <w:rPr>
          <w:i w:val="0"/>
        </w:rPr>
        <w:t>Persistent connectivity and asset information, live or simulated telemetry, and calculated topology/outage results are different information classes with different owners and update rules.</w:t>
      </w:r>
    </w:p>
    <w:p>
      <w:pPr>
        <w:keepNext/>
        <w:spacing w:before="240" w:after="120"/>
      </w:pPr>
      <w:r>
        <w:rPr>
          <w:rFonts w:ascii="Roboto Mono" w:hAnsi="Roboto Mono"/>
          <w:b/>
          <w:color w:val="188038"/>
        </w:rPr>
        <w:t>SA-P03</w:t>
      </w:r>
      <w:r>
        <w:rPr>
          <w:b/>
        </w:rPr>
        <w:t xml:space="preserve"> — Operational consequences are derived</w:t>
      </w:r>
    </w:p>
    <w:p>
      <w:pPr>
        <w:keepLines/>
        <w:spacing w:before="240" w:after="240"/>
      </w:pPr>
      <w:r>
        <w:rPr>
          <w:i w:val="0"/>
        </w:rPr>
        <w:t>Section energisation, source attribution, outage extent and customer totals shall be recalculated from current inputs. They shall not be independently edited or assigned to force a scenario result.</w:t>
      </w:r>
    </w:p>
    <w:p>
      <w:pPr>
        <w:keepNext/>
        <w:spacing w:before="240" w:after="120"/>
      </w:pPr>
      <w:r>
        <w:rPr>
          <w:rFonts w:ascii="Roboto Mono" w:hAnsi="Roboto Mono"/>
          <w:b/>
          <w:color w:val="188038"/>
        </w:rPr>
        <w:t>SA-P04</w:t>
      </w:r>
      <w:r>
        <w:rPr>
          <w:b/>
        </w:rPr>
        <w:t xml:space="preserve"> — Common logic processes all supported sections</w:t>
      </w:r>
    </w:p>
    <w:p>
      <w:pPr>
        <w:keepLines/>
        <w:spacing w:before="240" w:after="240"/>
      </w:pPr>
      <w:r>
        <w:rPr>
          <w:i w:val="0"/>
        </w:rPr>
        <w:t>Formal validation, Exploration Mode, Network Configuration v1.0 and v1.1 shall use the same topology, outage and restoration logic. A component must not contain section-specific wrong-result branches or canned feeder-role assumptions.</w:t>
      </w:r>
    </w:p>
    <w:p>
      <w:pPr>
        <w:keepNext/>
        <w:spacing w:before="240" w:after="120"/>
      </w:pPr>
      <w:r>
        <w:rPr>
          <w:rFonts w:ascii="Roboto Mono" w:hAnsi="Roboto Mono"/>
          <w:b/>
          <w:color w:val="188038"/>
        </w:rPr>
        <w:t>SA-P05</w:t>
      </w:r>
      <w:r>
        <w:rPr>
          <w:b/>
        </w:rPr>
        <w:t xml:space="preserve"> — Functional ownership remains visible</w:t>
      </w:r>
    </w:p>
    <w:p>
      <w:pPr>
        <w:keepLines/>
        <w:spacing w:before="240" w:after="240"/>
      </w:pPr>
      <w:r>
        <w:rPr>
          <w:i w:val="0"/>
        </w:rPr>
        <w:t>SCADA supplies observed monitored state; the configuration function supplies persistent network structure; ADMS derives topology and restoration reasoning; OMS derives outage/customer impact; validation evaluates observed results against independent expectations.</w:t>
      </w:r>
    </w:p>
    <w:p>
      <w:pPr>
        <w:keepNext/>
        <w:spacing w:before="240" w:after="120"/>
      </w:pPr>
      <w:r>
        <w:rPr>
          <w:rFonts w:ascii="Roboto Mono" w:hAnsi="Roboto Mono"/>
          <w:b/>
          <w:color w:val="188038"/>
        </w:rPr>
        <w:t>SA-P06</w:t>
      </w:r>
      <w:r>
        <w:rPr>
          <w:b/>
        </w:rPr>
        <w:t xml:space="preserve"> — Fault status is independent from electrical reachability</w:t>
      </w:r>
    </w:p>
    <w:p>
      <w:pPr>
        <w:keepLines/>
        <w:spacing w:before="240" w:after="240"/>
      </w:pPr>
      <w:r>
        <w:rPr>
          <w:i w:val="0"/>
        </w:rPr>
        <w:t>The scenario identifies the active faulted section, while the topology processor independently determines whether a source path exists. Restoration assessment must prove that the faulted section is isolated rather than hiding it by manually forcing a de-energised state.</w:t>
      </w:r>
    </w:p>
    <w:p>
      <w:pPr>
        <w:keepNext/>
        <w:spacing w:before="240" w:after="120"/>
      </w:pPr>
      <w:r>
        <w:rPr>
          <w:rFonts w:ascii="Roboto Mono" w:hAnsi="Roboto Mono"/>
          <w:b/>
          <w:color w:val="188038"/>
        </w:rPr>
        <w:t>SA-P07</w:t>
      </w:r>
      <w:r>
        <w:rPr>
          <w:b/>
        </w:rPr>
        <w:t xml:space="preserve"> — Safety-oriented permission is current-state bound</w:t>
      </w:r>
    </w:p>
    <w:p>
      <w:pPr>
        <w:keepLines/>
        <w:spacing w:before="240" w:after="240"/>
      </w:pPr>
      <w:r>
        <w:rPr>
          <w:i w:val="0"/>
        </w:rPr>
        <w:t>A restoration permission is valid only for the configuration, scenario run and operational-state revision that were assessed. Any relevant change invalidates the permission and requires reassessment before switching.</w:t>
      </w:r>
    </w:p>
    <w:p>
      <w:pPr>
        <w:keepNext/>
        <w:spacing w:before="240" w:after="120"/>
      </w:pPr>
      <w:r>
        <w:rPr>
          <w:rFonts w:ascii="Roboto Mono" w:hAnsi="Roboto Mono"/>
          <w:b/>
          <w:color w:val="188038"/>
        </w:rPr>
        <w:t>SA-P08</w:t>
      </w:r>
      <w:r>
        <w:rPr>
          <w:b/>
        </w:rPr>
        <w:t xml:space="preserve"> — Evidence is preserved, not overwritten</w:t>
      </w:r>
    </w:p>
    <w:p>
      <w:pPr>
        <w:keepLines/>
        <w:spacing w:before="240" w:after="240"/>
      </w:pPr>
      <w:r>
        <w:rPr>
          <w:i w:val="0"/>
        </w:rPr>
        <w:t>Operational events, failed validation executions, corrected executions, configuration versions and correction records remain separately identifiable and traceable.</w:t>
      </w:r>
    </w:p>
    <w:p>
      <w:pPr>
        <w:keepNext/>
        <w:spacing w:before="240" w:after="120"/>
      </w:pPr>
      <w:r>
        <w:rPr>
          <w:rFonts w:ascii="Roboto Mono" w:hAnsi="Roboto Mono"/>
          <w:b/>
          <w:color w:val="188038"/>
        </w:rPr>
        <w:t>SA-P09</w:t>
      </w:r>
      <w:r>
        <w:rPr>
          <w:b/>
        </w:rPr>
        <w:t xml:space="preserve"> — Determinism supports validation</w:t>
      </w:r>
    </w:p>
    <w:p>
      <w:pPr>
        <w:keepLines/>
        <w:spacing w:before="240" w:after="240"/>
      </w:pPr>
      <w:r>
        <w:rPr>
          <w:i w:val="0"/>
        </w:rPr>
        <w:t>A controlled scenario clock, initial state, configuration version and test input shall produce repeatable results. Wall-clock timing or presentation refresh behaviour shall not change the expected engineering outcome.</w:t>
      </w:r>
    </w:p>
    <w:p>
      <w:pPr>
        <w:keepNext/>
        <w:spacing w:before="240" w:after="120"/>
      </w:pPr>
      <w:r>
        <w:rPr>
          <w:rFonts w:ascii="Roboto Mono" w:hAnsi="Roboto Mono"/>
          <w:b/>
          <w:color w:val="188038"/>
        </w:rPr>
        <w:t>SA-P10</w:t>
      </w:r>
      <w:r>
        <w:rPr>
          <w:b/>
        </w:rPr>
        <w:t xml:space="preserve"> — Engineering clarity governs the interface</w:t>
      </w:r>
    </w:p>
    <w:p>
      <w:pPr>
        <w:keepLines/>
        <w:spacing w:before="240" w:after="240"/>
      </w:pPr>
      <w:r>
        <w:rPr>
          <w:i w:val="0"/>
        </w:rPr>
        <w:t>The architecture shall expose source paths, permissive evidence, calculation inputs, failure reasons and record relationships. Visual polish is secondary to reviewability and traceability.</w:t>
      </w:r>
    </w:p>
    <w:p>
      <w:pPr>
        <w:keepNext/>
        <w:spacing w:before="240" w:after="120"/>
      </w:pPr>
      <w:r>
        <w:rPr>
          <w:rFonts w:ascii="Roboto Mono" w:hAnsi="Roboto Mono"/>
          <w:b/>
          <w:color w:val="188038"/>
        </w:rPr>
        <w:t>SA-P11</w:t>
      </w:r>
      <w:r>
        <w:rPr>
          <w:b/>
        </w:rPr>
        <w:t xml:space="preserve"> — Consistent entities use consistent structures</w:t>
      </w:r>
    </w:p>
    <w:p>
      <w:pPr>
        <w:keepLines/>
        <w:spacing w:before="240" w:after="240"/>
      </w:pPr>
      <w:r>
        <w:rPr>
          <w:i w:val="0"/>
        </w:rPr>
        <w:t>Equivalent feeders, sections, breakers, switches, telemetry points and record types shall use common models. Differences shall arise from configuration values or documented engineering reasons, not arbitrary schemas.</w:t>
      </w:r>
    </w:p>
    <w:p>
      <w:pPr>
        <w:keepNext/>
        <w:spacing w:before="240" w:after="120"/>
      </w:pPr>
      <w:r>
        <w:rPr>
          <w:rFonts w:ascii="Roboto Mono" w:hAnsi="Roboto Mono"/>
          <w:b/>
          <w:color w:val="188038"/>
        </w:rPr>
        <w:t>SA-P12</w:t>
      </w:r>
      <w:r>
        <w:rPr>
          <w:b/>
        </w:rPr>
        <w:t xml:space="preserve"> — V1 remains simulated and local</w:t>
      </w:r>
    </w:p>
    <w:p>
      <w:pPr>
        <w:keepLines/>
        <w:spacing w:before="240" w:after="240"/>
      </w:pPr>
      <w:r>
        <w:rPr>
          <w:i w:val="0"/>
        </w:rPr>
        <w:t>All switching, telemetry and operational functions are fictional and self-contained. No component provides a path to real equipment control or production operational data.</w:t>
      </w:r>
    </w:p>
    <w:p>
      <w:pPr>
        <w:pStyle w:val="Heading1"/>
        <w:pageBreakBefore/>
      </w:pPr>
      <w:r>
        <w:t>4. Logical Architecture Overview</w:t>
      </w:r>
    </w:p>
    <w:p>
      <w:pPr>
        <w:keepLines/>
        <w:spacing w:before="240" w:after="240"/>
      </w:pPr>
      <w:r>
        <w:rPr>
          <w:i w:val="0"/>
        </w:rPr>
        <w:t>The logical architecture preserves the five principal functions established by Engineering Investigation B and the Design Brief—SCADA, GIS/network configuration, ADMS, OMS and engineering validation—then adds only the support boundaries required to run a deterministic demonstrator: Scenario Control, Operational Event/Audit and the Operator/Reviewer Workspace.</w:t>
      </w:r>
    </w:p>
    <w:p>
      <w:pPr>
        <w:jc w:val="center"/>
      </w:pPr>
      <w:r>
        <w:drawing>
          <wp:inline>
            <wp:extent cx="5897880" cy="3800856"/>
            <wp:docPr id="1" name="Picture 1" title="Logical architecture and responsibility boundaries" descr="Operator/reviewer workspace above scenario control, validation/evidence and operational event/audit, with GIS, SCADA, ADMS topology, ADMS restoration and OMS logical components below."/>
            <wp:cNvGraphicFramePr>
              <a:graphicFrameLocks noChangeAspect="1"/>
            </wp:cNvGraphicFramePr>
            <a:graphic>
              <a:graphicData uri="http://schemas.openxmlformats.org/drawingml/2006/picture">
                <pic:pic>
                  <pic:nvPicPr>
                    <pic:cNvPr id="0" name="logical-architecture.png"/>
                    <pic:cNvPicPr/>
                  </pic:nvPicPr>
                  <pic:blipFill>
                    <a:blip r:embed="rId8"/>
                    <a:stretch>
                      <a:fillRect/>
                    </a:stretch>
                  </pic:blipFill>
                  <pic:spPr>
                    <a:xfrm>
                      <a:off x="0" y="0"/>
                      <a:ext cx="5897880" cy="3800856"/>
                    </a:xfrm>
                    <a:prstGeom prst="rect"/>
                  </pic:spPr>
                </pic:pic>
              </a:graphicData>
            </a:graphic>
          </wp:inline>
        </w:drawing>
      </w:r>
    </w:p>
    <w:p>
      <w:pPr>
        <w:spacing w:before="60" w:after="240"/>
        <w:jc w:val="center"/>
      </w:pPr>
      <w:r>
        <w:rPr>
          <w:i/>
          <w:color w:val="434343"/>
          <w:sz w:val="18"/>
        </w:rPr>
        <w:t>Figure 1 — V1 logical system architecture and responsibility boundaries</w:t>
      </w:r>
    </w:p>
    <w:p>
      <w:pPr>
        <w:pStyle w:val="Heading2"/>
      </w:pPr>
      <w:r>
        <w:t>4.1 Architectural Layers</w:t>
      </w:r>
    </w:p>
    <w:p>
      <w:pPr>
        <w:numPr>
          <w:ilvl w:val="0"/>
          <w:numId w:val="5"/>
        </w:numPr>
        <w:keepLines/>
        <w:spacing w:before="240" w:after="0"/>
      </w:pPr>
      <w:r>
        <w:t>Interaction layer — the Operator/Reviewer Workspace presents and invokes behaviour but does not own engineering calculations.</w:t>
      </w:r>
    </w:p>
    <w:p>
      <w:pPr>
        <w:numPr>
          <w:ilvl w:val="0"/>
          <w:numId w:val="5"/>
        </w:numPr>
        <w:keepLines/>
        <w:spacing w:before="0" w:after="0"/>
      </w:pPr>
      <w:r>
        <w:t>Coordination and assurance layer — Scenario Control establishes run context; Validation and Evidence evaluates formal behaviour; Operational Event/Audit records the simulated sequence.</w:t>
      </w:r>
    </w:p>
    <w:p>
      <w:pPr>
        <w:numPr>
          <w:ilvl w:val="0"/>
          <w:numId w:val="5"/>
        </w:numPr>
        <w:keepLines/>
        <w:spacing w:before="0" w:after="0"/>
      </w:pPr>
      <w:r>
        <w:t>Conceptual OT function layer — configuration/GIS, SCADA, ADMS and OMS preserve their established information ownership.</w:t>
      </w:r>
    </w:p>
    <w:p>
      <w:pPr>
        <w:numPr>
          <w:ilvl w:val="0"/>
          <w:numId w:val="5"/>
        </w:numPr>
        <w:keepLines/>
        <w:spacing w:before="0" w:after="240"/>
      </w:pPr>
      <w:r>
        <w:t>Run-scoped information layer — one scenario run binds its configuration reference, mode, fault input, observed state, derived state, events and evidence links.</w:t>
      </w:r>
    </w:p>
    <w:p>
      <w:pPr>
        <w:pStyle w:val="Heading2"/>
      </w:pPr>
      <w:r>
        <w:t>4.2 Component Register</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50"/>
        <w:gridCol w:w="1900"/>
        <w:gridCol w:w="4000"/>
        <w:gridCol w:w="2310"/>
      </w:tblGrid>
      <w:tr>
        <w:trPr>
          <w:tblHeader w:val="true"/>
          <w:cantSplit/>
        </w:trPr>
        <w:tc>
          <w:tcPr>
            <w:tcW w:type="dxa" w:w="2"/>
            <w:shd w:fill="E7E6E6"/>
            <w:tcMar>
              <w:top w:w="110" w:type="dxa"/>
              <w:start w:w="120" w:type="dxa"/>
              <w:bottom w:w="110" w:type="dxa"/>
              <w:end w:w="120" w:type="dxa"/>
            </w:tcMar>
            <w:vAlign w:val="center"/>
          </w:tcPr>
          <w:p>
            <w:pPr>
              <w:spacing w:before="0" w:after="0"/>
              <w:jc w:val="center"/>
            </w:pPr>
            <w:r>
              <w:rPr>
                <w:b/>
                <w:sz w:val="17"/>
              </w:rPr>
              <w:t>ID</w:t>
            </w:r>
          </w:p>
        </w:tc>
        <w:tc>
          <w:tcPr>
            <w:tcW w:type="dxa" w:w="3"/>
            <w:shd w:fill="E7E6E6"/>
            <w:tcMar>
              <w:top w:w="110" w:type="dxa"/>
              <w:start w:w="120" w:type="dxa"/>
              <w:bottom w:w="110" w:type="dxa"/>
              <w:end w:w="120" w:type="dxa"/>
            </w:tcMar>
            <w:vAlign w:val="center"/>
          </w:tcPr>
          <w:p>
            <w:pPr>
              <w:spacing w:before="0" w:after="0"/>
              <w:jc w:val="center"/>
            </w:pPr>
            <w:r>
              <w:rPr>
                <w:b/>
                <w:sz w:val="17"/>
              </w:rPr>
              <w:t>Logical component</w:t>
            </w:r>
          </w:p>
        </w:tc>
        <w:tc>
          <w:tcPr>
            <w:tcW w:type="dxa" w:w="6"/>
            <w:shd w:fill="E7E6E6"/>
            <w:tcMar>
              <w:top w:w="110" w:type="dxa"/>
              <w:start w:w="120" w:type="dxa"/>
              <w:bottom w:w="110" w:type="dxa"/>
              <w:end w:w="120" w:type="dxa"/>
            </w:tcMar>
            <w:vAlign w:val="center"/>
          </w:tcPr>
          <w:p>
            <w:pPr>
              <w:spacing w:before="0" w:after="0"/>
              <w:jc w:val="center"/>
            </w:pPr>
            <w:r>
              <w:rPr>
                <w:b/>
                <w:sz w:val="17"/>
              </w:rPr>
              <w:t>Primary responsibility</w:t>
            </w:r>
          </w:p>
        </w:tc>
        <w:tc>
          <w:tcPr>
            <w:tcW w:type="dxa" w:w="4"/>
            <w:shd w:fill="E7E6E6"/>
            <w:tcMar>
              <w:top w:w="110" w:type="dxa"/>
              <w:start w:w="120" w:type="dxa"/>
              <w:bottom w:w="110" w:type="dxa"/>
              <w:end w:w="120" w:type="dxa"/>
            </w:tcMar>
            <w:vAlign w:val="center"/>
          </w:tcPr>
          <w:p>
            <w:pPr>
              <w:spacing w:before="0" w:after="0"/>
              <w:jc w:val="center"/>
            </w:pPr>
            <w:r>
              <w:rPr>
                <w:b/>
                <w:sz w:val="17"/>
              </w:rPr>
              <w:t>Conceptual boundary</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SA-CMP-01</w:t>
            </w:r>
          </w:p>
        </w:tc>
        <w:tc>
          <w:tcPr>
            <w:tcW w:type="dxa" w:w="1900"/>
            <w:tcMar>
              <w:top w:w="110" w:type="dxa"/>
              <w:start w:w="120" w:type="dxa"/>
              <w:bottom w:w="110" w:type="dxa"/>
              <w:end w:w="120" w:type="dxa"/>
            </w:tcMar>
            <w:vAlign w:val="center"/>
          </w:tcPr>
          <w:p>
            <w:pPr>
              <w:spacing w:before="0" w:after="0"/>
            </w:pPr>
            <w:r>
              <w:rPr>
                <w:sz w:val="17"/>
              </w:rPr>
              <w:t>Network Configuration / GIS</w:t>
            </w:r>
          </w:p>
        </w:tc>
        <w:tc>
          <w:tcPr>
            <w:tcW w:type="dxa" w:w="4000"/>
            <w:tcMar>
              <w:top w:w="110" w:type="dxa"/>
              <w:start w:w="120" w:type="dxa"/>
              <w:bottom w:w="110" w:type="dxa"/>
              <w:end w:w="120" w:type="dxa"/>
            </w:tcMar>
            <w:vAlign w:val="center"/>
          </w:tcPr>
          <w:p>
            <w:pPr>
              <w:spacing w:before="0" w:after="0"/>
            </w:pPr>
            <w:r>
              <w:rPr>
                <w:sz w:val="17"/>
              </w:rPr>
              <w:t>Assets, connectivity, normal states, capacities and customer-zone relationships</w:t>
            </w:r>
          </w:p>
        </w:tc>
        <w:tc>
          <w:tcPr>
            <w:tcW w:type="dxa" w:w="2310"/>
            <w:tcMar>
              <w:top w:w="110" w:type="dxa"/>
              <w:start w:w="120" w:type="dxa"/>
              <w:bottom w:w="110" w:type="dxa"/>
              <w:end w:w="120" w:type="dxa"/>
            </w:tcMar>
            <w:vAlign w:val="center"/>
          </w:tcPr>
          <w:p>
            <w:pPr>
              <w:spacing w:before="0" w:after="0"/>
            </w:pPr>
            <w:r>
              <w:rPr>
                <w:sz w:val="17"/>
              </w:rPr>
              <w:t>Persistent configuration</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SA-CMP-02</w:t>
            </w:r>
          </w:p>
        </w:tc>
        <w:tc>
          <w:tcPr>
            <w:tcW w:type="dxa" w:w="1900"/>
            <w:tcMar>
              <w:top w:w="110" w:type="dxa"/>
              <w:start w:w="120" w:type="dxa"/>
              <w:bottom w:w="110" w:type="dxa"/>
              <w:end w:w="120" w:type="dxa"/>
            </w:tcMar>
            <w:vAlign w:val="center"/>
          </w:tcPr>
          <w:p>
            <w:pPr>
              <w:spacing w:before="0" w:after="0"/>
            </w:pPr>
            <w:r>
              <w:rPr>
                <w:sz w:val="17"/>
              </w:rPr>
              <w:t>SCADA / Telemetry</w:t>
            </w:r>
          </w:p>
        </w:tc>
        <w:tc>
          <w:tcPr>
            <w:tcW w:type="dxa" w:w="4000"/>
            <w:tcMar>
              <w:top w:w="110" w:type="dxa"/>
              <w:start w:w="120" w:type="dxa"/>
              <w:bottom w:w="110" w:type="dxa"/>
              <w:end w:w="120" w:type="dxa"/>
            </w:tcMar>
            <w:vAlign w:val="center"/>
          </w:tcPr>
          <w:p>
            <w:pPr>
              <w:spacing w:before="0" w:after="0"/>
            </w:pPr>
            <w:r>
              <w:rPr>
                <w:sz w:val="17"/>
              </w:rPr>
              <w:t>Observed device values, quality, timestamps, alarm and acknowledgement state</w:t>
            </w:r>
          </w:p>
        </w:tc>
        <w:tc>
          <w:tcPr>
            <w:tcW w:type="dxa" w:w="2310"/>
            <w:tcMar>
              <w:top w:w="110" w:type="dxa"/>
              <w:start w:w="120" w:type="dxa"/>
              <w:bottom w:w="110" w:type="dxa"/>
              <w:end w:w="120" w:type="dxa"/>
            </w:tcMar>
            <w:vAlign w:val="center"/>
          </w:tcPr>
          <w:p>
            <w:pPr>
              <w:spacing w:before="0" w:after="0"/>
            </w:pPr>
            <w:r>
              <w:rPr>
                <w:sz w:val="17"/>
              </w:rPr>
              <w:t>Observed operational state</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SA-CMP-03</w:t>
            </w:r>
          </w:p>
        </w:tc>
        <w:tc>
          <w:tcPr>
            <w:tcW w:type="dxa" w:w="1900"/>
            <w:tcMar>
              <w:top w:w="110" w:type="dxa"/>
              <w:start w:w="120" w:type="dxa"/>
              <w:bottom w:w="110" w:type="dxa"/>
              <w:end w:w="120" w:type="dxa"/>
            </w:tcMar>
            <w:vAlign w:val="center"/>
          </w:tcPr>
          <w:p>
            <w:pPr>
              <w:spacing w:before="0" w:after="0"/>
            </w:pPr>
            <w:r>
              <w:rPr>
                <w:sz w:val="17"/>
              </w:rPr>
              <w:t>ADMS Topology</w:t>
            </w:r>
          </w:p>
        </w:tc>
        <w:tc>
          <w:tcPr>
            <w:tcW w:type="dxa" w:w="4000"/>
            <w:tcMar>
              <w:top w:w="110" w:type="dxa"/>
              <w:start w:w="120" w:type="dxa"/>
              <w:bottom w:w="110" w:type="dxa"/>
              <w:end w:w="120" w:type="dxa"/>
            </w:tcMar>
            <w:vAlign w:val="center"/>
          </w:tcPr>
          <w:p>
            <w:pPr>
              <w:spacing w:before="0" w:after="0"/>
            </w:pPr>
            <w:r>
              <w:rPr>
                <w:sz w:val="17"/>
              </w:rPr>
              <w:t>Active graph, source paths, energisation, source attribution and radial checks</w:t>
            </w:r>
          </w:p>
        </w:tc>
        <w:tc>
          <w:tcPr>
            <w:tcW w:type="dxa" w:w="2310"/>
            <w:tcMar>
              <w:top w:w="110" w:type="dxa"/>
              <w:start w:w="120" w:type="dxa"/>
              <w:bottom w:w="110" w:type="dxa"/>
              <w:end w:w="120" w:type="dxa"/>
            </w:tcMar>
            <w:vAlign w:val="center"/>
          </w:tcPr>
          <w:p>
            <w:pPr>
              <w:spacing w:before="0" w:after="0"/>
            </w:pPr>
            <w:r>
              <w:rPr>
                <w:sz w:val="17"/>
              </w:rPr>
              <w:t>Derived operational state</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SA-CMP-04</w:t>
            </w:r>
          </w:p>
        </w:tc>
        <w:tc>
          <w:tcPr>
            <w:tcW w:type="dxa" w:w="1900"/>
            <w:tcMar>
              <w:top w:w="110" w:type="dxa"/>
              <w:start w:w="120" w:type="dxa"/>
              <w:bottom w:w="110" w:type="dxa"/>
              <w:end w:w="120" w:type="dxa"/>
            </w:tcMar>
            <w:vAlign w:val="center"/>
          </w:tcPr>
          <w:p>
            <w:pPr>
              <w:spacing w:before="0" w:after="0"/>
            </w:pPr>
            <w:r>
              <w:rPr>
                <w:sz w:val="17"/>
              </w:rPr>
              <w:t>ADMS Restoration Assessment</w:t>
            </w:r>
          </w:p>
        </w:tc>
        <w:tc>
          <w:tcPr>
            <w:tcW w:type="dxa" w:w="4000"/>
            <w:tcMar>
              <w:top w:w="110" w:type="dxa"/>
              <w:start w:w="120" w:type="dxa"/>
              <w:bottom w:w="110" w:type="dxa"/>
              <w:end w:w="120" w:type="dxa"/>
            </w:tcMar>
            <w:vAlign w:val="center"/>
          </w:tcPr>
          <w:p>
            <w:pPr>
              <w:spacing w:before="0" w:after="0"/>
            </w:pPr>
            <w:r>
              <w:rPr>
                <w:sz w:val="17"/>
              </w:rPr>
              <w:t>Candidate path, permissives, capacity and PERMITTED/REJECTED/BLOCKED result</w:t>
            </w:r>
          </w:p>
        </w:tc>
        <w:tc>
          <w:tcPr>
            <w:tcW w:type="dxa" w:w="2310"/>
            <w:tcMar>
              <w:top w:w="110" w:type="dxa"/>
              <w:start w:w="120" w:type="dxa"/>
              <w:bottom w:w="110" w:type="dxa"/>
              <w:end w:w="120" w:type="dxa"/>
            </w:tcMar>
            <w:vAlign w:val="center"/>
          </w:tcPr>
          <w:p>
            <w:pPr>
              <w:spacing w:before="0" w:after="0"/>
            </w:pPr>
            <w:r>
              <w:rPr>
                <w:sz w:val="17"/>
              </w:rPr>
              <w:t>Derived engineering assessment</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SA-CMP-05</w:t>
            </w:r>
          </w:p>
        </w:tc>
        <w:tc>
          <w:tcPr>
            <w:tcW w:type="dxa" w:w="1900"/>
            <w:tcMar>
              <w:top w:w="110" w:type="dxa"/>
              <w:start w:w="120" w:type="dxa"/>
              <w:bottom w:w="110" w:type="dxa"/>
              <w:end w:w="120" w:type="dxa"/>
            </w:tcMar>
            <w:vAlign w:val="center"/>
          </w:tcPr>
          <w:p>
            <w:pPr>
              <w:spacing w:before="0" w:after="0"/>
            </w:pPr>
            <w:r>
              <w:rPr>
                <w:sz w:val="17"/>
              </w:rPr>
              <w:t>OMS</w:t>
            </w:r>
          </w:p>
        </w:tc>
        <w:tc>
          <w:tcPr>
            <w:tcW w:type="dxa" w:w="4000"/>
            <w:tcMar>
              <w:top w:w="110" w:type="dxa"/>
              <w:start w:w="120" w:type="dxa"/>
              <w:bottom w:w="110" w:type="dxa"/>
              <w:end w:w="120" w:type="dxa"/>
            </w:tcMar>
            <w:vAlign w:val="center"/>
          </w:tcPr>
          <w:p>
            <w:pPr>
              <w:spacing w:before="0" w:after="0"/>
            </w:pPr>
            <w:r>
              <w:rPr>
                <w:sz w:val="17"/>
              </w:rPr>
              <w:t>Outage extent, customer-zone impact, affected/restored customer totals</w:t>
            </w:r>
          </w:p>
        </w:tc>
        <w:tc>
          <w:tcPr>
            <w:tcW w:type="dxa" w:w="2310"/>
            <w:tcMar>
              <w:top w:w="110" w:type="dxa"/>
              <w:start w:w="120" w:type="dxa"/>
              <w:bottom w:w="110" w:type="dxa"/>
              <w:end w:w="120" w:type="dxa"/>
            </w:tcMar>
            <w:vAlign w:val="center"/>
          </w:tcPr>
          <w:p>
            <w:pPr>
              <w:spacing w:before="0" w:after="0"/>
            </w:pPr>
            <w:r>
              <w:rPr>
                <w:sz w:val="17"/>
              </w:rPr>
              <w:t>Derived outage state</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SA-CMP-06</w:t>
            </w:r>
          </w:p>
        </w:tc>
        <w:tc>
          <w:tcPr>
            <w:tcW w:type="dxa" w:w="1900"/>
            <w:tcMar>
              <w:top w:w="110" w:type="dxa"/>
              <w:start w:w="120" w:type="dxa"/>
              <w:bottom w:w="110" w:type="dxa"/>
              <w:end w:w="120" w:type="dxa"/>
            </w:tcMar>
            <w:vAlign w:val="center"/>
          </w:tcPr>
          <w:p>
            <w:pPr>
              <w:spacing w:before="0" w:after="0"/>
            </w:pPr>
            <w:r>
              <w:rPr>
                <w:sz w:val="17"/>
              </w:rPr>
              <w:t>Operational Event / Audit</w:t>
            </w:r>
          </w:p>
        </w:tc>
        <w:tc>
          <w:tcPr>
            <w:tcW w:type="dxa" w:w="4000"/>
            <w:tcMar>
              <w:top w:w="110" w:type="dxa"/>
              <w:start w:w="120" w:type="dxa"/>
              <w:bottom w:w="110" w:type="dxa"/>
              <w:end w:w="120" w:type="dxa"/>
            </w:tcMar>
            <w:vAlign w:val="center"/>
          </w:tcPr>
          <w:p>
            <w:pPr>
              <w:spacing w:before="0" w:after="0"/>
            </w:pPr>
            <w:r>
              <w:rPr>
                <w:sz w:val="17"/>
              </w:rPr>
              <w:t>Chronological append-only operational history</w:t>
            </w:r>
          </w:p>
        </w:tc>
        <w:tc>
          <w:tcPr>
            <w:tcW w:type="dxa" w:w="2310"/>
            <w:tcMar>
              <w:top w:w="110" w:type="dxa"/>
              <w:start w:w="120" w:type="dxa"/>
              <w:bottom w:w="110" w:type="dxa"/>
              <w:end w:w="120" w:type="dxa"/>
            </w:tcMar>
            <w:vAlign w:val="center"/>
          </w:tcPr>
          <w:p>
            <w:pPr>
              <w:spacing w:before="0" w:after="0"/>
            </w:pPr>
            <w:r>
              <w:rPr>
                <w:sz w:val="17"/>
              </w:rPr>
              <w:t>Cross-functional operational record</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SA-CMP-07</w:t>
            </w:r>
          </w:p>
        </w:tc>
        <w:tc>
          <w:tcPr>
            <w:tcW w:type="dxa" w:w="1900"/>
            <w:tcMar>
              <w:top w:w="110" w:type="dxa"/>
              <w:start w:w="120" w:type="dxa"/>
              <w:bottom w:w="110" w:type="dxa"/>
              <w:end w:w="120" w:type="dxa"/>
            </w:tcMar>
            <w:vAlign w:val="center"/>
          </w:tcPr>
          <w:p>
            <w:pPr>
              <w:spacing w:before="0" w:after="0"/>
            </w:pPr>
            <w:r>
              <w:rPr>
                <w:sz w:val="17"/>
              </w:rPr>
              <w:t>Scenario Control</w:t>
            </w:r>
          </w:p>
        </w:tc>
        <w:tc>
          <w:tcPr>
            <w:tcW w:type="dxa" w:w="4000"/>
            <w:tcMar>
              <w:top w:w="110" w:type="dxa"/>
              <w:start w:w="120" w:type="dxa"/>
              <w:bottom w:w="110" w:type="dxa"/>
              <w:end w:w="120" w:type="dxa"/>
            </w:tcMar>
            <w:vAlign w:val="center"/>
          </w:tcPr>
          <w:p>
            <w:pPr>
              <w:spacing w:before="0" w:after="0"/>
            </w:pPr>
            <w:r>
              <w:rPr>
                <w:sz w:val="17"/>
              </w:rPr>
              <w:t>Mode, run identity, scenario clock, initialisation, fault input, actions and reset</w:t>
            </w:r>
          </w:p>
        </w:tc>
        <w:tc>
          <w:tcPr>
            <w:tcW w:type="dxa" w:w="2310"/>
            <w:tcMar>
              <w:top w:w="110" w:type="dxa"/>
              <w:start w:w="120" w:type="dxa"/>
              <w:bottom w:w="110" w:type="dxa"/>
              <w:end w:w="120" w:type="dxa"/>
            </w:tcMar>
            <w:vAlign w:val="center"/>
          </w:tcPr>
          <w:p>
            <w:pPr>
              <w:spacing w:before="0" w:after="0"/>
            </w:pPr>
            <w:r>
              <w:rPr>
                <w:sz w:val="17"/>
              </w:rPr>
              <w:t>Demonstrator coordination</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SA-CMP-08</w:t>
            </w:r>
          </w:p>
        </w:tc>
        <w:tc>
          <w:tcPr>
            <w:tcW w:type="dxa" w:w="1900"/>
            <w:tcMar>
              <w:top w:w="110" w:type="dxa"/>
              <w:start w:w="120" w:type="dxa"/>
              <w:bottom w:w="110" w:type="dxa"/>
              <w:end w:w="120" w:type="dxa"/>
            </w:tcMar>
            <w:vAlign w:val="center"/>
          </w:tcPr>
          <w:p>
            <w:pPr>
              <w:spacing w:before="0" w:after="0"/>
            </w:pPr>
            <w:r>
              <w:rPr>
                <w:sz w:val="17"/>
              </w:rPr>
              <w:t>Validation and Evidence</w:t>
            </w:r>
          </w:p>
        </w:tc>
        <w:tc>
          <w:tcPr>
            <w:tcW w:type="dxa" w:w="4000"/>
            <w:tcMar>
              <w:top w:w="110" w:type="dxa"/>
              <w:start w:w="120" w:type="dxa"/>
              <w:bottom w:w="110" w:type="dxa"/>
              <w:end w:w="120" w:type="dxa"/>
            </w:tcMar>
            <w:vAlign w:val="center"/>
          </w:tcPr>
          <w:p>
            <w:pPr>
              <w:spacing w:before="0" w:after="0"/>
            </w:pPr>
            <w:r>
              <w:rPr>
                <w:sz w:val="17"/>
              </w:rPr>
              <w:t>Expected/observed comparison, test result, evidence and defect/correction links</w:t>
            </w:r>
          </w:p>
        </w:tc>
        <w:tc>
          <w:tcPr>
            <w:tcW w:type="dxa" w:w="2310"/>
            <w:tcMar>
              <w:top w:w="110" w:type="dxa"/>
              <w:start w:w="120" w:type="dxa"/>
              <w:bottom w:w="110" w:type="dxa"/>
              <w:end w:w="120" w:type="dxa"/>
            </w:tcMar>
            <w:vAlign w:val="center"/>
          </w:tcPr>
          <w:p>
            <w:pPr>
              <w:spacing w:before="0" w:after="0"/>
            </w:pPr>
            <w:r>
              <w:rPr>
                <w:sz w:val="17"/>
              </w:rPr>
              <w:t>Engineering work package</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SA-CMP-09</w:t>
            </w:r>
          </w:p>
        </w:tc>
        <w:tc>
          <w:tcPr>
            <w:tcW w:type="dxa" w:w="1900"/>
            <w:tcMar>
              <w:top w:w="110" w:type="dxa"/>
              <w:start w:w="120" w:type="dxa"/>
              <w:bottom w:w="110" w:type="dxa"/>
              <w:end w:w="120" w:type="dxa"/>
            </w:tcMar>
            <w:vAlign w:val="center"/>
          </w:tcPr>
          <w:p>
            <w:pPr>
              <w:spacing w:before="0" w:after="0"/>
            </w:pPr>
            <w:r>
              <w:rPr>
                <w:sz w:val="17"/>
              </w:rPr>
              <w:t>Operator / Reviewer Workspace</w:t>
            </w:r>
          </w:p>
        </w:tc>
        <w:tc>
          <w:tcPr>
            <w:tcW w:type="dxa" w:w="4000"/>
            <w:tcMar>
              <w:top w:w="110" w:type="dxa"/>
              <w:start w:w="120" w:type="dxa"/>
              <w:bottom w:w="110" w:type="dxa"/>
              <w:end w:w="120" w:type="dxa"/>
            </w:tcMar>
            <w:vAlign w:val="center"/>
          </w:tcPr>
          <w:p>
            <w:pPr>
              <w:spacing w:before="0" w:after="0"/>
            </w:pPr>
            <w:r>
              <w:rPr>
                <w:sz w:val="17"/>
              </w:rPr>
              <w:t>Engineering-first presentation and authorised simulated interaction</w:t>
            </w:r>
          </w:p>
        </w:tc>
        <w:tc>
          <w:tcPr>
            <w:tcW w:type="dxa" w:w="2310"/>
            <w:tcMar>
              <w:top w:w="110" w:type="dxa"/>
              <w:start w:w="120" w:type="dxa"/>
              <w:bottom w:w="110" w:type="dxa"/>
              <w:end w:w="120" w:type="dxa"/>
            </w:tcMar>
            <w:vAlign w:val="center"/>
          </w:tcPr>
          <w:p>
            <w:pPr>
              <w:spacing w:before="0" w:after="0"/>
            </w:pPr>
            <w:r>
              <w:rPr>
                <w:sz w:val="17"/>
              </w:rPr>
              <w:t>Presentation / interaction</w:t>
            </w:r>
          </w:p>
        </w:tc>
      </w:tr>
    </w:tbl>
    <w:p>
      <w:pPr>
        <w:spacing w:after="60"/>
      </w:pPr>
    </w:p>
    <w:p>
      <w:pPr>
        <w:pStyle w:val="Heading1"/>
      </w:pPr>
      <w:r>
        <w:t>5. SA-CMP-01 — Network Configuration / GIS</w:t>
      </w:r>
    </w:p>
    <w:p>
      <w:pPr>
        <w:pStyle w:val="Heading2"/>
      </w:pPr>
      <w:r>
        <w:t>5.1 Responsibilities</w:t>
      </w:r>
    </w:p>
    <w:p>
      <w:pPr>
        <w:numPr>
          <w:ilvl w:val="0"/>
          <w:numId w:val="5"/>
        </w:numPr>
        <w:keepLines/>
        <w:spacing w:before="240" w:after="0"/>
      </w:pPr>
      <w:r>
        <w:t>provide stable asset, feeder, breaker, switch, section and customer-zone identifiers;</w:t>
      </w:r>
    </w:p>
    <w:p>
      <w:pPr>
        <w:numPr>
          <w:ilvl w:val="0"/>
          <w:numId w:val="5"/>
        </w:numPr>
        <w:keepLines/>
        <w:spacing w:before="0" w:after="0"/>
      </w:pPr>
      <w:r>
        <w:t>provide configured endpoint relationships and feeder/source definitions;</w:t>
      </w:r>
    </w:p>
    <w:p>
      <w:pPr>
        <w:numPr>
          <w:ilvl w:val="0"/>
          <w:numId w:val="5"/>
        </w:numPr>
        <w:keepLines/>
        <w:spacing w:before="0" w:after="0"/>
      </w:pPr>
      <w:r>
        <w:t>provide normal device states, simplified section loads, feeder capacities and customer counts;</w:t>
      </w:r>
    </w:p>
    <w:p>
      <w:pPr>
        <w:numPr>
          <w:ilvl w:val="0"/>
          <w:numId w:val="5"/>
        </w:numPr>
        <w:keepLines/>
        <w:spacing w:before="0" w:after="0"/>
      </w:pPr>
      <w:r>
        <w:t>provide customer-zone-to-section relationships consumed by OMS;</w:t>
      </w:r>
    </w:p>
    <w:p>
      <w:pPr>
        <w:numPr>
          <w:ilvl w:val="0"/>
          <w:numId w:val="5"/>
        </w:numPr>
        <w:keepLines/>
        <w:spacing w:before="0" w:after="0"/>
      </w:pPr>
      <w:r>
        <w:t>preserve Network Configuration v1.0 and v1.1 as separately identifiable packages;</w:t>
      </w:r>
    </w:p>
    <w:p>
      <w:pPr>
        <w:numPr>
          <w:ilvl w:val="0"/>
          <w:numId w:val="5"/>
        </w:numPr>
        <w:keepLines/>
        <w:spacing w:before="0" w:after="240"/>
      </w:pPr>
      <w:r>
        <w:t>provide configuration metadata sufficient to identify the version used by each run or validation execution.</w:t>
      </w:r>
    </w:p>
    <w:p>
      <w:pPr>
        <w:keepLines/>
        <w:spacing w:before="240" w:after="240"/>
      </w:pPr>
      <w:r>
        <w:rPr>
          <w:i w:val="0"/>
        </w:rPr>
        <w:t>This component does not store the current OPEN/CLOSED telemetry value as though it were persistent connectivity. It may store a normal-state attribute, but the current observed state belongs to SA-CMP-02 and run-scoped operational state.</w:t>
      </w:r>
    </w:p>
    <w:p>
      <w:pPr>
        <w:pStyle w:val="Heading2"/>
      </w:pPr>
      <w:r>
        <w:t>5.2 Configuration Version Semantics</w:t>
      </w:r>
    </w:p>
    <w:p>
      <w:pPr>
        <w:keepLines/>
        <w:spacing w:before="240" w:after="240"/>
      </w:pPr>
      <w:r>
        <w:rPr>
          <w:i w:val="0"/>
        </w:rPr>
        <w:t>Network Configuration v1.0 and v1.1 contain the same asset set, loads, capacities, customers and algorithms. The single controlled difference is SW-A23 endpoint 1: v1.0 references SEC-B3 and v1.1 references SEC-A2; endpoint 2 remains SEC-A3.</w:t>
      </w:r>
    </w:p>
    <w:p>
      <w:pPr>
        <w:keepLines/>
        <w:spacing w:before="240" w:after="240"/>
      </w:pPr>
      <w:r>
        <w:rPr>
          <w:i w:val="0"/>
        </w:rPr>
        <w:t>A scenario run references one immutable configuration version. The active run shall not silently mutate that version. The correction workflow records the approved v1.0 → v1.1 change, then starts or resets execution against v1.1 while preserving all v1.0 evidence.</w:t>
      </w:r>
    </w:p>
    <w:p>
      <w:pPr>
        <w:pStyle w:val="Heading2"/>
      </w:pPr>
      <w:r>
        <w:t>5.3 Configured Load Versus Derived Supplied Load</w:t>
      </w:r>
    </w:p>
    <w:p>
      <w:pPr>
        <w:keepLines/>
        <w:spacing w:before="240" w:after="240"/>
      </w:pPr>
      <w:r>
        <w:rPr>
          <w:i w:val="0"/>
        </w:rPr>
        <w:t>The architecture distinguishes configured or nominal feeder load from the currently supplied load derived from section source paths. For example, FDR-B has a configured normal load of 4.20 MW, while defective v1.0 topology attributes SEC-A3 and SEC-A4 to FDR-B and therefore derives 5.70 MW currently supplied. One value must not overwrite or masquerade as the other.</w:t>
      </w:r>
    </w:p>
    <w:p>
      <w:pPr>
        <w:pStyle w:val="Heading1"/>
      </w:pPr>
      <w:r>
        <w:t>6. SA-CMP-02 — SCADA / Telemetry</w:t>
      </w:r>
    </w:p>
    <w:p>
      <w:pPr>
        <w:pStyle w:val="Heading2"/>
      </w:pPr>
      <w:r>
        <w:t>6.1 Monitored-Point Model</w:t>
      </w:r>
    </w:p>
    <w:p>
      <w:pPr>
        <w:keepLines/>
        <w:spacing w:before="240" w:after="240"/>
      </w:pPr>
      <w:r>
        <w:rPr>
          <w:i w:val="0"/>
        </w:rPr>
        <w:t>Each monitored breaker or switch point required by the scenario shall use one consistent structure containing:</w:t>
      </w:r>
    </w:p>
    <w:p>
      <w:pPr>
        <w:numPr>
          <w:ilvl w:val="0"/>
          <w:numId w:val="5"/>
        </w:numPr>
        <w:keepLines/>
        <w:spacing w:before="240" w:after="0"/>
      </w:pPr>
      <w:r>
        <w:t>stable point or associated device identifier;</w:t>
      </w:r>
    </w:p>
    <w:p>
      <w:pPr>
        <w:numPr>
          <w:ilvl w:val="0"/>
          <w:numId w:val="5"/>
        </w:numPr>
        <w:keepLines/>
        <w:spacing w:before="0" w:after="0"/>
      </w:pPr>
      <w:r>
        <w:t>current or last-known discrete value, including OPEN or CLOSED;</w:t>
      </w:r>
    </w:p>
    <w:p>
      <w:pPr>
        <w:numPr>
          <w:ilvl w:val="0"/>
          <w:numId w:val="5"/>
        </w:numPr>
        <w:keepLines/>
        <w:spacing w:before="0" w:after="0"/>
      </w:pPr>
      <w:r>
        <w:t>quality state GOOD, UNCERTAIN or BAD;</w:t>
      </w:r>
    </w:p>
    <w:p>
      <w:pPr>
        <w:numPr>
          <w:ilvl w:val="0"/>
          <w:numId w:val="5"/>
        </w:numPr>
        <w:keepLines/>
        <w:spacing w:before="0" w:after="0"/>
      </w:pPr>
      <w:r>
        <w:t>timestamp of the most recent update;</w:t>
      </w:r>
    </w:p>
    <w:p>
      <w:pPr>
        <w:numPr>
          <w:ilvl w:val="0"/>
          <w:numId w:val="5"/>
        </w:numPr>
        <w:keepLines/>
        <w:spacing w:before="0" w:after="0"/>
      </w:pPr>
      <w:r>
        <w:t>derived age relative to the controlled scenario clock;</w:t>
      </w:r>
    </w:p>
    <w:p>
      <w:pPr>
        <w:numPr>
          <w:ilvl w:val="0"/>
          <w:numId w:val="5"/>
        </w:numPr>
        <w:keepLines/>
        <w:spacing w:before="0" w:after="240"/>
      </w:pPr>
      <w:r>
        <w:t>freshness classification against the controlled maximum age.</w:t>
      </w:r>
    </w:p>
    <w:p>
      <w:pPr>
        <w:keepLines/>
        <w:spacing w:before="240" w:after="240"/>
      </w:pPr>
      <w:r>
        <w:rPr>
          <w:i w:val="0"/>
        </w:rPr>
        <w:t>Quality and freshness are independent. A GOOD last-reported value may still be stale, and a current timestamp does not convert BAD or UNCERTAIN quality into trustworthy evidence.</w:t>
      </w:r>
    </w:p>
    <w:p>
      <w:pPr>
        <w:pStyle w:val="Heading2"/>
      </w:pPr>
      <w:r>
        <w:t>6.2 Telemetry Update and Recalculation Trigger</w:t>
      </w:r>
    </w:p>
    <w:p>
      <w:pPr>
        <w:keepLines/>
        <w:spacing w:before="240" w:after="240"/>
      </w:pPr>
      <w:r>
        <w:rPr>
          <w:i w:val="0"/>
        </w:rPr>
        <w:t>A device-value change creates an observed-state update and a traceable operational event, then triggers the deterministic downstream processing transaction defined in Section 16. Quality or timestamp changes that affect restoration evidence shall invalidate any existing assessment even where the discrete OPEN/CLOSED value is unchanged.</w:t>
      </w:r>
    </w:p>
    <w:p>
      <w:pPr>
        <w:pStyle w:val="Heading2"/>
      </w:pPr>
      <w:r>
        <w:t>6.3 Alarm and Acknowledgement Boundary</w:t>
      </w:r>
    </w:p>
    <w:p>
      <w:pPr>
        <w:keepLines/>
        <w:spacing w:before="240" w:after="240"/>
      </w:pPr>
      <w:r>
        <w:rPr>
          <w:i w:val="0"/>
        </w:rPr>
        <w:t>The feeder-trip alarm is generated from the relevant observed breaker transition. Alarm acknowledgement changes the alarm/acknowledgement record and creates an event, but it does not modify breaker state, network connectivity, derived energisation or outage impact.</w:t>
      </w:r>
    </w:p>
    <w:p>
      <w:pPr>
        <w:pStyle w:val="Heading1"/>
      </w:pPr>
      <w:r>
        <w:t>7. SA-CMP-03 — ADMS Topology</w:t>
      </w:r>
    </w:p>
    <w:p>
      <w:pPr>
        <w:pStyle w:val="Heading2"/>
      </w:pPr>
      <w:r>
        <w:t>7.1 Active-Graph Construction</w:t>
      </w:r>
    </w:p>
    <w:p>
      <w:pPr>
        <w:keepLines/>
        <w:spacing w:before="240" w:after="240"/>
      </w:pPr>
      <w:r>
        <w:rPr>
          <w:i w:val="0"/>
        </w:rPr>
        <w:t>The topology component constructs an active graph from configured connectivity, available source definitions and current switching-device values. An OPEN breaker or switch removes the corresponding active connection; a CLOSED device permits traversal subject to the configured endpoints. The same graph-processing logic applies to both feeders and both configuration versions.</w:t>
      </w:r>
    </w:p>
    <w:p>
      <w:pPr>
        <w:pStyle w:val="Heading2"/>
      </w:pPr>
      <w:r>
        <w:t>7.2 Source Tracing and Energisation</w:t>
      </w:r>
    </w:p>
    <w:p>
      <w:pPr>
        <w:keepLines/>
        <w:spacing w:before="240" w:after="240"/>
      </w:pPr>
      <w:r>
        <w:rPr>
          <w:i w:val="0"/>
        </w:rPr>
        <w:t>For each distribution section, the component traces continuous active paths to available sources. A section is ENERGISED only where at least one permitted source path exists; otherwise it is DE-ENERGISED. The derived result includes source attribution so that an energised section supplied from the wrong feeder remains detectable.</w:t>
      </w:r>
    </w:p>
    <w:p>
      <w:pPr>
        <w:keepLines/>
        <w:spacing w:before="240" w:after="240"/>
      </w:pPr>
      <w:r>
        <w:rPr>
          <w:i w:val="0"/>
        </w:rPr>
        <w:t>The component shall expose, at minimum, the derived energisation state, active source identifier or absence of source, and a reviewable path trace. It shall also identify multiple active sources or an unintended loop where a proposed switching arrangement violates the normally radial design.</w:t>
      </w:r>
    </w:p>
    <w:p>
      <w:pPr>
        <w:pStyle w:val="Heading2"/>
      </w:pPr>
      <w:r>
        <w:t>7.3 Fault-State Boundary</w:t>
      </w:r>
    </w:p>
    <w:p>
      <w:pPr>
        <w:keepLines/>
        <w:spacing w:before="240" w:after="240"/>
      </w:pPr>
      <w:r>
        <w:rPr>
          <w:i w:val="0"/>
        </w:rPr>
        <w:t>The active fault section is run-scoped scenario information supplied by SA-CMP-07. SA-CMP-03 does not force that section DE-ENERGISED merely because it is marked FAULTED. Instead, it derives reachability normally. SA-CMP-04 then proves that no active path exists into the faulted section before restoration can be permitted.</w:t>
      </w:r>
    </w:p>
    <w:p>
      <w:pPr>
        <w:pStyle w:val="Heading2"/>
      </w:pPr>
      <w:r>
        <w:t>7.4 Recalculation Triggers</w:t>
      </w:r>
    </w:p>
    <w:p>
      <w:pPr>
        <w:numPr>
          <w:ilvl w:val="0"/>
          <w:numId w:val="5"/>
        </w:numPr>
        <w:keepLines/>
        <w:spacing w:before="240" w:after="0"/>
      </w:pPr>
      <w:r>
        <w:t>scenario initialisation or reset;</w:t>
      </w:r>
    </w:p>
    <w:p>
      <w:pPr>
        <w:numPr>
          <w:ilvl w:val="0"/>
          <w:numId w:val="5"/>
        </w:numPr>
        <w:keepLines/>
        <w:spacing w:before="0" w:after="0"/>
      </w:pPr>
      <w:r>
        <w:t>configuration-version load;</w:t>
      </w:r>
    </w:p>
    <w:p>
      <w:pPr>
        <w:numPr>
          <w:ilvl w:val="0"/>
          <w:numId w:val="5"/>
        </w:numPr>
        <w:keepLines/>
        <w:spacing w:before="0" w:after="0"/>
      </w:pPr>
      <w:r>
        <w:t>source availability change;</w:t>
      </w:r>
    </w:p>
    <w:p>
      <w:pPr>
        <w:numPr>
          <w:ilvl w:val="0"/>
          <w:numId w:val="5"/>
        </w:numPr>
        <w:keepLines/>
        <w:spacing w:before="0" w:after="0"/>
      </w:pPr>
      <w:r>
        <w:t>breaker or switch value change;</w:t>
      </w:r>
    </w:p>
    <w:p>
      <w:pPr>
        <w:numPr>
          <w:ilvl w:val="0"/>
          <w:numId w:val="5"/>
        </w:numPr>
        <w:keepLines/>
        <w:spacing w:before="0" w:after="240"/>
      </w:pPr>
      <w:r>
        <w:t>simulated isolation or restoration action.</w:t>
      </w:r>
    </w:p>
    <w:p>
      <w:pPr>
        <w:keepLines/>
        <w:spacing w:before="240" w:after="240"/>
      </w:pPr>
      <w:r>
        <w:rPr>
          <w:i w:val="0"/>
        </w:rPr>
        <w:t>Every recalculation produces a new run-state revision. Derived state is replaced by the new calculation within the active run, while evidence snapshots already attached to a completed validation execution remain immutable.</w:t>
      </w:r>
    </w:p>
    <w:p>
      <w:pPr>
        <w:pStyle w:val="Heading1"/>
      </w:pPr>
      <w:r>
        <w:t>8. SA-CMP-04 — ADMS Restoration Assessment</w:t>
      </w:r>
    </w:p>
    <w:p>
      <w:pPr>
        <w:pStyle w:val="Heading2"/>
      </w:pPr>
      <w:r>
        <w:t>8.1 Candidate Discovery</w:t>
      </w:r>
    </w:p>
    <w:p>
      <w:pPr>
        <w:keepLines/>
        <w:spacing w:before="240" w:after="240"/>
      </w:pPr>
      <w:r>
        <w:rPr>
          <w:i w:val="0"/>
        </w:rPr>
        <w:t>Candidate discovery begins only from current topology and the active fault context. It identifies healthy DE-ENERGISED sections and determines whether closing the normally-open tie could create an alternate-source path after the required fault-isolation boundaries are open.</w:t>
      </w:r>
    </w:p>
    <w:p>
      <w:pPr>
        <w:keepLines/>
        <w:spacing w:before="240" w:after="240"/>
      </w:pPr>
      <w:r>
        <w:rPr>
          <w:i w:val="0"/>
        </w:rPr>
        <w:t>The algorithm shall derive affected and alternate feeder roles from the selected fault, current topology and source paths. It shall not assume that FDR-A is always affected or FDR-B is always alternate. A valid Exploration Mode run may produce no candidate.</w:t>
      </w:r>
    </w:p>
    <w:p>
      <w:pPr>
        <w:pStyle w:val="Heading2"/>
      </w:pPr>
      <w:r>
        <w:t>8.2 Candidate Representation</w:t>
      </w:r>
    </w:p>
    <w:p>
      <w:pPr>
        <w:keepLines/>
        <w:spacing w:before="240" w:after="240"/>
      </w:pPr>
      <w:r>
        <w:rPr>
          <w:i w:val="0"/>
        </w:rPr>
        <w:t>A candidate restoration proposal records the alternate source, tie device, proposed healthy section set, proposed active path and transferable load basis. Candidate identification is distinct from permission: the existence of a path proposal does not imply that its permissives pass.</w:t>
      </w:r>
    </w:p>
    <w:p>
      <w:pPr>
        <w:pStyle w:val="Heading2"/>
      </w:pPr>
      <w:r>
        <w:t>8.3 Permissive Evaluation</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150"/>
        <w:gridCol w:w="2700"/>
        <w:gridCol w:w="1810"/>
      </w:tblGrid>
      <w:tr>
        <w:trPr>
          <w:tblHeader w:val="true"/>
          <w:cantSplit/>
        </w:trPr>
        <w:tc>
          <w:tcPr>
            <w:tcW w:type="dxa" w:w="3"/>
            <w:shd w:fill="E7E6E6"/>
            <w:tcMar>
              <w:top w:w="110" w:type="dxa"/>
              <w:start w:w="120" w:type="dxa"/>
              <w:bottom w:w="110" w:type="dxa"/>
              <w:end w:w="120" w:type="dxa"/>
            </w:tcMar>
            <w:vAlign w:val="center"/>
          </w:tcPr>
          <w:p>
            <w:pPr>
              <w:spacing w:before="0" w:after="0"/>
              <w:jc w:val="center"/>
            </w:pPr>
            <w:r>
              <w:rPr>
                <w:b/>
                <w:sz w:val="17"/>
              </w:rPr>
              <w:t>Permissive</w:t>
            </w:r>
          </w:p>
        </w:tc>
        <w:tc>
          <w:tcPr>
            <w:tcW w:type="dxa" w:w="5"/>
            <w:shd w:fill="E7E6E6"/>
            <w:tcMar>
              <w:top w:w="110" w:type="dxa"/>
              <w:start w:w="120" w:type="dxa"/>
              <w:bottom w:w="110" w:type="dxa"/>
              <w:end w:w="120" w:type="dxa"/>
            </w:tcMar>
            <w:vAlign w:val="center"/>
          </w:tcPr>
          <w:p>
            <w:pPr>
              <w:spacing w:before="0" w:after="0"/>
              <w:jc w:val="center"/>
            </w:pPr>
            <w:r>
              <w:rPr>
                <w:b/>
                <w:sz w:val="17"/>
              </w:rPr>
              <w:t>Evidence basis</w:t>
            </w:r>
          </w:p>
        </w:tc>
        <w:tc>
          <w:tcPr>
            <w:tcW w:type="dxa" w:w="4"/>
            <w:shd w:fill="E7E6E6"/>
            <w:tcMar>
              <w:top w:w="110" w:type="dxa"/>
              <w:start w:w="120" w:type="dxa"/>
              <w:bottom w:w="110" w:type="dxa"/>
              <w:end w:w="120" w:type="dxa"/>
            </w:tcMar>
            <w:vAlign w:val="center"/>
          </w:tcPr>
          <w:p>
            <w:pPr>
              <w:spacing w:before="0" w:after="0"/>
              <w:jc w:val="center"/>
            </w:pPr>
            <w:r>
              <w:rPr>
                <w:b/>
                <w:sz w:val="17"/>
              </w:rPr>
              <w:t>Pass condition</w:t>
            </w:r>
          </w:p>
        </w:tc>
        <w:tc>
          <w:tcPr>
            <w:tcW w:type="dxa" w:w="3"/>
            <w:shd w:fill="E7E6E6"/>
            <w:tcMar>
              <w:top w:w="110" w:type="dxa"/>
              <w:start w:w="120" w:type="dxa"/>
              <w:bottom w:w="110" w:type="dxa"/>
              <w:end w:w="120" w:type="dxa"/>
            </w:tcMar>
            <w:vAlign w:val="center"/>
          </w:tcPr>
          <w:p>
            <w:pPr>
              <w:spacing w:before="0" w:after="0"/>
              <w:jc w:val="center"/>
            </w:pPr>
            <w:r>
              <w:rPr>
                <w:b/>
                <w:sz w:val="17"/>
              </w:rPr>
              <w:t>Failure classification</w:t>
            </w:r>
          </w:p>
        </w:tc>
      </w:tr>
      <w:tr>
        <w:trPr>
          <w:cantSplit/>
        </w:trPr>
        <w:tc>
          <w:tcPr>
            <w:tcW w:type="dxa" w:w="1700"/>
            <w:tcMar>
              <w:top w:w="110" w:type="dxa"/>
              <w:start w:w="120" w:type="dxa"/>
              <w:bottom w:w="110" w:type="dxa"/>
              <w:end w:w="120" w:type="dxa"/>
            </w:tcMar>
            <w:vAlign w:val="center"/>
          </w:tcPr>
          <w:p>
            <w:pPr>
              <w:spacing w:before="0" w:after="0"/>
            </w:pPr>
            <w:r>
              <w:rPr>
                <w:sz w:val="17"/>
              </w:rPr>
              <w:t>Fault isolation</w:t>
            </w:r>
          </w:p>
        </w:tc>
        <w:tc>
          <w:tcPr>
            <w:tcW w:type="dxa" w:w="3150"/>
            <w:tcMar>
              <w:top w:w="110" w:type="dxa"/>
              <w:start w:w="120" w:type="dxa"/>
              <w:bottom w:w="110" w:type="dxa"/>
              <w:end w:w="120" w:type="dxa"/>
            </w:tcMar>
            <w:vAlign w:val="center"/>
          </w:tcPr>
          <w:p>
            <w:pPr>
              <w:spacing w:before="0" w:after="0"/>
            </w:pPr>
            <w:r>
              <w:rPr>
                <w:sz w:val="17"/>
              </w:rPr>
              <w:t>Current graph and isolation-device states</w:t>
            </w:r>
          </w:p>
        </w:tc>
        <w:tc>
          <w:tcPr>
            <w:tcW w:type="dxa" w:w="2700"/>
            <w:tcMar>
              <w:top w:w="110" w:type="dxa"/>
              <w:start w:w="120" w:type="dxa"/>
              <w:bottom w:w="110" w:type="dxa"/>
              <w:end w:w="120" w:type="dxa"/>
            </w:tcMar>
            <w:vAlign w:val="center"/>
          </w:tcPr>
          <w:p>
            <w:pPr>
              <w:spacing w:before="0" w:after="0"/>
            </w:pPr>
            <w:r>
              <w:rPr>
                <w:sz w:val="17"/>
              </w:rPr>
              <w:t>Fault section has no active path to any available source or proposed alternate path</w:t>
            </w:r>
          </w:p>
        </w:tc>
        <w:tc>
          <w:tcPr>
            <w:tcW w:type="dxa" w:w="1810"/>
            <w:tcMar>
              <w:top w:w="110" w:type="dxa"/>
              <w:start w:w="120" w:type="dxa"/>
              <w:bottom w:w="110" w:type="dxa"/>
              <w:end w:w="120" w:type="dxa"/>
            </w:tcMar>
            <w:vAlign w:val="center"/>
          </w:tcPr>
          <w:p>
            <w:pPr>
              <w:spacing w:before="0" w:after="0"/>
            </w:pPr>
            <w:r>
              <w:rPr>
                <w:sz w:val="17"/>
              </w:rPr>
              <w:t>REJECTED where trustworthy state proves isolation inadequate</w:t>
            </w:r>
          </w:p>
        </w:tc>
      </w:tr>
      <w:tr>
        <w:trPr>
          <w:cantSplit/>
        </w:trPr>
        <w:tc>
          <w:tcPr>
            <w:tcW w:type="dxa" w:w="1700"/>
            <w:tcMar>
              <w:top w:w="110" w:type="dxa"/>
              <w:start w:w="120" w:type="dxa"/>
              <w:bottom w:w="110" w:type="dxa"/>
              <w:end w:w="120" w:type="dxa"/>
            </w:tcMar>
            <w:vAlign w:val="center"/>
          </w:tcPr>
          <w:p>
            <w:pPr>
              <w:spacing w:before="0" w:after="0"/>
            </w:pPr>
            <w:r>
              <w:rPr>
                <w:sz w:val="17"/>
              </w:rPr>
              <w:t>Alternate source</w:t>
            </w:r>
          </w:p>
        </w:tc>
        <w:tc>
          <w:tcPr>
            <w:tcW w:type="dxa" w:w="3150"/>
            <w:tcMar>
              <w:top w:w="110" w:type="dxa"/>
              <w:start w:w="120" w:type="dxa"/>
              <w:bottom w:w="110" w:type="dxa"/>
              <w:end w:w="120" w:type="dxa"/>
            </w:tcMar>
            <w:vAlign w:val="center"/>
          </w:tcPr>
          <w:p>
            <w:pPr>
              <w:spacing w:before="0" w:after="0"/>
            </w:pPr>
            <w:r>
              <w:rPr>
                <w:sz w:val="17"/>
              </w:rPr>
              <w:t>Source and alternate breaker state/path</w:t>
            </w:r>
          </w:p>
        </w:tc>
        <w:tc>
          <w:tcPr>
            <w:tcW w:type="dxa" w:w="2700"/>
            <w:tcMar>
              <w:top w:w="110" w:type="dxa"/>
              <w:start w:w="120" w:type="dxa"/>
              <w:bottom w:w="110" w:type="dxa"/>
              <w:end w:w="120" w:type="dxa"/>
            </w:tcMar>
            <w:vAlign w:val="center"/>
          </w:tcPr>
          <w:p>
            <w:pPr>
              <w:spacing w:before="0" w:after="0"/>
            </w:pPr>
            <w:r>
              <w:rPr>
                <w:sz w:val="17"/>
              </w:rPr>
              <w:t>Required source is available and path can be established</w:t>
            </w:r>
          </w:p>
        </w:tc>
        <w:tc>
          <w:tcPr>
            <w:tcW w:type="dxa" w:w="1810"/>
            <w:tcMar>
              <w:top w:w="110" w:type="dxa"/>
              <w:start w:w="120" w:type="dxa"/>
              <w:bottom w:w="110" w:type="dxa"/>
              <w:end w:w="120" w:type="dxa"/>
            </w:tcMar>
            <w:vAlign w:val="center"/>
          </w:tcPr>
          <w:p>
            <w:pPr>
              <w:spacing w:before="0" w:after="0"/>
            </w:pPr>
            <w:r>
              <w:rPr>
                <w:sz w:val="17"/>
              </w:rPr>
              <w:t>REJECTED where trustworthy state proves unavailable</w:t>
            </w:r>
          </w:p>
        </w:tc>
      </w:tr>
      <w:tr>
        <w:trPr>
          <w:cantSplit/>
        </w:trPr>
        <w:tc>
          <w:tcPr>
            <w:tcW w:type="dxa" w:w="1700"/>
            <w:tcMar>
              <w:top w:w="110" w:type="dxa"/>
              <w:start w:w="120" w:type="dxa"/>
              <w:bottom w:w="110" w:type="dxa"/>
              <w:end w:w="120" w:type="dxa"/>
            </w:tcMar>
            <w:vAlign w:val="center"/>
          </w:tcPr>
          <w:p>
            <w:pPr>
              <w:spacing w:before="0" w:after="0"/>
            </w:pPr>
            <w:r>
              <w:rPr>
                <w:sz w:val="17"/>
              </w:rPr>
              <w:t>Radial topology</w:t>
            </w:r>
          </w:p>
        </w:tc>
        <w:tc>
          <w:tcPr>
            <w:tcW w:type="dxa" w:w="3150"/>
            <w:tcMar>
              <w:top w:w="110" w:type="dxa"/>
              <w:start w:w="120" w:type="dxa"/>
              <w:bottom w:w="110" w:type="dxa"/>
              <w:end w:w="120" w:type="dxa"/>
            </w:tcMar>
            <w:vAlign w:val="center"/>
          </w:tcPr>
          <w:p>
            <w:pPr>
              <w:spacing w:before="0" w:after="0"/>
            </w:pPr>
            <w:r>
              <w:rPr>
                <w:sz w:val="17"/>
              </w:rPr>
              <w:t>Simulated post-switch graph</w:t>
            </w:r>
          </w:p>
        </w:tc>
        <w:tc>
          <w:tcPr>
            <w:tcW w:type="dxa" w:w="2700"/>
            <w:tcMar>
              <w:top w:w="110" w:type="dxa"/>
              <w:start w:w="120" w:type="dxa"/>
              <w:bottom w:w="110" w:type="dxa"/>
              <w:end w:w="120" w:type="dxa"/>
            </w:tcMar>
            <w:vAlign w:val="center"/>
          </w:tcPr>
          <w:p>
            <w:pPr>
              <w:spacing w:before="0" w:after="0"/>
            </w:pPr>
            <w:r>
              <w:rPr>
                <w:sz w:val="17"/>
              </w:rPr>
              <w:t>No unintended energised loop or multiple-source condition</w:t>
            </w:r>
          </w:p>
        </w:tc>
        <w:tc>
          <w:tcPr>
            <w:tcW w:type="dxa" w:w="1810"/>
            <w:tcMar>
              <w:top w:w="110" w:type="dxa"/>
              <w:start w:w="120" w:type="dxa"/>
              <w:bottom w:w="110" w:type="dxa"/>
              <w:end w:w="120" w:type="dxa"/>
            </w:tcMar>
            <w:vAlign w:val="center"/>
          </w:tcPr>
          <w:p>
            <w:pPr>
              <w:spacing w:before="0" w:after="0"/>
            </w:pPr>
            <w:r>
              <w:rPr>
                <w:sz w:val="17"/>
              </w:rPr>
              <w:t>REJECTED</w:t>
            </w:r>
          </w:p>
        </w:tc>
      </w:tr>
      <w:tr>
        <w:trPr>
          <w:cantSplit/>
        </w:trPr>
        <w:tc>
          <w:tcPr>
            <w:tcW w:type="dxa" w:w="1700"/>
            <w:tcMar>
              <w:top w:w="110" w:type="dxa"/>
              <w:start w:w="120" w:type="dxa"/>
              <w:bottom w:w="110" w:type="dxa"/>
              <w:end w:w="120" w:type="dxa"/>
            </w:tcMar>
            <w:vAlign w:val="center"/>
          </w:tcPr>
          <w:p>
            <w:pPr>
              <w:spacing w:before="0" w:after="0"/>
            </w:pPr>
            <w:r>
              <w:rPr>
                <w:sz w:val="17"/>
              </w:rPr>
              <w:t>Telemetry validity</w:t>
            </w:r>
          </w:p>
        </w:tc>
        <w:tc>
          <w:tcPr>
            <w:tcW w:type="dxa" w:w="3150"/>
            <w:tcMar>
              <w:top w:w="110" w:type="dxa"/>
              <w:start w:w="120" w:type="dxa"/>
              <w:bottom w:w="110" w:type="dxa"/>
              <w:end w:w="120" w:type="dxa"/>
            </w:tcMar>
            <w:vAlign w:val="center"/>
          </w:tcPr>
          <w:p>
            <w:pPr>
              <w:spacing w:before="0" w:after="0"/>
            </w:pPr>
            <w:r>
              <w:rPr>
                <w:sz w:val="17"/>
              </w:rPr>
              <w:t>Value, quality, timestamp, age for every required device</w:t>
            </w:r>
          </w:p>
        </w:tc>
        <w:tc>
          <w:tcPr>
            <w:tcW w:type="dxa" w:w="2700"/>
            <w:tcMar>
              <w:top w:w="110" w:type="dxa"/>
              <w:start w:w="120" w:type="dxa"/>
              <w:bottom w:w="110" w:type="dxa"/>
              <w:end w:w="120" w:type="dxa"/>
            </w:tcMar>
            <w:vAlign w:val="center"/>
          </w:tcPr>
          <w:p>
            <w:pPr>
              <w:spacing w:before="0" w:after="0"/>
            </w:pPr>
            <w:r>
              <w:rPr>
                <w:sz w:val="17"/>
              </w:rPr>
              <w:t>All required telemetry is GOOD and fresh</w:t>
            </w:r>
          </w:p>
        </w:tc>
        <w:tc>
          <w:tcPr>
            <w:tcW w:type="dxa" w:w="1810"/>
            <w:tcMar>
              <w:top w:w="110" w:type="dxa"/>
              <w:start w:w="120" w:type="dxa"/>
              <w:bottom w:w="110" w:type="dxa"/>
              <w:end w:w="120" w:type="dxa"/>
            </w:tcMar>
            <w:vAlign w:val="center"/>
          </w:tcPr>
          <w:p>
            <w:pPr>
              <w:spacing w:before="0" w:after="0"/>
            </w:pPr>
            <w:r>
              <w:rPr>
                <w:sz w:val="17"/>
              </w:rPr>
              <w:t>BLOCKED for stale, UNCERTAIN or BAD</w:t>
            </w:r>
          </w:p>
        </w:tc>
      </w:tr>
      <w:tr>
        <w:trPr>
          <w:cantSplit/>
        </w:trPr>
        <w:tc>
          <w:tcPr>
            <w:tcW w:type="dxa" w:w="1700"/>
            <w:tcMar>
              <w:top w:w="110" w:type="dxa"/>
              <w:start w:w="120" w:type="dxa"/>
              <w:bottom w:w="110" w:type="dxa"/>
              <w:end w:w="120" w:type="dxa"/>
            </w:tcMar>
            <w:vAlign w:val="center"/>
          </w:tcPr>
          <w:p>
            <w:pPr>
              <w:spacing w:before="0" w:after="0"/>
            </w:pPr>
            <w:r>
              <w:rPr>
                <w:sz w:val="17"/>
              </w:rPr>
              <w:t>Capacity</w:t>
            </w:r>
          </w:p>
        </w:tc>
        <w:tc>
          <w:tcPr>
            <w:tcW w:type="dxa" w:w="3150"/>
            <w:tcMar>
              <w:top w:w="110" w:type="dxa"/>
              <w:start w:w="120" w:type="dxa"/>
              <w:bottom w:w="110" w:type="dxa"/>
              <w:end w:w="120" w:type="dxa"/>
            </w:tcMar>
            <w:vAlign w:val="center"/>
          </w:tcPr>
          <w:p>
            <w:pPr>
              <w:spacing w:before="0" w:after="0"/>
            </w:pPr>
            <w:r>
              <w:rPr>
                <w:sz w:val="17"/>
              </w:rPr>
              <w:t>Existing alternate load, transferable load and feeder capacity</w:t>
            </w:r>
          </w:p>
        </w:tc>
        <w:tc>
          <w:tcPr>
            <w:tcW w:type="dxa" w:w="2700"/>
            <w:tcMar>
              <w:top w:w="110" w:type="dxa"/>
              <w:start w:w="120" w:type="dxa"/>
              <w:bottom w:w="110" w:type="dxa"/>
              <w:end w:w="120" w:type="dxa"/>
            </w:tcMar>
            <w:vAlign w:val="center"/>
          </w:tcPr>
          <w:p>
            <w:pPr>
              <w:spacing w:before="0" w:after="0"/>
            </w:pPr>
            <w:r>
              <w:rPr>
                <w:sz w:val="17"/>
              </w:rPr>
              <w:t>L_R ≤ C_A</w:t>
            </w:r>
          </w:p>
        </w:tc>
        <w:tc>
          <w:tcPr>
            <w:tcW w:type="dxa" w:w="1810"/>
            <w:tcMar>
              <w:top w:w="110" w:type="dxa"/>
              <w:start w:w="120" w:type="dxa"/>
              <w:bottom w:w="110" w:type="dxa"/>
              <w:end w:w="120" w:type="dxa"/>
            </w:tcMar>
            <w:vAlign w:val="center"/>
          </w:tcPr>
          <w:p>
            <w:pPr>
              <w:spacing w:before="0" w:after="0"/>
            </w:pPr>
            <w:r>
              <w:rPr>
                <w:sz w:val="17"/>
              </w:rPr>
              <w:t>REJECTED where L_R &gt; C_A</w:t>
            </w:r>
          </w:p>
        </w:tc>
      </w:tr>
    </w:tbl>
    <w:p>
      <w:pPr>
        <w:spacing w:after="60"/>
      </w:pPr>
    </w:p>
    <w:p>
      <w:pPr>
        <w:keepLines/>
        <w:spacing w:before="240" w:after="240"/>
      </w:pPr>
      <w:r>
        <w:rPr>
          <w:i w:val="0"/>
        </w:rPr>
        <w:t>Where any required telemetry is insufficient or unreliable, the final assessment is BLOCKED because the system lacks adequate evidence for permission. Where required information is trustworthy but one or more engineering criteria fail, the result is REJECTED. Only an all-pass assessment is PERMITTED.</w:t>
      </w:r>
    </w:p>
    <w:p>
      <w:pPr>
        <w:pStyle w:val="Heading2"/>
      </w:pPr>
      <w:r>
        <w:t>8.4 Capacity Calculation</w:t>
      </w:r>
    </w:p>
    <w:p>
      <w:pPr>
        <w:keepLines/>
        <w:spacing w:before="240" w:after="240"/>
      </w:pPr>
      <w:r>
        <w:rPr>
          <w:i w:val="0"/>
        </w:rPr>
        <w:t>The assessment calculates transferable load and resulting alternate-feeder loading using the controlled equations:</w:t>
      </w:r>
    </w:p>
    <w:p>
      <w:pPr>
        <w:keepLines/>
        <w:spacing w:before="240" w:after="240"/>
      </w:pPr>
      <w:r>
        <w:rPr>
          <w:i/>
        </w:rPr>
        <w:t>L_T = Σ L_i</w:t>
      </w:r>
    </w:p>
    <w:p>
      <w:pPr>
        <w:keepLines/>
        <w:spacing w:before="240" w:after="240"/>
      </w:pPr>
      <w:r>
        <w:rPr>
          <w:i/>
        </w:rPr>
        <w:t>L_R = L_A + L_T</w:t>
      </w:r>
    </w:p>
    <w:p>
      <w:pPr>
        <w:keepLines/>
        <w:spacing w:before="240" w:after="240"/>
      </w:pPr>
      <w:r>
        <w:rPr>
          <w:i/>
        </w:rPr>
        <w:t>Loading % = (L_R / C_A) × 100</w:t>
      </w:r>
    </w:p>
    <w:p>
      <w:pPr>
        <w:keepLines/>
        <w:spacing w:before="240" w:after="240"/>
      </w:pPr>
      <w:r>
        <w:rPr>
          <w:i w:val="0"/>
        </w:rPr>
        <w:t>For the formal SEC-A2 baseline, L_T = 1.50 MW, L_A = 4.20 MW, L_R = 5.70 MW and loading = 95.0% against FDR-B capacity of 6.00 MW.</w:t>
      </w:r>
    </w:p>
    <w:p>
      <w:pPr>
        <w:pStyle w:val="Heading2"/>
      </w:pPr>
      <w:r>
        <w:t>8.5 Assessment Validity and N4</w:t>
      </w:r>
    </w:p>
    <w:p>
      <w:pPr>
        <w:keepLines/>
        <w:spacing w:before="240" w:after="240"/>
      </w:pPr>
      <w:r>
        <w:rPr>
          <w:i w:val="0"/>
        </w:rPr>
        <w:t>An assessment record is bound to its run ID, configuration version, candidate definition, telemetry snapshot and state revision. Any subsequent relevant device, telemetry-quality, timestamp, fault, source or configuration change invalidates the result. Simulated restoration cannot execute until the current revision has a PERMITTED result.</w:t>
      </w:r>
    </w:p>
    <w:p>
      <w:pPr>
        <w:keepLines/>
        <w:spacing w:before="240" w:after="240"/>
      </w:pPr>
      <w:r>
        <w:rPr>
          <w:i w:val="0"/>
        </w:rPr>
        <w:t>This implements Network State N4 as a decision state without falsely representing a switch movement. TS-01 remains OPEN during N4; only the later authorised N4 → N5 action changes it to CLOSED.</w:t>
      </w:r>
    </w:p>
    <w:p>
      <w:pPr>
        <w:pStyle w:val="Heading1"/>
      </w:pPr>
      <w:r>
        <w:t>9. SA-CMP-05 — OMS</w:t>
      </w:r>
    </w:p>
    <w:p>
      <w:pPr>
        <w:pStyle w:val="Heading2"/>
      </w:pPr>
      <w:r>
        <w:t>9.1 Outage and Customer Derivation</w:t>
      </w:r>
    </w:p>
    <w:p>
      <w:pPr>
        <w:keepLines/>
        <w:spacing w:before="240" w:after="240"/>
      </w:pPr>
      <w:r>
        <w:rPr>
          <w:i w:val="0"/>
        </w:rPr>
        <w:t>OMS consumes the current de-energised section set from SA-CMP-03 and the customer-zone relationships from SA-CMP-01. It creates the current outage extent and calculates affected customers as the sum of customers mapped to those de-energised sections.</w:t>
      </w:r>
    </w:p>
    <w:p>
      <w:pPr>
        <w:keepLines/>
        <w:spacing w:before="240" w:after="240"/>
      </w:pPr>
      <w:r>
        <w:rPr>
          <w:i w:val="0"/>
        </w:rPr>
        <w:t>OMS does not infer outage directly from the initiating fault or breaker alarm. A healthy section may remain de-energised after a feeder trip, and a defective topology may incorrectly keep a section energised; both consequences must propagate through the actual derived section set.</w:t>
      </w:r>
    </w:p>
    <w:p>
      <w:pPr>
        <w:pStyle w:val="Heading2"/>
      </w:pPr>
      <w:r>
        <w:t>9.2 Recalculation and Restored Customers</w:t>
      </w:r>
    </w:p>
    <w:p>
      <w:pPr>
        <w:keepLines/>
        <w:spacing w:before="240" w:after="240"/>
      </w:pPr>
      <w:r>
        <w:rPr>
          <w:i w:val="0"/>
        </w:rPr>
        <w:t>OMS recalculates after each topology revision. It compares the prior and current affected-zone sets to expose restored customers while retaining the current affected total. Under the formal expected sequence, affected customers progress 0 → 850 → 850 → 670 → 670 → 220 across N0–N5.</w:t>
      </w:r>
    </w:p>
    <w:p>
      <w:pPr>
        <w:pStyle w:val="Heading1"/>
      </w:pPr>
      <w:r>
        <w:t>10. SA-CMP-06 — Operational Event / Audit</w:t>
      </w:r>
    </w:p>
    <w:p>
      <w:pPr>
        <w:pStyle w:val="Heading2"/>
      </w:pPr>
      <w:r>
        <w:t>10.1 Event Semantics</w:t>
      </w:r>
    </w:p>
    <w:p>
      <w:pPr>
        <w:keepLines/>
        <w:spacing w:before="240" w:after="240"/>
      </w:pPr>
      <w:r>
        <w:rPr>
          <w:i w:val="0"/>
        </w:rPr>
        <w:t>The operational event history is append-only within a scenario run and chronological according to the controlled scenario clock. An event records what the simulated environment did; it is not itself a validation judgement.</w:t>
      </w:r>
    </w:p>
    <w:p>
      <w:pPr>
        <w:keepLines/>
        <w:spacing w:before="240" w:after="240"/>
      </w:pPr>
      <w:r>
        <w:rPr>
          <w:i w:val="0"/>
        </w:rPr>
        <w:t>Each event contains a unique event ID, timestamp, source function, type, affected entity where applicable, description, prior/new value where applicable, actor/origin where applicable and scenario run ID.</w:t>
      </w:r>
    </w:p>
    <w:p>
      <w:pPr>
        <w:pStyle w:val="Heading2"/>
      </w:pPr>
      <w:r>
        <w:t>10.2 Minimum Event Coverage</w:t>
      </w:r>
    </w:p>
    <w:p>
      <w:pPr>
        <w:numPr>
          <w:ilvl w:val="0"/>
          <w:numId w:val="5"/>
        </w:numPr>
        <w:keepLines/>
        <w:spacing w:before="240" w:after="0"/>
      </w:pPr>
      <w:r>
        <w:t>scenario initialised or reset;</w:t>
      </w:r>
    </w:p>
    <w:p>
      <w:pPr>
        <w:numPr>
          <w:ilvl w:val="0"/>
          <w:numId w:val="5"/>
        </w:numPr>
        <w:keepLines/>
        <w:spacing w:before="0" w:after="0"/>
      </w:pPr>
      <w:r>
        <w:t>device state changed;</w:t>
      </w:r>
    </w:p>
    <w:p>
      <w:pPr>
        <w:numPr>
          <w:ilvl w:val="0"/>
          <w:numId w:val="5"/>
        </w:numPr>
        <w:keepLines/>
        <w:spacing w:before="0" w:after="0"/>
      </w:pPr>
      <w:r>
        <w:t>alarm generated and acknowledged;</w:t>
      </w:r>
    </w:p>
    <w:p>
      <w:pPr>
        <w:numPr>
          <w:ilvl w:val="0"/>
          <w:numId w:val="5"/>
        </w:numPr>
        <w:keepLines/>
        <w:spacing w:before="0" w:after="0"/>
      </w:pPr>
      <w:r>
        <w:t>topology and energisation recalculated;</w:t>
      </w:r>
    </w:p>
    <w:p>
      <w:pPr>
        <w:numPr>
          <w:ilvl w:val="0"/>
          <w:numId w:val="5"/>
        </w:numPr>
        <w:keepLines/>
        <w:spacing w:before="0" w:after="0"/>
      </w:pPr>
      <w:r>
        <w:t>outage/customer impact updated;</w:t>
      </w:r>
    </w:p>
    <w:p>
      <w:pPr>
        <w:numPr>
          <w:ilvl w:val="0"/>
          <w:numId w:val="5"/>
        </w:numPr>
        <w:keepLines/>
        <w:spacing w:before="0" w:after="0"/>
      </w:pPr>
      <w:r>
        <w:t>restoration candidate identified or no candidate found;</w:t>
      </w:r>
    </w:p>
    <w:p>
      <w:pPr>
        <w:numPr>
          <w:ilvl w:val="0"/>
          <w:numId w:val="5"/>
        </w:numPr>
        <w:keepLines/>
        <w:spacing w:before="0" w:after="0"/>
      </w:pPr>
      <w:r>
        <w:t>restoration assessment completed or invalidated;</w:t>
      </w:r>
    </w:p>
    <w:p>
      <w:pPr>
        <w:numPr>
          <w:ilvl w:val="0"/>
          <w:numId w:val="5"/>
        </w:numPr>
        <w:keepLines/>
        <w:spacing w:before="0" w:after="0"/>
      </w:pPr>
      <w:r>
        <w:t>simulated switching performed;</w:t>
      </w:r>
    </w:p>
    <w:p>
      <w:pPr>
        <w:numPr>
          <w:ilvl w:val="0"/>
          <w:numId w:val="5"/>
        </w:numPr>
        <w:keepLines/>
        <w:spacing w:before="0" w:after="240"/>
      </w:pPr>
      <w:r>
        <w:t>configuration version selected for a run.</w:t>
      </w:r>
    </w:p>
    <w:p>
      <w:pPr>
        <w:keepLines/>
        <w:spacing w:before="240" w:after="240"/>
      </w:pPr>
      <w:r>
        <w:rPr>
          <w:i w:val="0"/>
        </w:rPr>
        <w:t>Validation execution, defect findings and correction approval remain engineering records in SA-CMP-08. They may reference operational event IDs without being merged into the event history.</w:t>
      </w:r>
    </w:p>
    <w:p>
      <w:pPr>
        <w:pStyle w:val="Heading1"/>
        <w:pageBreakBefore/>
      </w:pPr>
      <w:r>
        <w:t>11. SA-CMP-07 — Scenario Control</w:t>
      </w:r>
    </w:p>
    <w:p>
      <w:pPr>
        <w:pStyle w:val="Heading2"/>
      </w:pPr>
      <w:r>
        <w:t>11.1 Scenario Run Context</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700"/>
        <w:gridCol w:w="666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8"/>
              </w:rPr>
              <w:t>Run field</w:t>
            </w:r>
          </w:p>
        </w:tc>
        <w:tc>
          <w:tcPr>
            <w:tcW w:type="dxa" w:w="10"/>
            <w:shd w:fill="E7E6E6"/>
            <w:tcMar>
              <w:top w:w="110" w:type="dxa"/>
              <w:start w:w="120" w:type="dxa"/>
              <w:bottom w:w="110" w:type="dxa"/>
              <w:end w:w="120" w:type="dxa"/>
            </w:tcMar>
            <w:vAlign w:val="center"/>
          </w:tcPr>
          <w:p>
            <w:pPr>
              <w:spacing w:before="0" w:after="0"/>
              <w:jc w:val="center"/>
            </w:pPr>
            <w:r>
              <w:rPr>
                <w:b/>
                <w:sz w:val="18"/>
              </w:rPr>
              <w:t>Purpose</w:t>
            </w:r>
          </w:p>
        </w:tc>
      </w:tr>
      <w:tr>
        <w:trPr>
          <w:cantSplit/>
        </w:trPr>
        <w:tc>
          <w:tcPr>
            <w:tcW w:type="dxa" w:w="2700"/>
            <w:tcMar>
              <w:top w:w="110" w:type="dxa"/>
              <w:start w:w="120" w:type="dxa"/>
              <w:bottom w:w="110" w:type="dxa"/>
              <w:end w:w="120" w:type="dxa"/>
            </w:tcMar>
            <w:vAlign w:val="center"/>
          </w:tcPr>
          <w:p>
            <w:pPr>
              <w:spacing w:before="0" w:after="0"/>
            </w:pPr>
            <w:r>
              <w:rPr>
                <w:rFonts w:ascii="Roboto Mono" w:hAnsi="Roboto Mono"/>
                <w:color w:val="188038"/>
                <w:sz w:val="18"/>
              </w:rPr>
              <w:t>scenario_run_id</w:t>
            </w:r>
          </w:p>
        </w:tc>
        <w:tc>
          <w:tcPr>
            <w:tcW w:type="dxa" w:w="6660"/>
            <w:tcMar>
              <w:top w:w="110" w:type="dxa"/>
              <w:start w:w="120" w:type="dxa"/>
              <w:bottom w:w="110" w:type="dxa"/>
              <w:end w:w="120" w:type="dxa"/>
            </w:tcMar>
            <w:vAlign w:val="center"/>
          </w:tcPr>
          <w:p>
            <w:pPr>
              <w:spacing w:before="0" w:after="0"/>
            </w:pPr>
            <w:r>
              <w:rPr>
                <w:sz w:val="18"/>
              </w:rPr>
              <w:t>Unique identity for one controlled execution context</w:t>
            </w:r>
          </w:p>
        </w:tc>
      </w:tr>
      <w:tr>
        <w:trPr>
          <w:cantSplit/>
        </w:trPr>
        <w:tc>
          <w:tcPr>
            <w:tcW w:type="dxa" w:w="2700"/>
            <w:tcMar>
              <w:top w:w="110" w:type="dxa"/>
              <w:start w:w="120" w:type="dxa"/>
              <w:bottom w:w="110" w:type="dxa"/>
              <w:end w:w="120" w:type="dxa"/>
            </w:tcMar>
            <w:vAlign w:val="center"/>
          </w:tcPr>
          <w:p>
            <w:pPr>
              <w:spacing w:before="0" w:after="0"/>
            </w:pPr>
            <w:r>
              <w:rPr>
                <w:rFonts w:ascii="Roboto Mono" w:hAnsi="Roboto Mono"/>
                <w:color w:val="188038"/>
                <w:sz w:val="18"/>
              </w:rPr>
              <w:t>mode</w:t>
            </w:r>
          </w:p>
        </w:tc>
        <w:tc>
          <w:tcPr>
            <w:tcW w:type="dxa" w:w="6660"/>
            <w:tcMar>
              <w:top w:w="110" w:type="dxa"/>
              <w:start w:w="120" w:type="dxa"/>
              <w:bottom w:w="110" w:type="dxa"/>
              <w:end w:w="120" w:type="dxa"/>
            </w:tcMar>
            <w:vAlign w:val="center"/>
          </w:tcPr>
          <w:p>
            <w:pPr>
              <w:spacing w:before="0" w:after="0"/>
            </w:pPr>
            <w:r>
              <w:rPr>
                <w:sz w:val="18"/>
              </w:rPr>
              <w:t>FORMAL_VALIDATION or EXPLORATION</w:t>
            </w:r>
          </w:p>
        </w:tc>
      </w:tr>
      <w:tr>
        <w:trPr>
          <w:cantSplit/>
        </w:trPr>
        <w:tc>
          <w:tcPr>
            <w:tcW w:type="dxa" w:w="2700"/>
            <w:tcMar>
              <w:top w:w="110" w:type="dxa"/>
              <w:start w:w="120" w:type="dxa"/>
              <w:bottom w:w="110" w:type="dxa"/>
              <w:end w:w="120" w:type="dxa"/>
            </w:tcMar>
            <w:vAlign w:val="center"/>
          </w:tcPr>
          <w:p>
            <w:pPr>
              <w:spacing w:before="0" w:after="0"/>
            </w:pPr>
            <w:r>
              <w:rPr>
                <w:rFonts w:ascii="Roboto Mono" w:hAnsi="Roboto Mono"/>
                <w:color w:val="188038"/>
                <w:sz w:val="18"/>
              </w:rPr>
              <w:t>configuration_version</w:t>
            </w:r>
          </w:p>
        </w:tc>
        <w:tc>
          <w:tcPr>
            <w:tcW w:type="dxa" w:w="6660"/>
            <w:tcMar>
              <w:top w:w="110" w:type="dxa"/>
              <w:start w:w="120" w:type="dxa"/>
              <w:bottom w:w="110" w:type="dxa"/>
              <w:end w:w="120" w:type="dxa"/>
            </w:tcMar>
            <w:vAlign w:val="center"/>
          </w:tcPr>
          <w:p>
            <w:pPr>
              <w:spacing w:before="0" w:after="0"/>
            </w:pPr>
            <w:r>
              <w:rPr>
                <w:sz w:val="18"/>
              </w:rPr>
              <w:t>Immutable configuration package referenced by the run</w:t>
            </w:r>
          </w:p>
        </w:tc>
      </w:tr>
      <w:tr>
        <w:trPr>
          <w:cantSplit/>
        </w:trPr>
        <w:tc>
          <w:tcPr>
            <w:tcW w:type="dxa" w:w="2700"/>
            <w:tcMar>
              <w:top w:w="110" w:type="dxa"/>
              <w:start w:w="120" w:type="dxa"/>
              <w:bottom w:w="110" w:type="dxa"/>
              <w:end w:w="120" w:type="dxa"/>
            </w:tcMar>
            <w:vAlign w:val="center"/>
          </w:tcPr>
          <w:p>
            <w:pPr>
              <w:spacing w:before="0" w:after="0"/>
            </w:pPr>
            <w:r>
              <w:rPr>
                <w:rFonts w:ascii="Roboto Mono" w:hAnsi="Roboto Mono"/>
                <w:color w:val="188038"/>
                <w:sz w:val="18"/>
              </w:rPr>
              <w:t>fault_section_id</w:t>
            </w:r>
          </w:p>
        </w:tc>
        <w:tc>
          <w:tcPr>
            <w:tcW w:type="dxa" w:w="6660"/>
            <w:tcMar>
              <w:top w:w="110" w:type="dxa"/>
              <w:start w:w="120" w:type="dxa"/>
              <w:bottom w:w="110" w:type="dxa"/>
              <w:end w:w="120" w:type="dxa"/>
            </w:tcMar>
            <w:vAlign w:val="center"/>
          </w:tcPr>
          <w:p>
            <w:pPr>
              <w:spacing w:before="0" w:after="0"/>
            </w:pPr>
            <w:r>
              <w:rPr>
                <w:sz w:val="18"/>
              </w:rPr>
              <w:t>Fixed SEC-A2 for the formal scenario; reviewer-selected represented section in Exploration Mode</w:t>
            </w:r>
          </w:p>
        </w:tc>
      </w:tr>
      <w:tr>
        <w:trPr>
          <w:cantSplit/>
        </w:trPr>
        <w:tc>
          <w:tcPr>
            <w:tcW w:type="dxa" w:w="2700"/>
            <w:tcMar>
              <w:top w:w="110" w:type="dxa"/>
              <w:start w:w="120" w:type="dxa"/>
              <w:bottom w:w="110" w:type="dxa"/>
              <w:end w:w="120" w:type="dxa"/>
            </w:tcMar>
            <w:vAlign w:val="center"/>
          </w:tcPr>
          <w:p>
            <w:pPr>
              <w:spacing w:before="0" w:after="0"/>
            </w:pPr>
            <w:r>
              <w:rPr>
                <w:rFonts w:ascii="Roboto Mono" w:hAnsi="Roboto Mono"/>
                <w:color w:val="188038"/>
                <w:sz w:val="18"/>
              </w:rPr>
              <w:t>fault_type</w:t>
            </w:r>
          </w:p>
        </w:tc>
        <w:tc>
          <w:tcPr>
            <w:tcW w:type="dxa" w:w="6660"/>
            <w:tcMar>
              <w:top w:w="110" w:type="dxa"/>
              <w:start w:w="120" w:type="dxa"/>
              <w:bottom w:w="110" w:type="dxa"/>
              <w:end w:w="120" w:type="dxa"/>
            </w:tcMar>
            <w:vAlign w:val="center"/>
          </w:tcPr>
          <w:p>
            <w:pPr>
              <w:spacing w:before="0" w:after="0"/>
            </w:pPr>
            <w:r>
              <w:rPr>
                <w:sz w:val="18"/>
              </w:rPr>
              <w:t>Fixed abstract distribution-section fault</w:t>
            </w:r>
          </w:p>
        </w:tc>
      </w:tr>
      <w:tr>
        <w:trPr>
          <w:cantSplit/>
        </w:trPr>
        <w:tc>
          <w:tcPr>
            <w:tcW w:type="dxa" w:w="2700"/>
            <w:tcMar>
              <w:top w:w="110" w:type="dxa"/>
              <w:start w:w="120" w:type="dxa"/>
              <w:bottom w:w="110" w:type="dxa"/>
              <w:end w:w="120" w:type="dxa"/>
            </w:tcMar>
            <w:vAlign w:val="center"/>
          </w:tcPr>
          <w:p>
            <w:pPr>
              <w:spacing w:before="0" w:after="0"/>
            </w:pPr>
            <w:r>
              <w:rPr>
                <w:rFonts w:ascii="Roboto Mono" w:hAnsi="Roboto Mono"/>
                <w:color w:val="188038"/>
                <w:sz w:val="18"/>
              </w:rPr>
              <w:t>scenario_time</w:t>
            </w:r>
          </w:p>
        </w:tc>
        <w:tc>
          <w:tcPr>
            <w:tcW w:type="dxa" w:w="6660"/>
            <w:tcMar>
              <w:top w:w="110" w:type="dxa"/>
              <w:start w:w="120" w:type="dxa"/>
              <w:bottom w:w="110" w:type="dxa"/>
              <w:end w:w="120" w:type="dxa"/>
            </w:tcMar>
            <w:vAlign w:val="center"/>
          </w:tcPr>
          <w:p>
            <w:pPr>
              <w:spacing w:before="0" w:after="0"/>
            </w:pPr>
            <w:r>
              <w:rPr>
                <w:sz w:val="18"/>
              </w:rPr>
              <w:t>Controlled time used for event order and telemetry age</w:t>
            </w:r>
          </w:p>
        </w:tc>
      </w:tr>
      <w:tr>
        <w:trPr>
          <w:cantSplit/>
        </w:trPr>
        <w:tc>
          <w:tcPr>
            <w:tcW w:type="dxa" w:w="2700"/>
            <w:tcMar>
              <w:top w:w="110" w:type="dxa"/>
              <w:start w:w="120" w:type="dxa"/>
              <w:bottom w:w="110" w:type="dxa"/>
              <w:end w:w="120" w:type="dxa"/>
            </w:tcMar>
            <w:vAlign w:val="center"/>
          </w:tcPr>
          <w:p>
            <w:pPr>
              <w:spacing w:before="0" w:after="0"/>
            </w:pPr>
            <w:r>
              <w:rPr>
                <w:rFonts w:ascii="Roboto Mono" w:hAnsi="Roboto Mono"/>
                <w:color w:val="188038"/>
                <w:sz w:val="18"/>
              </w:rPr>
              <w:t>state_revision</w:t>
            </w:r>
          </w:p>
        </w:tc>
        <w:tc>
          <w:tcPr>
            <w:tcW w:type="dxa" w:w="6660"/>
            <w:tcMar>
              <w:top w:w="110" w:type="dxa"/>
              <w:start w:w="120" w:type="dxa"/>
              <w:bottom w:w="110" w:type="dxa"/>
              <w:end w:w="120" w:type="dxa"/>
            </w:tcMar>
            <w:vAlign w:val="center"/>
          </w:tcPr>
          <w:p>
            <w:pPr>
              <w:spacing w:before="0" w:after="0"/>
            </w:pPr>
            <w:r>
              <w:rPr>
                <w:sz w:val="18"/>
              </w:rPr>
              <w:t>Monotonic revision incremented when relevant configuration or operational state changes</w:t>
            </w:r>
          </w:p>
        </w:tc>
      </w:tr>
      <w:tr>
        <w:trPr>
          <w:cantSplit/>
        </w:trPr>
        <w:tc>
          <w:tcPr>
            <w:tcW w:type="dxa" w:w="2700"/>
            <w:tcMar>
              <w:top w:w="110" w:type="dxa"/>
              <w:start w:w="120" w:type="dxa"/>
              <w:bottom w:w="110" w:type="dxa"/>
              <w:end w:w="120" w:type="dxa"/>
            </w:tcMar>
            <w:vAlign w:val="center"/>
          </w:tcPr>
          <w:p>
            <w:pPr>
              <w:spacing w:before="0" w:after="0"/>
            </w:pPr>
            <w:r>
              <w:rPr>
                <w:rFonts w:ascii="Roboto Mono" w:hAnsi="Roboto Mono"/>
                <w:color w:val="188038"/>
                <w:sz w:val="18"/>
              </w:rPr>
              <w:t>evidence_class</w:t>
            </w:r>
          </w:p>
        </w:tc>
        <w:tc>
          <w:tcPr>
            <w:tcW w:type="dxa" w:w="6660"/>
            <w:tcMar>
              <w:top w:w="110" w:type="dxa"/>
              <w:start w:w="120" w:type="dxa"/>
              <w:bottom w:w="110" w:type="dxa"/>
              <w:end w:w="120" w:type="dxa"/>
            </w:tcMar>
            <w:vAlign w:val="center"/>
          </w:tcPr>
          <w:p>
            <w:pPr>
              <w:spacing w:before="0" w:after="0"/>
            </w:pPr>
            <w:r>
              <w:rPr>
                <w:sz w:val="18"/>
              </w:rPr>
              <w:t>FORMAL or EXPLORATORY classification</w:t>
            </w:r>
          </w:p>
        </w:tc>
      </w:tr>
    </w:tbl>
    <w:p>
      <w:pPr>
        <w:spacing w:after="60"/>
      </w:pPr>
    </w:p>
    <w:p>
      <w:pPr>
        <w:pStyle w:val="Heading2"/>
      </w:pPr>
      <w:r>
        <w:t>11.2 Command and Action Boundary</w:t>
      </w:r>
    </w:p>
    <w:p>
      <w:pPr>
        <w:keepLines/>
        <w:spacing w:before="240" w:after="240"/>
      </w:pPr>
      <w:r>
        <w:rPr>
          <w:i w:val="0"/>
        </w:rPr>
        <w:t>Scenario Control accepts only defined simulated actions such as initialise, initiate fault, acknowledge alarm, open or close an authorised simulated device, assess restoration, execute permitted restoration and reset. It coordinates the processing transaction but does not calculate topology, outage or validation results itself.</w:t>
      </w:r>
    </w:p>
    <w:p>
      <w:pPr>
        <w:pStyle w:val="Heading2"/>
      </w:pPr>
      <w:r>
        <w:t>11.3 Controlled Scenario Clock</w:t>
      </w:r>
    </w:p>
    <w:p>
      <w:pPr>
        <w:keepLines/>
        <w:spacing w:before="240" w:after="240"/>
      </w:pPr>
      <w:r>
        <w:rPr>
          <w:i w:val="0"/>
        </w:rPr>
        <w:t>A controlled scenario clock supplies event timestamps and telemetry-age calculations so validation remains repeatable. Formal test inputs may establish explicit times or time advances. The user interface may display ordinary time formatting, but the engineering result shall not depend on unpredictable wall-clock delays or rendering speed.</w:t>
      </w:r>
    </w:p>
    <w:p>
      <w:pPr>
        <w:pStyle w:val="Heading2"/>
      </w:pPr>
      <w:r>
        <w:t>11.4 Reset Semantics</w:t>
      </w:r>
    </w:p>
    <w:p>
      <w:pPr>
        <w:keepLines/>
        <w:spacing w:before="240" w:after="240"/>
      </w:pPr>
      <w:r>
        <w:rPr>
          <w:i w:val="0"/>
        </w:rPr>
        <w:t>Reset creates a clean run-scoped operational state from the selected controlled configuration and test initial conditions. It restores defined normal device values, telemetry quality/timestamps, alarm state, fault state, derived topology, outage state and assessment state. Reset begins a new run identity or explicitly clears the current run according to the later Workflow Design; it shall not delete previously preserved formal validation executions or configuration versions.</w:t>
      </w:r>
    </w:p>
    <w:p>
      <w:pPr>
        <w:pStyle w:val="Heading1"/>
      </w:pPr>
      <w:r>
        <w:t>12. SA-CMP-08 — Validation and Evidence</w:t>
      </w:r>
    </w:p>
    <w:p>
      <w:pPr>
        <w:pStyle w:val="Heading2"/>
      </w:pPr>
      <w:r>
        <w:t>12.1 Formal Test Definition Versus Execution</w:t>
      </w:r>
    </w:p>
    <w:p>
      <w:pPr>
        <w:keepLines/>
        <w:spacing w:before="240" w:after="240"/>
      </w:pPr>
      <w:r>
        <w:rPr>
          <w:i w:val="0"/>
        </w:rPr>
        <w:t>A formal test definition is an approved, version-controlled engineering record containing the test ID, requirement links, objective, initial conditions, required configuration, steps and expected result. A validation execution is a separate immutable record of one run containing the observed result, PASS/FAIL determination and evidence references.</w:t>
      </w:r>
    </w:p>
    <w:p>
      <w:pPr>
        <w:pStyle w:val="Heading2"/>
      </w:pPr>
      <w:r>
        <w:t>12.2 Validation Execution Record</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850"/>
        <w:gridCol w:w="651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8"/>
              </w:rPr>
              <w:t>Record field</w:t>
            </w:r>
          </w:p>
        </w:tc>
        <w:tc>
          <w:tcPr>
            <w:tcW w:type="dxa" w:w="10"/>
            <w:shd w:fill="E7E6E6"/>
            <w:tcMar>
              <w:top w:w="110" w:type="dxa"/>
              <w:start w:w="120" w:type="dxa"/>
              <w:bottom w:w="110" w:type="dxa"/>
              <w:end w:w="120" w:type="dxa"/>
            </w:tcMar>
            <w:vAlign w:val="center"/>
          </w:tcPr>
          <w:p>
            <w:pPr>
              <w:spacing w:before="0" w:after="0"/>
              <w:jc w:val="center"/>
            </w:pPr>
            <w:r>
              <w:rPr>
                <w:b/>
                <w:sz w:val="18"/>
              </w:rPr>
              <w:t>Required content</w:t>
            </w:r>
          </w:p>
        </w:tc>
      </w:tr>
      <w:tr>
        <w:trPr>
          <w:cantSplit/>
        </w:trPr>
        <w:tc>
          <w:tcPr>
            <w:tcW w:type="dxa" w:w="2850"/>
            <w:tcMar>
              <w:top w:w="110" w:type="dxa"/>
              <w:start w:w="120" w:type="dxa"/>
              <w:bottom w:w="110" w:type="dxa"/>
              <w:end w:w="120" w:type="dxa"/>
            </w:tcMar>
            <w:vAlign w:val="center"/>
          </w:tcPr>
          <w:p>
            <w:pPr>
              <w:spacing w:before="0" w:after="0"/>
            </w:pPr>
            <w:r>
              <w:rPr>
                <w:rFonts w:ascii="Roboto Mono" w:hAnsi="Roboto Mono"/>
                <w:color w:val="188038"/>
                <w:sz w:val="18"/>
              </w:rPr>
              <w:t>validation_execution_id</w:t>
            </w:r>
          </w:p>
        </w:tc>
        <w:tc>
          <w:tcPr>
            <w:tcW w:type="dxa" w:w="6510"/>
            <w:tcMar>
              <w:top w:w="110" w:type="dxa"/>
              <w:start w:w="120" w:type="dxa"/>
              <w:bottom w:w="110" w:type="dxa"/>
              <w:end w:w="120" w:type="dxa"/>
            </w:tcMar>
            <w:vAlign w:val="center"/>
          </w:tcPr>
          <w:p>
            <w:pPr>
              <w:spacing w:before="0" w:after="0"/>
            </w:pPr>
            <w:r>
              <w:rPr>
                <w:sz w:val="18"/>
              </w:rPr>
              <w:t>Unique identity for the individual execution</w:t>
            </w:r>
          </w:p>
        </w:tc>
      </w:tr>
      <w:tr>
        <w:trPr>
          <w:cantSplit/>
        </w:trPr>
        <w:tc>
          <w:tcPr>
            <w:tcW w:type="dxa" w:w="2850"/>
            <w:tcMar>
              <w:top w:w="110" w:type="dxa"/>
              <w:start w:w="120" w:type="dxa"/>
              <w:bottom w:w="110" w:type="dxa"/>
              <w:end w:w="120" w:type="dxa"/>
            </w:tcMar>
            <w:vAlign w:val="center"/>
          </w:tcPr>
          <w:p>
            <w:pPr>
              <w:spacing w:before="0" w:after="0"/>
            </w:pPr>
            <w:r>
              <w:rPr>
                <w:rFonts w:ascii="Roboto Mono" w:hAnsi="Roboto Mono"/>
                <w:color w:val="188038"/>
                <w:sz w:val="18"/>
              </w:rPr>
              <w:t>test_id</w:t>
            </w:r>
          </w:p>
        </w:tc>
        <w:tc>
          <w:tcPr>
            <w:tcW w:type="dxa" w:w="6510"/>
            <w:tcMar>
              <w:top w:w="110" w:type="dxa"/>
              <w:start w:w="120" w:type="dxa"/>
              <w:bottom w:w="110" w:type="dxa"/>
              <w:end w:w="120" w:type="dxa"/>
            </w:tcMar>
            <w:vAlign w:val="center"/>
          </w:tcPr>
          <w:p>
            <w:pPr>
              <w:spacing w:before="0" w:after="0"/>
            </w:pPr>
            <w:r>
              <w:rPr>
                <w:sz w:val="18"/>
              </w:rPr>
              <w:t>Approved formal test definition</w:t>
            </w:r>
          </w:p>
        </w:tc>
      </w:tr>
      <w:tr>
        <w:trPr>
          <w:cantSplit/>
        </w:trPr>
        <w:tc>
          <w:tcPr>
            <w:tcW w:type="dxa" w:w="2850"/>
            <w:tcMar>
              <w:top w:w="110" w:type="dxa"/>
              <w:start w:w="120" w:type="dxa"/>
              <w:bottom w:w="110" w:type="dxa"/>
              <w:end w:w="120" w:type="dxa"/>
            </w:tcMar>
            <w:vAlign w:val="center"/>
          </w:tcPr>
          <w:p>
            <w:pPr>
              <w:spacing w:before="0" w:after="0"/>
            </w:pPr>
            <w:r>
              <w:rPr>
                <w:rFonts w:ascii="Roboto Mono" w:hAnsi="Roboto Mono"/>
                <w:color w:val="188038"/>
                <w:sz w:val="18"/>
              </w:rPr>
              <w:t>scenario_run_id</w:t>
            </w:r>
          </w:p>
        </w:tc>
        <w:tc>
          <w:tcPr>
            <w:tcW w:type="dxa" w:w="6510"/>
            <w:tcMar>
              <w:top w:w="110" w:type="dxa"/>
              <w:start w:w="120" w:type="dxa"/>
              <w:bottom w:w="110" w:type="dxa"/>
              <w:end w:w="120" w:type="dxa"/>
            </w:tcMar>
            <w:vAlign w:val="center"/>
          </w:tcPr>
          <w:p>
            <w:pPr>
              <w:spacing w:before="0" w:after="0"/>
            </w:pPr>
            <w:r>
              <w:rPr>
                <w:sz w:val="18"/>
              </w:rPr>
              <w:t>Operational run that produced the observations</w:t>
            </w:r>
          </w:p>
        </w:tc>
      </w:tr>
      <w:tr>
        <w:trPr>
          <w:cantSplit/>
        </w:trPr>
        <w:tc>
          <w:tcPr>
            <w:tcW w:type="dxa" w:w="2850"/>
            <w:tcMar>
              <w:top w:w="110" w:type="dxa"/>
              <w:start w:w="120" w:type="dxa"/>
              <w:bottom w:w="110" w:type="dxa"/>
              <w:end w:w="120" w:type="dxa"/>
            </w:tcMar>
            <w:vAlign w:val="center"/>
          </w:tcPr>
          <w:p>
            <w:pPr>
              <w:spacing w:before="0" w:after="0"/>
            </w:pPr>
            <w:r>
              <w:rPr>
                <w:rFonts w:ascii="Roboto Mono" w:hAnsi="Roboto Mono"/>
                <w:color w:val="188038"/>
                <w:sz w:val="18"/>
              </w:rPr>
              <w:t>requirements</w:t>
            </w:r>
          </w:p>
        </w:tc>
        <w:tc>
          <w:tcPr>
            <w:tcW w:type="dxa" w:w="6510"/>
            <w:tcMar>
              <w:top w:w="110" w:type="dxa"/>
              <w:start w:w="120" w:type="dxa"/>
              <w:bottom w:w="110" w:type="dxa"/>
              <w:end w:w="120" w:type="dxa"/>
            </w:tcMar>
            <w:vAlign w:val="center"/>
          </w:tcPr>
          <w:p>
            <w:pPr>
              <w:spacing w:before="0" w:after="0"/>
            </w:pPr>
            <w:r>
              <w:rPr>
                <w:sz w:val="18"/>
              </w:rPr>
              <w:t>Requirement IDs verified by the test</w:t>
            </w:r>
          </w:p>
        </w:tc>
      </w:tr>
      <w:tr>
        <w:trPr>
          <w:cantSplit/>
        </w:trPr>
        <w:tc>
          <w:tcPr>
            <w:tcW w:type="dxa" w:w="2850"/>
            <w:tcMar>
              <w:top w:w="110" w:type="dxa"/>
              <w:start w:w="120" w:type="dxa"/>
              <w:bottom w:w="110" w:type="dxa"/>
              <w:end w:w="120" w:type="dxa"/>
            </w:tcMar>
            <w:vAlign w:val="center"/>
          </w:tcPr>
          <w:p>
            <w:pPr>
              <w:spacing w:before="0" w:after="0"/>
            </w:pPr>
            <w:r>
              <w:rPr>
                <w:rFonts w:ascii="Roboto Mono" w:hAnsi="Roboto Mono"/>
                <w:color w:val="188038"/>
                <w:sz w:val="18"/>
              </w:rPr>
              <w:t>configuration_version</w:t>
            </w:r>
          </w:p>
        </w:tc>
        <w:tc>
          <w:tcPr>
            <w:tcW w:type="dxa" w:w="6510"/>
            <w:tcMar>
              <w:top w:w="110" w:type="dxa"/>
              <w:start w:w="120" w:type="dxa"/>
              <w:bottom w:w="110" w:type="dxa"/>
              <w:end w:w="120" w:type="dxa"/>
            </w:tcMar>
            <w:vAlign w:val="center"/>
          </w:tcPr>
          <w:p>
            <w:pPr>
              <w:spacing w:before="0" w:after="0"/>
            </w:pPr>
            <w:r>
              <w:rPr>
                <w:sz w:val="18"/>
              </w:rPr>
              <w:t>Configuration processed during execution</w:t>
            </w:r>
          </w:p>
        </w:tc>
      </w:tr>
      <w:tr>
        <w:trPr>
          <w:cantSplit/>
        </w:trPr>
        <w:tc>
          <w:tcPr>
            <w:tcW w:type="dxa" w:w="2850"/>
            <w:tcMar>
              <w:top w:w="110" w:type="dxa"/>
              <w:start w:w="120" w:type="dxa"/>
              <w:bottom w:w="110" w:type="dxa"/>
              <w:end w:w="120" w:type="dxa"/>
            </w:tcMar>
            <w:vAlign w:val="center"/>
          </w:tcPr>
          <w:p>
            <w:pPr>
              <w:spacing w:before="0" w:after="0"/>
            </w:pPr>
            <w:r>
              <w:rPr>
                <w:rFonts w:ascii="Roboto Mono" w:hAnsi="Roboto Mono"/>
                <w:color w:val="188038"/>
                <w:sz w:val="18"/>
              </w:rPr>
              <w:t>expected_result</w:t>
            </w:r>
          </w:p>
        </w:tc>
        <w:tc>
          <w:tcPr>
            <w:tcW w:type="dxa" w:w="6510"/>
            <w:tcMar>
              <w:top w:w="110" w:type="dxa"/>
              <w:start w:w="120" w:type="dxa"/>
              <w:bottom w:w="110" w:type="dxa"/>
              <w:end w:w="120" w:type="dxa"/>
            </w:tcMar>
            <w:vAlign w:val="center"/>
          </w:tcPr>
          <w:p>
            <w:pPr>
              <w:spacing w:before="0" w:after="0"/>
            </w:pPr>
            <w:r>
              <w:rPr>
                <w:sz w:val="18"/>
              </w:rPr>
              <w:t>Independent engineering expectation established before execution</w:t>
            </w:r>
          </w:p>
        </w:tc>
      </w:tr>
      <w:tr>
        <w:trPr>
          <w:cantSplit/>
        </w:trPr>
        <w:tc>
          <w:tcPr>
            <w:tcW w:type="dxa" w:w="2850"/>
            <w:tcMar>
              <w:top w:w="110" w:type="dxa"/>
              <w:start w:w="120" w:type="dxa"/>
              <w:bottom w:w="110" w:type="dxa"/>
              <w:end w:w="120" w:type="dxa"/>
            </w:tcMar>
            <w:vAlign w:val="center"/>
          </w:tcPr>
          <w:p>
            <w:pPr>
              <w:spacing w:before="0" w:after="0"/>
            </w:pPr>
            <w:r>
              <w:rPr>
                <w:rFonts w:ascii="Roboto Mono" w:hAnsi="Roboto Mono"/>
                <w:color w:val="188038"/>
                <w:sz w:val="18"/>
              </w:rPr>
              <w:t>observed_result</w:t>
            </w:r>
          </w:p>
        </w:tc>
        <w:tc>
          <w:tcPr>
            <w:tcW w:type="dxa" w:w="6510"/>
            <w:tcMar>
              <w:top w:w="110" w:type="dxa"/>
              <w:start w:w="120" w:type="dxa"/>
              <w:bottom w:w="110" w:type="dxa"/>
              <w:end w:w="120" w:type="dxa"/>
            </w:tcMar>
            <w:vAlign w:val="center"/>
          </w:tcPr>
          <w:p>
            <w:pPr>
              <w:spacing w:before="0" w:after="0"/>
            </w:pPr>
            <w:r>
              <w:rPr>
                <w:sz w:val="18"/>
              </w:rPr>
              <w:t>Captured result produced by the demonstrator</w:t>
            </w:r>
          </w:p>
        </w:tc>
      </w:tr>
      <w:tr>
        <w:trPr>
          <w:cantSplit/>
        </w:trPr>
        <w:tc>
          <w:tcPr>
            <w:tcW w:type="dxa" w:w="2850"/>
            <w:tcMar>
              <w:top w:w="110" w:type="dxa"/>
              <w:start w:w="120" w:type="dxa"/>
              <w:bottom w:w="110" w:type="dxa"/>
              <w:end w:w="120" w:type="dxa"/>
            </w:tcMar>
            <w:vAlign w:val="center"/>
          </w:tcPr>
          <w:p>
            <w:pPr>
              <w:spacing w:before="0" w:after="0"/>
            </w:pPr>
            <w:r>
              <w:rPr>
                <w:rFonts w:ascii="Roboto Mono" w:hAnsi="Roboto Mono"/>
                <w:color w:val="188038"/>
                <w:sz w:val="18"/>
              </w:rPr>
              <w:t>test_result</w:t>
            </w:r>
          </w:p>
        </w:tc>
        <w:tc>
          <w:tcPr>
            <w:tcW w:type="dxa" w:w="6510"/>
            <w:tcMar>
              <w:top w:w="110" w:type="dxa"/>
              <w:start w:w="120" w:type="dxa"/>
              <w:bottom w:w="110" w:type="dxa"/>
              <w:end w:w="120" w:type="dxa"/>
            </w:tcMar>
            <w:vAlign w:val="center"/>
          </w:tcPr>
          <w:p>
            <w:pPr>
              <w:spacing w:before="0" w:after="0"/>
            </w:pPr>
            <w:r>
              <w:rPr>
                <w:sz w:val="18"/>
              </w:rPr>
              <w:t>PASS or FAIL from expected-versus-observed comparison</w:t>
            </w:r>
          </w:p>
        </w:tc>
      </w:tr>
      <w:tr>
        <w:trPr>
          <w:cantSplit/>
        </w:trPr>
        <w:tc>
          <w:tcPr>
            <w:tcW w:type="dxa" w:w="2850"/>
            <w:tcMar>
              <w:top w:w="110" w:type="dxa"/>
              <w:start w:w="120" w:type="dxa"/>
              <w:bottom w:w="110" w:type="dxa"/>
              <w:end w:w="120" w:type="dxa"/>
            </w:tcMar>
            <w:vAlign w:val="center"/>
          </w:tcPr>
          <w:p>
            <w:pPr>
              <w:spacing w:before="0" w:after="0"/>
            </w:pPr>
            <w:r>
              <w:rPr>
                <w:rFonts w:ascii="Roboto Mono" w:hAnsi="Roboto Mono"/>
                <w:color w:val="188038"/>
                <w:sz w:val="18"/>
              </w:rPr>
              <w:t>evidence_references</w:t>
            </w:r>
          </w:p>
        </w:tc>
        <w:tc>
          <w:tcPr>
            <w:tcW w:type="dxa" w:w="6510"/>
            <w:tcMar>
              <w:top w:w="110" w:type="dxa"/>
              <w:start w:w="120" w:type="dxa"/>
              <w:bottom w:w="110" w:type="dxa"/>
              <w:end w:w="120" w:type="dxa"/>
            </w:tcMar>
            <w:vAlign w:val="center"/>
          </w:tcPr>
          <w:p>
            <w:pPr>
              <w:spacing w:before="0" w:after="0"/>
            </w:pPr>
            <w:r>
              <w:rPr>
                <w:sz w:val="18"/>
              </w:rPr>
              <w:t>Snapshots, calculation records, telemetry and event IDs supporting the conclusion</w:t>
            </w:r>
          </w:p>
        </w:tc>
      </w:tr>
      <w:tr>
        <w:trPr>
          <w:cantSplit/>
        </w:trPr>
        <w:tc>
          <w:tcPr>
            <w:tcW w:type="dxa" w:w="2850"/>
            <w:tcMar>
              <w:top w:w="110" w:type="dxa"/>
              <w:start w:w="120" w:type="dxa"/>
              <w:bottom w:w="110" w:type="dxa"/>
              <w:end w:w="120" w:type="dxa"/>
            </w:tcMar>
            <w:vAlign w:val="center"/>
          </w:tcPr>
          <w:p>
            <w:pPr>
              <w:spacing w:before="0" w:after="0"/>
            </w:pPr>
            <w:r>
              <w:rPr>
                <w:rFonts w:ascii="Roboto Mono" w:hAnsi="Roboto Mono"/>
                <w:color w:val="188038"/>
                <w:sz w:val="18"/>
              </w:rPr>
              <w:t>related_record_links</w:t>
            </w:r>
          </w:p>
        </w:tc>
        <w:tc>
          <w:tcPr>
            <w:tcW w:type="dxa" w:w="6510"/>
            <w:tcMar>
              <w:top w:w="110" w:type="dxa"/>
              <w:start w:w="120" w:type="dxa"/>
              <w:bottom w:w="110" w:type="dxa"/>
              <w:end w:w="120" w:type="dxa"/>
            </w:tcMar>
            <w:vAlign w:val="center"/>
          </w:tcPr>
          <w:p>
            <w:pPr>
              <w:spacing w:before="0" w:after="0"/>
            </w:pPr>
            <w:r>
              <w:rPr>
                <w:sz w:val="18"/>
              </w:rPr>
              <w:t>DEF-001 and related correction/repeat records where applicable</w:t>
            </w:r>
          </w:p>
        </w:tc>
      </w:tr>
    </w:tbl>
    <w:p>
      <w:pPr>
        <w:spacing w:after="60"/>
      </w:pPr>
    </w:p>
    <w:p>
      <w:pPr>
        <w:pStyle w:val="Heading2"/>
      </w:pPr>
      <w:r>
        <w:t>12.3 Evidence Snapshot Semantics</w:t>
      </w:r>
    </w:p>
    <w:p>
      <w:pPr>
        <w:keepLines/>
        <w:spacing w:before="240" w:after="240"/>
      </w:pPr>
      <w:r>
        <w:rPr>
          <w:i w:val="0"/>
        </w:rPr>
        <w:t>Evidence is captured as an immutable snapshot or explicit reference to an immutable run record at the relevant state revision. Later scenario activity shall not change what an already completed execution recorded as observed. A current operational screen is not sufficient evidence if it can change after the test.</w:t>
      </w:r>
    </w:p>
    <w:p>
      <w:pPr>
        <w:pStyle w:val="Heading2"/>
      </w:pPr>
      <w:r>
        <w:t>12.4 Negative Tests</w:t>
      </w:r>
    </w:p>
    <w:p>
      <w:pPr>
        <w:keepLines/>
        <w:spacing w:before="240" w:after="240"/>
      </w:pPr>
      <w:r>
        <w:rPr>
          <w:i w:val="0"/>
        </w:rPr>
        <w:t>Validation evaluates whether observed system behaviour matches the expected engineering behaviour, not whether the operational action succeeded. A stale-telemetry case should produce operational status BLOCKED and engineering test result PASS when BLOCKED is the defined expectation.</w:t>
      </w:r>
    </w:p>
    <w:p>
      <w:pPr>
        <w:pStyle w:val="Heading1"/>
      </w:pPr>
      <w:r>
        <w:t>13. SA-CMP-09 — Operator / Reviewer Workspace</w:t>
      </w:r>
    </w:p>
    <w:p>
      <w:pPr>
        <w:pStyle w:val="Heading2"/>
      </w:pPr>
      <w:r>
        <w:t>13.1 Presentation Responsibilities</w:t>
      </w:r>
    </w:p>
    <w:p>
      <w:pPr>
        <w:numPr>
          <w:ilvl w:val="0"/>
          <w:numId w:val="5"/>
        </w:numPr>
        <w:keepLines/>
        <w:spacing w:before="240" w:after="0"/>
      </w:pPr>
      <w:r>
        <w:t>make the active mode, run, configuration version, fault section and evidence class visible;</w:t>
      </w:r>
    </w:p>
    <w:p>
      <w:pPr>
        <w:numPr>
          <w:ilvl w:val="0"/>
          <w:numId w:val="5"/>
        </w:numPr>
        <w:keepLines/>
        <w:spacing w:before="0" w:after="0"/>
      </w:pPr>
      <w:r>
        <w:t>present configured device/connectivity information separately from observed device state;</w:t>
      </w:r>
    </w:p>
    <w:p>
      <w:pPr>
        <w:numPr>
          <w:ilvl w:val="0"/>
          <w:numId w:val="5"/>
        </w:numPr>
        <w:keepLines/>
        <w:spacing w:before="0" w:after="0"/>
      </w:pPr>
      <w:r>
        <w:t>present derived energisation, source attribution, outage and customer impact;</w:t>
      </w:r>
    </w:p>
    <w:p>
      <w:pPr>
        <w:numPr>
          <w:ilvl w:val="0"/>
          <w:numId w:val="5"/>
        </w:numPr>
        <w:keepLines/>
        <w:spacing w:before="0" w:after="0"/>
      </w:pPr>
      <w:r>
        <w:t>show telemetry value, quality, timestamp, age and freshness;</w:t>
      </w:r>
    </w:p>
    <w:p>
      <w:pPr>
        <w:numPr>
          <w:ilvl w:val="0"/>
          <w:numId w:val="5"/>
        </w:numPr>
        <w:keepLines/>
        <w:spacing w:before="0" w:after="0"/>
      </w:pPr>
      <w:r>
        <w:t>show the candidate path, each permissive, capacity values and final restoration result;</w:t>
      </w:r>
    </w:p>
    <w:p>
      <w:pPr>
        <w:numPr>
          <w:ilvl w:val="0"/>
          <w:numId w:val="5"/>
        </w:numPr>
        <w:keepLines/>
        <w:spacing w:before="0" w:after="0"/>
      </w:pPr>
      <w:r>
        <w:t>show operational events chronologically and formal evidence through separate views;</w:t>
      </w:r>
    </w:p>
    <w:p>
      <w:pPr>
        <w:numPr>
          <w:ilvl w:val="0"/>
          <w:numId w:val="5"/>
        </w:numPr>
        <w:keepLines/>
        <w:spacing w:before="0" w:after="0"/>
      </w:pPr>
      <w:r>
        <w:t>support inspection of v1.0/v1.1 configuration difference during the controlled investigation;</w:t>
      </w:r>
    </w:p>
    <w:p>
      <w:pPr>
        <w:numPr>
          <w:ilvl w:val="0"/>
          <w:numId w:val="5"/>
        </w:numPr>
        <w:keepLines/>
        <w:spacing w:before="0" w:after="240"/>
      </w:pPr>
      <w:r>
        <w:t>prevent actions that are unavailable under the current workflow or current restoration assessment.</w:t>
      </w:r>
    </w:p>
    <w:p>
      <w:pPr>
        <w:keepLines/>
        <w:spacing w:before="240" w:after="240"/>
      </w:pPr>
      <w:r>
        <w:rPr>
          <w:i w:val="0"/>
        </w:rPr>
        <w:t>The Workspace does not calculate affected customers, rewrite a configuration, decide that a section is energised, or override an assessment. It invokes application commands and reads results from the responsible components.</w:t>
      </w:r>
    </w:p>
    <w:p>
      <w:pPr>
        <w:pStyle w:val="Heading2"/>
      </w:pPr>
      <w:r>
        <w:t>13.2 Defect-Visibility Boundary</w:t>
      </w:r>
    </w:p>
    <w:p>
      <w:pPr>
        <w:keepLines/>
        <w:spacing w:before="240" w:after="240"/>
      </w:pPr>
      <w:r>
        <w:rPr>
          <w:i w:val="0"/>
        </w:rPr>
        <w:t>The normal operational view shall not highlight the incorrect v1.0 endpoint as an answer before the investigation. The source-attribution and configuration-inspection information must nevertheless be available through the engineering investigation path once the reviewer chooses to inspect it.</w:t>
      </w:r>
    </w:p>
    <w:p>
      <w:pPr>
        <w:pStyle w:val="Heading1"/>
        <w:pageBreakBefore/>
      </w:pPr>
      <w:r>
        <w:t>14. Information Classes and Ownership</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50"/>
        <w:gridCol w:w="3300"/>
        <w:gridCol w:w="1700"/>
        <w:gridCol w:w="2410"/>
      </w:tblGrid>
      <w:tr>
        <w:trPr>
          <w:tblHeader w:val="true"/>
          <w:cantSplit/>
        </w:trPr>
        <w:tc>
          <w:tcPr>
            <w:tcW w:type="dxa" w:w="3"/>
            <w:shd w:fill="E7E6E6"/>
            <w:tcMar>
              <w:top w:w="110" w:type="dxa"/>
              <w:start w:w="120" w:type="dxa"/>
              <w:bottom w:w="110" w:type="dxa"/>
              <w:end w:w="120" w:type="dxa"/>
            </w:tcMar>
            <w:vAlign w:val="center"/>
          </w:tcPr>
          <w:p>
            <w:pPr>
              <w:spacing w:before="0" w:after="0"/>
              <w:jc w:val="center"/>
            </w:pPr>
            <w:r>
              <w:rPr>
                <w:b/>
                <w:sz w:val="16"/>
              </w:rPr>
              <w:t>Information class</w:t>
            </w:r>
          </w:p>
        </w:tc>
        <w:tc>
          <w:tcPr>
            <w:tcW w:type="dxa" w:w="5"/>
            <w:shd w:fill="E7E6E6"/>
            <w:tcMar>
              <w:top w:w="110" w:type="dxa"/>
              <w:start w:w="120" w:type="dxa"/>
              <w:bottom w:w="110" w:type="dxa"/>
              <w:end w:w="120" w:type="dxa"/>
            </w:tcMar>
            <w:vAlign w:val="center"/>
          </w:tcPr>
          <w:p>
            <w:pPr>
              <w:spacing w:before="0" w:after="0"/>
              <w:jc w:val="center"/>
            </w:pPr>
            <w:r>
              <w:rPr>
                <w:b/>
                <w:sz w:val="16"/>
              </w:rPr>
              <w:t>Examples</w:t>
            </w:r>
          </w:p>
        </w:tc>
        <w:tc>
          <w:tcPr>
            <w:tcW w:type="dxa" w:w="3"/>
            <w:shd w:fill="E7E6E6"/>
            <w:tcMar>
              <w:top w:w="110" w:type="dxa"/>
              <w:start w:w="120" w:type="dxa"/>
              <w:bottom w:w="110" w:type="dxa"/>
              <w:end w:w="120" w:type="dxa"/>
            </w:tcMar>
            <w:vAlign w:val="center"/>
          </w:tcPr>
          <w:p>
            <w:pPr>
              <w:spacing w:before="0" w:after="0"/>
              <w:jc w:val="center"/>
            </w:pPr>
            <w:r>
              <w:rPr>
                <w:b/>
                <w:sz w:val="16"/>
              </w:rPr>
              <w:t>Owner/source</w:t>
            </w:r>
          </w:p>
        </w:tc>
        <w:tc>
          <w:tcPr>
            <w:tcW w:type="dxa" w:w="4"/>
            <w:shd w:fill="E7E6E6"/>
            <w:tcMar>
              <w:top w:w="110" w:type="dxa"/>
              <w:start w:w="120" w:type="dxa"/>
              <w:bottom w:w="110" w:type="dxa"/>
              <w:end w:w="120" w:type="dxa"/>
            </w:tcMar>
            <w:vAlign w:val="center"/>
          </w:tcPr>
          <w:p>
            <w:pPr>
              <w:spacing w:before="0" w:after="0"/>
              <w:jc w:val="center"/>
            </w:pPr>
            <w:r>
              <w:rPr>
                <w:b/>
                <w:sz w:val="16"/>
              </w:rPr>
              <w:t>Update rule</w:t>
            </w:r>
          </w:p>
        </w:tc>
      </w:tr>
      <w:tr>
        <w:trPr>
          <w:cantSplit/>
        </w:trPr>
        <w:tc>
          <w:tcPr>
            <w:tcW w:type="dxa" w:w="1950"/>
            <w:tcMar>
              <w:top w:w="110" w:type="dxa"/>
              <w:start w:w="120" w:type="dxa"/>
              <w:bottom w:w="110" w:type="dxa"/>
              <w:end w:w="120" w:type="dxa"/>
            </w:tcMar>
            <w:vAlign w:val="center"/>
          </w:tcPr>
          <w:p>
            <w:pPr>
              <w:spacing w:before="0" w:after="0"/>
            </w:pPr>
            <w:r>
              <w:rPr>
                <w:sz w:val="16"/>
              </w:rPr>
              <w:t>Persistent configuration</w:t>
            </w:r>
          </w:p>
        </w:tc>
        <w:tc>
          <w:tcPr>
            <w:tcW w:type="dxa" w:w="3300"/>
            <w:tcMar>
              <w:top w:w="110" w:type="dxa"/>
              <w:start w:w="120" w:type="dxa"/>
              <w:bottom w:w="110" w:type="dxa"/>
              <w:end w:w="120" w:type="dxa"/>
            </w:tcMar>
            <w:vAlign w:val="center"/>
          </w:tcPr>
          <w:p>
            <w:pPr>
              <w:spacing w:before="0" w:after="0"/>
            </w:pPr>
            <w:r>
              <w:rPr>
                <w:sz w:val="16"/>
              </w:rPr>
              <w:t>Assets, endpoints, normal states, loads, capacities, customer mappings</w:t>
            </w:r>
          </w:p>
        </w:tc>
        <w:tc>
          <w:tcPr>
            <w:tcW w:type="dxa" w:w="1700"/>
            <w:tcMar>
              <w:top w:w="110" w:type="dxa"/>
              <w:start w:w="120" w:type="dxa"/>
              <w:bottom w:w="110" w:type="dxa"/>
              <w:end w:w="120" w:type="dxa"/>
            </w:tcMar>
            <w:vAlign w:val="center"/>
          </w:tcPr>
          <w:p>
            <w:pPr>
              <w:spacing w:before="0" w:after="0"/>
            </w:pPr>
            <w:r>
              <w:rPr>
                <w:sz w:val="16"/>
              </w:rPr>
              <w:t>SA-CMP-01</w:t>
            </w:r>
          </w:p>
        </w:tc>
        <w:tc>
          <w:tcPr>
            <w:tcW w:type="dxa" w:w="2410"/>
            <w:tcMar>
              <w:top w:w="110" w:type="dxa"/>
              <w:start w:w="120" w:type="dxa"/>
              <w:bottom w:w="110" w:type="dxa"/>
              <w:end w:w="120" w:type="dxa"/>
            </w:tcMar>
            <w:vAlign w:val="center"/>
          </w:tcPr>
          <w:p>
            <w:pPr>
              <w:spacing w:before="0" w:after="0"/>
            </w:pPr>
            <w:r>
              <w:rPr>
                <w:sz w:val="16"/>
              </w:rPr>
              <w:t>Changes only through controlled configuration version</w:t>
            </w:r>
          </w:p>
        </w:tc>
      </w:tr>
      <w:tr>
        <w:trPr>
          <w:cantSplit/>
        </w:trPr>
        <w:tc>
          <w:tcPr>
            <w:tcW w:type="dxa" w:w="1950"/>
            <w:tcMar>
              <w:top w:w="110" w:type="dxa"/>
              <w:start w:w="120" w:type="dxa"/>
              <w:bottom w:w="110" w:type="dxa"/>
              <w:end w:w="120" w:type="dxa"/>
            </w:tcMar>
            <w:vAlign w:val="center"/>
          </w:tcPr>
          <w:p>
            <w:pPr>
              <w:spacing w:before="0" w:after="0"/>
            </w:pPr>
            <w:r>
              <w:rPr>
                <w:sz w:val="16"/>
              </w:rPr>
              <w:t>Observed operational state</w:t>
            </w:r>
          </w:p>
        </w:tc>
        <w:tc>
          <w:tcPr>
            <w:tcW w:type="dxa" w:w="3300"/>
            <w:tcMar>
              <w:top w:w="110" w:type="dxa"/>
              <w:start w:w="120" w:type="dxa"/>
              <w:bottom w:w="110" w:type="dxa"/>
              <w:end w:w="120" w:type="dxa"/>
            </w:tcMar>
            <w:vAlign w:val="center"/>
          </w:tcPr>
          <w:p>
            <w:pPr>
              <w:spacing w:before="0" w:after="0"/>
            </w:pPr>
            <w:r>
              <w:rPr>
                <w:sz w:val="16"/>
              </w:rPr>
              <w:t>OPEN/CLOSED, quality, timestamp, alarm acknowledgement</w:t>
            </w:r>
          </w:p>
        </w:tc>
        <w:tc>
          <w:tcPr>
            <w:tcW w:type="dxa" w:w="1700"/>
            <w:tcMar>
              <w:top w:w="110" w:type="dxa"/>
              <w:start w:w="120" w:type="dxa"/>
              <w:bottom w:w="110" w:type="dxa"/>
              <w:end w:w="120" w:type="dxa"/>
            </w:tcMar>
            <w:vAlign w:val="center"/>
          </w:tcPr>
          <w:p>
            <w:pPr>
              <w:spacing w:before="0" w:after="0"/>
            </w:pPr>
            <w:r>
              <w:rPr>
                <w:sz w:val="16"/>
              </w:rPr>
              <w:t>SA-CMP-02</w:t>
            </w:r>
          </w:p>
        </w:tc>
        <w:tc>
          <w:tcPr>
            <w:tcW w:type="dxa" w:w="2410"/>
            <w:tcMar>
              <w:top w:w="110" w:type="dxa"/>
              <w:start w:w="120" w:type="dxa"/>
              <w:bottom w:w="110" w:type="dxa"/>
              <w:end w:w="120" w:type="dxa"/>
            </w:tcMar>
            <w:vAlign w:val="center"/>
          </w:tcPr>
          <w:p>
            <w:pPr>
              <w:spacing w:before="0" w:after="0"/>
            </w:pPr>
            <w:r>
              <w:rPr>
                <w:sz w:val="16"/>
              </w:rPr>
              <w:t>Updated by simulated telemetry or operator acknowledgement</w:t>
            </w:r>
          </w:p>
        </w:tc>
      </w:tr>
      <w:tr>
        <w:trPr>
          <w:cantSplit/>
        </w:trPr>
        <w:tc>
          <w:tcPr>
            <w:tcW w:type="dxa" w:w="1950"/>
            <w:tcMar>
              <w:top w:w="110" w:type="dxa"/>
              <w:start w:w="120" w:type="dxa"/>
              <w:bottom w:w="110" w:type="dxa"/>
              <w:end w:w="120" w:type="dxa"/>
            </w:tcMar>
            <w:vAlign w:val="center"/>
          </w:tcPr>
          <w:p>
            <w:pPr>
              <w:spacing w:before="0" w:after="0"/>
            </w:pPr>
            <w:r>
              <w:rPr>
                <w:sz w:val="16"/>
              </w:rPr>
              <w:t>Scenario state</w:t>
            </w:r>
          </w:p>
        </w:tc>
        <w:tc>
          <w:tcPr>
            <w:tcW w:type="dxa" w:w="3300"/>
            <w:tcMar>
              <w:top w:w="110" w:type="dxa"/>
              <w:start w:w="120" w:type="dxa"/>
              <w:bottom w:w="110" w:type="dxa"/>
              <w:end w:w="120" w:type="dxa"/>
            </w:tcMar>
            <w:vAlign w:val="center"/>
          </w:tcPr>
          <w:p>
            <w:pPr>
              <w:spacing w:before="0" w:after="0"/>
            </w:pPr>
            <w:r>
              <w:rPr>
                <w:sz w:val="16"/>
              </w:rPr>
              <w:t>Mode, fault section, abstract fault type, scenario time, run ID</w:t>
            </w:r>
          </w:p>
        </w:tc>
        <w:tc>
          <w:tcPr>
            <w:tcW w:type="dxa" w:w="1700"/>
            <w:tcMar>
              <w:top w:w="110" w:type="dxa"/>
              <w:start w:w="120" w:type="dxa"/>
              <w:bottom w:w="110" w:type="dxa"/>
              <w:end w:w="120" w:type="dxa"/>
            </w:tcMar>
            <w:vAlign w:val="center"/>
          </w:tcPr>
          <w:p>
            <w:pPr>
              <w:spacing w:before="0" w:after="0"/>
            </w:pPr>
            <w:r>
              <w:rPr>
                <w:sz w:val="16"/>
              </w:rPr>
              <w:t>SA-CMP-07</w:t>
            </w:r>
          </w:p>
        </w:tc>
        <w:tc>
          <w:tcPr>
            <w:tcW w:type="dxa" w:w="2410"/>
            <w:tcMar>
              <w:top w:w="110" w:type="dxa"/>
              <w:start w:w="120" w:type="dxa"/>
              <w:bottom w:w="110" w:type="dxa"/>
              <w:end w:w="120" w:type="dxa"/>
            </w:tcMar>
            <w:vAlign w:val="center"/>
          </w:tcPr>
          <w:p>
            <w:pPr>
              <w:spacing w:before="0" w:after="0"/>
            </w:pPr>
            <w:r>
              <w:rPr>
                <w:sz w:val="16"/>
              </w:rPr>
              <w:t>Set by controlled initialisation and scenario actions</w:t>
            </w:r>
          </w:p>
        </w:tc>
      </w:tr>
      <w:tr>
        <w:trPr>
          <w:cantSplit/>
        </w:trPr>
        <w:tc>
          <w:tcPr>
            <w:tcW w:type="dxa" w:w="1950"/>
            <w:tcMar>
              <w:top w:w="110" w:type="dxa"/>
              <w:start w:w="120" w:type="dxa"/>
              <w:bottom w:w="110" w:type="dxa"/>
              <w:end w:w="120" w:type="dxa"/>
            </w:tcMar>
            <w:vAlign w:val="center"/>
          </w:tcPr>
          <w:p>
            <w:pPr>
              <w:spacing w:before="0" w:after="0"/>
            </w:pPr>
            <w:r>
              <w:rPr>
                <w:sz w:val="16"/>
              </w:rPr>
              <w:t>Derived network state</w:t>
            </w:r>
          </w:p>
        </w:tc>
        <w:tc>
          <w:tcPr>
            <w:tcW w:type="dxa" w:w="3300"/>
            <w:tcMar>
              <w:top w:w="110" w:type="dxa"/>
              <w:start w:w="120" w:type="dxa"/>
              <w:bottom w:w="110" w:type="dxa"/>
              <w:end w:w="120" w:type="dxa"/>
            </w:tcMar>
            <w:vAlign w:val="center"/>
          </w:tcPr>
          <w:p>
            <w:pPr>
              <w:spacing w:before="0" w:after="0"/>
            </w:pPr>
            <w:r>
              <w:rPr>
                <w:sz w:val="16"/>
              </w:rPr>
              <w:t>Active graph, source paths, energisation, radial status</w:t>
            </w:r>
          </w:p>
        </w:tc>
        <w:tc>
          <w:tcPr>
            <w:tcW w:type="dxa" w:w="1700"/>
            <w:tcMar>
              <w:top w:w="110" w:type="dxa"/>
              <w:start w:w="120" w:type="dxa"/>
              <w:bottom w:w="110" w:type="dxa"/>
              <w:end w:w="120" w:type="dxa"/>
            </w:tcMar>
            <w:vAlign w:val="center"/>
          </w:tcPr>
          <w:p>
            <w:pPr>
              <w:spacing w:before="0" w:after="0"/>
            </w:pPr>
            <w:r>
              <w:rPr>
                <w:sz w:val="16"/>
              </w:rPr>
              <w:t>SA-CMP-03</w:t>
            </w:r>
          </w:p>
        </w:tc>
        <w:tc>
          <w:tcPr>
            <w:tcW w:type="dxa" w:w="2410"/>
            <w:tcMar>
              <w:top w:w="110" w:type="dxa"/>
              <w:start w:w="120" w:type="dxa"/>
              <w:bottom w:w="110" w:type="dxa"/>
              <w:end w:w="120" w:type="dxa"/>
            </w:tcMar>
            <w:vAlign w:val="center"/>
          </w:tcPr>
          <w:p>
            <w:pPr>
              <w:spacing w:before="0" w:after="0"/>
            </w:pPr>
            <w:r>
              <w:rPr>
                <w:sz w:val="16"/>
              </w:rPr>
              <w:t>Recalculated from configuration and observed state</w:t>
            </w:r>
          </w:p>
        </w:tc>
      </w:tr>
      <w:tr>
        <w:trPr>
          <w:cantSplit/>
        </w:trPr>
        <w:tc>
          <w:tcPr>
            <w:tcW w:type="dxa" w:w="1950"/>
            <w:tcMar>
              <w:top w:w="110" w:type="dxa"/>
              <w:start w:w="120" w:type="dxa"/>
              <w:bottom w:w="110" w:type="dxa"/>
              <w:end w:w="120" w:type="dxa"/>
            </w:tcMar>
            <w:vAlign w:val="center"/>
          </w:tcPr>
          <w:p>
            <w:pPr>
              <w:spacing w:before="0" w:after="0"/>
            </w:pPr>
            <w:r>
              <w:rPr>
                <w:sz w:val="16"/>
              </w:rPr>
              <w:t>Restoration assessment</w:t>
            </w:r>
          </w:p>
        </w:tc>
        <w:tc>
          <w:tcPr>
            <w:tcW w:type="dxa" w:w="3300"/>
            <w:tcMar>
              <w:top w:w="110" w:type="dxa"/>
              <w:start w:w="120" w:type="dxa"/>
              <w:bottom w:w="110" w:type="dxa"/>
              <w:end w:w="120" w:type="dxa"/>
            </w:tcMar>
            <w:vAlign w:val="center"/>
          </w:tcPr>
          <w:p>
            <w:pPr>
              <w:spacing w:before="0" w:after="0"/>
            </w:pPr>
            <w:r>
              <w:rPr>
                <w:sz w:val="16"/>
              </w:rPr>
              <w:t>Candidate, permissives, capacity, outcome, reasons</w:t>
            </w:r>
          </w:p>
        </w:tc>
        <w:tc>
          <w:tcPr>
            <w:tcW w:type="dxa" w:w="1700"/>
            <w:tcMar>
              <w:top w:w="110" w:type="dxa"/>
              <w:start w:w="120" w:type="dxa"/>
              <w:bottom w:w="110" w:type="dxa"/>
              <w:end w:w="120" w:type="dxa"/>
            </w:tcMar>
            <w:vAlign w:val="center"/>
          </w:tcPr>
          <w:p>
            <w:pPr>
              <w:spacing w:before="0" w:after="0"/>
            </w:pPr>
            <w:r>
              <w:rPr>
                <w:sz w:val="16"/>
              </w:rPr>
              <w:t>SA-CMP-04</w:t>
            </w:r>
          </w:p>
        </w:tc>
        <w:tc>
          <w:tcPr>
            <w:tcW w:type="dxa" w:w="2410"/>
            <w:tcMar>
              <w:top w:w="110" w:type="dxa"/>
              <w:start w:w="120" w:type="dxa"/>
              <w:bottom w:w="110" w:type="dxa"/>
              <w:end w:w="120" w:type="dxa"/>
            </w:tcMar>
            <w:vAlign w:val="center"/>
          </w:tcPr>
          <w:p>
            <w:pPr>
              <w:spacing w:before="0" w:after="0"/>
            </w:pPr>
            <w:r>
              <w:rPr>
                <w:sz w:val="16"/>
              </w:rPr>
              <w:t>Recalculated and bound to a state revision</w:t>
            </w:r>
          </w:p>
        </w:tc>
      </w:tr>
      <w:tr>
        <w:trPr>
          <w:cantSplit/>
        </w:trPr>
        <w:tc>
          <w:tcPr>
            <w:tcW w:type="dxa" w:w="1950"/>
            <w:tcMar>
              <w:top w:w="110" w:type="dxa"/>
              <w:start w:w="120" w:type="dxa"/>
              <w:bottom w:w="110" w:type="dxa"/>
              <w:end w:w="120" w:type="dxa"/>
            </w:tcMar>
            <w:vAlign w:val="center"/>
          </w:tcPr>
          <w:p>
            <w:pPr>
              <w:spacing w:before="0" w:after="0"/>
            </w:pPr>
            <w:r>
              <w:rPr>
                <w:sz w:val="16"/>
              </w:rPr>
              <w:t>Derived outage state</w:t>
            </w:r>
          </w:p>
        </w:tc>
        <w:tc>
          <w:tcPr>
            <w:tcW w:type="dxa" w:w="3300"/>
            <w:tcMar>
              <w:top w:w="110" w:type="dxa"/>
              <w:start w:w="120" w:type="dxa"/>
              <w:bottom w:w="110" w:type="dxa"/>
              <w:end w:w="120" w:type="dxa"/>
            </w:tcMar>
            <w:vAlign w:val="center"/>
          </w:tcPr>
          <w:p>
            <w:pPr>
              <w:spacing w:before="0" w:after="0"/>
            </w:pPr>
            <w:r>
              <w:rPr>
                <w:sz w:val="16"/>
              </w:rPr>
              <w:t>De-energised sections, zones, affected/restored customers</w:t>
            </w:r>
          </w:p>
        </w:tc>
        <w:tc>
          <w:tcPr>
            <w:tcW w:type="dxa" w:w="1700"/>
            <w:tcMar>
              <w:top w:w="110" w:type="dxa"/>
              <w:start w:w="120" w:type="dxa"/>
              <w:bottom w:w="110" w:type="dxa"/>
              <w:end w:w="120" w:type="dxa"/>
            </w:tcMar>
            <w:vAlign w:val="center"/>
          </w:tcPr>
          <w:p>
            <w:pPr>
              <w:spacing w:before="0" w:after="0"/>
            </w:pPr>
            <w:r>
              <w:rPr>
                <w:sz w:val="16"/>
              </w:rPr>
              <w:t>SA-CMP-05</w:t>
            </w:r>
          </w:p>
        </w:tc>
        <w:tc>
          <w:tcPr>
            <w:tcW w:type="dxa" w:w="2410"/>
            <w:tcMar>
              <w:top w:w="110" w:type="dxa"/>
              <w:start w:w="120" w:type="dxa"/>
              <w:bottom w:w="110" w:type="dxa"/>
              <w:end w:w="120" w:type="dxa"/>
            </w:tcMar>
            <w:vAlign w:val="center"/>
          </w:tcPr>
          <w:p>
            <w:pPr>
              <w:spacing w:before="0" w:after="0"/>
            </w:pPr>
            <w:r>
              <w:rPr>
                <w:sz w:val="16"/>
              </w:rPr>
              <w:t>Recalculated after topology revision</w:t>
            </w:r>
          </w:p>
        </w:tc>
      </w:tr>
      <w:tr>
        <w:trPr>
          <w:cantSplit/>
        </w:trPr>
        <w:tc>
          <w:tcPr>
            <w:tcW w:type="dxa" w:w="1950"/>
            <w:tcMar>
              <w:top w:w="110" w:type="dxa"/>
              <w:start w:w="120" w:type="dxa"/>
              <w:bottom w:w="110" w:type="dxa"/>
              <w:end w:w="120" w:type="dxa"/>
            </w:tcMar>
            <w:vAlign w:val="center"/>
          </w:tcPr>
          <w:p>
            <w:pPr>
              <w:spacing w:before="0" w:after="0"/>
            </w:pPr>
            <w:r>
              <w:rPr>
                <w:sz w:val="16"/>
              </w:rPr>
              <w:t>Operational events</w:t>
            </w:r>
          </w:p>
        </w:tc>
        <w:tc>
          <w:tcPr>
            <w:tcW w:type="dxa" w:w="3300"/>
            <w:tcMar>
              <w:top w:w="110" w:type="dxa"/>
              <w:start w:w="120" w:type="dxa"/>
              <w:bottom w:w="110" w:type="dxa"/>
              <w:end w:w="120" w:type="dxa"/>
            </w:tcMar>
            <w:vAlign w:val="center"/>
          </w:tcPr>
          <w:p>
            <w:pPr>
              <w:spacing w:before="0" w:after="0"/>
            </w:pPr>
            <w:r>
              <w:rPr>
                <w:sz w:val="16"/>
              </w:rPr>
              <w:t>Device, alarm, topology, outage, assessment and switching events</w:t>
            </w:r>
          </w:p>
        </w:tc>
        <w:tc>
          <w:tcPr>
            <w:tcW w:type="dxa" w:w="1700"/>
            <w:tcMar>
              <w:top w:w="110" w:type="dxa"/>
              <w:start w:w="120" w:type="dxa"/>
              <w:bottom w:w="110" w:type="dxa"/>
              <w:end w:w="120" w:type="dxa"/>
            </w:tcMar>
            <w:vAlign w:val="center"/>
          </w:tcPr>
          <w:p>
            <w:pPr>
              <w:spacing w:before="0" w:after="0"/>
            </w:pPr>
            <w:r>
              <w:rPr>
                <w:sz w:val="16"/>
              </w:rPr>
              <w:t>SA-CMP-06</w:t>
            </w:r>
          </w:p>
        </w:tc>
        <w:tc>
          <w:tcPr>
            <w:tcW w:type="dxa" w:w="2410"/>
            <w:tcMar>
              <w:top w:w="110" w:type="dxa"/>
              <w:start w:w="120" w:type="dxa"/>
              <w:bottom w:w="110" w:type="dxa"/>
              <w:end w:w="120" w:type="dxa"/>
            </w:tcMar>
            <w:vAlign w:val="center"/>
          </w:tcPr>
          <w:p>
            <w:pPr>
              <w:spacing w:before="0" w:after="0"/>
            </w:pPr>
            <w:r>
              <w:rPr>
                <w:sz w:val="16"/>
              </w:rPr>
              <w:t>Append-only within run</w:t>
            </w:r>
          </w:p>
        </w:tc>
      </w:tr>
      <w:tr>
        <w:trPr>
          <w:cantSplit/>
        </w:trPr>
        <w:tc>
          <w:tcPr>
            <w:tcW w:type="dxa" w:w="1950"/>
            <w:tcMar>
              <w:top w:w="110" w:type="dxa"/>
              <w:start w:w="120" w:type="dxa"/>
              <w:bottom w:w="110" w:type="dxa"/>
              <w:end w:w="120" w:type="dxa"/>
            </w:tcMar>
            <w:vAlign w:val="center"/>
          </w:tcPr>
          <w:p>
            <w:pPr>
              <w:spacing w:before="0" w:after="0"/>
            </w:pPr>
            <w:r>
              <w:rPr>
                <w:sz w:val="16"/>
              </w:rPr>
              <w:t>Engineering validation</w:t>
            </w:r>
          </w:p>
        </w:tc>
        <w:tc>
          <w:tcPr>
            <w:tcW w:type="dxa" w:w="3300"/>
            <w:tcMar>
              <w:top w:w="110" w:type="dxa"/>
              <w:start w:w="120" w:type="dxa"/>
              <w:bottom w:w="110" w:type="dxa"/>
              <w:end w:w="120" w:type="dxa"/>
            </w:tcMar>
            <w:vAlign w:val="center"/>
          </w:tcPr>
          <w:p>
            <w:pPr>
              <w:spacing w:before="0" w:after="0"/>
            </w:pPr>
            <w:r>
              <w:rPr>
                <w:sz w:val="16"/>
              </w:rPr>
              <w:t>Expected/observed, PASS/FAIL, evidence and requirement links</w:t>
            </w:r>
          </w:p>
        </w:tc>
        <w:tc>
          <w:tcPr>
            <w:tcW w:type="dxa" w:w="1700"/>
            <w:tcMar>
              <w:top w:w="110" w:type="dxa"/>
              <w:start w:w="120" w:type="dxa"/>
              <w:bottom w:w="110" w:type="dxa"/>
              <w:end w:w="120" w:type="dxa"/>
            </w:tcMar>
            <w:vAlign w:val="center"/>
          </w:tcPr>
          <w:p>
            <w:pPr>
              <w:spacing w:before="0" w:after="0"/>
            </w:pPr>
            <w:r>
              <w:rPr>
                <w:sz w:val="16"/>
              </w:rPr>
              <w:t>SA-CMP-08</w:t>
            </w:r>
          </w:p>
        </w:tc>
        <w:tc>
          <w:tcPr>
            <w:tcW w:type="dxa" w:w="2410"/>
            <w:tcMar>
              <w:top w:w="110" w:type="dxa"/>
              <w:start w:w="120" w:type="dxa"/>
              <w:bottom w:w="110" w:type="dxa"/>
              <w:end w:w="120" w:type="dxa"/>
            </w:tcMar>
            <w:vAlign w:val="center"/>
          </w:tcPr>
          <w:p>
            <w:pPr>
              <w:spacing w:before="0" w:after="0"/>
            </w:pPr>
            <w:r>
              <w:rPr>
                <w:sz w:val="16"/>
              </w:rPr>
              <w:t>Immutable per completed execution</w:t>
            </w:r>
          </w:p>
        </w:tc>
      </w:tr>
      <w:tr>
        <w:trPr>
          <w:cantSplit/>
        </w:trPr>
        <w:tc>
          <w:tcPr>
            <w:tcW w:type="dxa" w:w="1950"/>
            <w:tcMar>
              <w:top w:w="110" w:type="dxa"/>
              <w:start w:w="120" w:type="dxa"/>
              <w:bottom w:w="110" w:type="dxa"/>
              <w:end w:w="120" w:type="dxa"/>
            </w:tcMar>
            <w:vAlign w:val="center"/>
          </w:tcPr>
          <w:p>
            <w:pPr>
              <w:spacing w:before="0" w:after="0"/>
            </w:pPr>
            <w:r>
              <w:rPr>
                <w:sz w:val="16"/>
              </w:rPr>
              <w:t>Defect/correction record</w:t>
            </w:r>
          </w:p>
        </w:tc>
        <w:tc>
          <w:tcPr>
            <w:tcW w:type="dxa" w:w="3300"/>
            <w:tcMar>
              <w:top w:w="110" w:type="dxa"/>
              <w:start w:w="120" w:type="dxa"/>
              <w:bottom w:w="110" w:type="dxa"/>
              <w:end w:w="120" w:type="dxa"/>
            </w:tcMar>
            <w:vAlign w:val="center"/>
          </w:tcPr>
          <w:p>
            <w:pPr>
              <w:spacing w:before="0" w:after="0"/>
            </w:pPr>
            <w:r>
              <w:rPr>
                <w:sz w:val="16"/>
              </w:rPr>
              <w:t>DEF-001, root cause, configuration change, repeat validation</w:t>
            </w:r>
          </w:p>
        </w:tc>
        <w:tc>
          <w:tcPr>
            <w:tcW w:type="dxa" w:w="1700"/>
            <w:tcMar>
              <w:top w:w="110" w:type="dxa"/>
              <w:start w:w="120" w:type="dxa"/>
              <w:bottom w:w="110" w:type="dxa"/>
              <w:end w:w="120" w:type="dxa"/>
            </w:tcMar>
            <w:vAlign w:val="center"/>
          </w:tcPr>
          <w:p>
            <w:pPr>
              <w:spacing w:before="0" w:after="0"/>
            </w:pPr>
            <w:r>
              <w:rPr>
                <w:sz w:val="16"/>
              </w:rPr>
              <w:t>SA-CMP-08 with SA-CMP-01 references</w:t>
            </w:r>
          </w:p>
        </w:tc>
        <w:tc>
          <w:tcPr>
            <w:tcW w:type="dxa" w:w="2410"/>
            <w:tcMar>
              <w:top w:w="110" w:type="dxa"/>
              <w:start w:w="120" w:type="dxa"/>
              <w:bottom w:w="110" w:type="dxa"/>
              <w:end w:w="120" w:type="dxa"/>
            </w:tcMar>
            <w:vAlign w:val="center"/>
          </w:tcPr>
          <w:p>
            <w:pPr>
              <w:spacing w:before="0" w:after="0"/>
            </w:pPr>
            <w:r>
              <w:rPr>
                <w:sz w:val="16"/>
              </w:rPr>
              <w:t>Preserved as controlled engineering evidence</w:t>
            </w:r>
          </w:p>
        </w:tc>
      </w:tr>
    </w:tbl>
    <w:p>
      <w:pPr>
        <w:spacing w:after="60"/>
      </w:pPr>
    </w:p>
    <w:p>
      <w:pPr>
        <w:pStyle w:val="Heading2"/>
      </w:pPr>
      <w:r>
        <w:t>14.1 Relationship Rules</w:t>
      </w:r>
    </w:p>
    <w:p>
      <w:pPr>
        <w:numPr>
          <w:ilvl w:val="0"/>
          <w:numId w:val="5"/>
        </w:numPr>
        <w:keepLines/>
        <w:spacing w:before="240" w:after="0"/>
      </w:pPr>
      <w:r>
        <w:t>Every run references one configuration version; the configuration does not embed run state.</w:t>
      </w:r>
    </w:p>
    <w:p>
      <w:pPr>
        <w:numPr>
          <w:ilvl w:val="0"/>
          <w:numId w:val="5"/>
        </w:numPr>
        <w:keepLines/>
        <w:spacing w:before="0" w:after="0"/>
      </w:pPr>
      <w:r>
        <w:t>Every derived record references or is attributable to the run and state revision from which it was calculated.</w:t>
      </w:r>
    </w:p>
    <w:p>
      <w:pPr>
        <w:numPr>
          <w:ilvl w:val="0"/>
          <w:numId w:val="5"/>
        </w:numPr>
        <w:keepLines/>
        <w:spacing w:before="0" w:after="0"/>
      </w:pPr>
      <w:r>
        <w:t>Every operational event references its run and responsible function.</w:t>
      </w:r>
    </w:p>
    <w:p>
      <w:pPr>
        <w:numPr>
          <w:ilvl w:val="0"/>
          <w:numId w:val="5"/>
        </w:numPr>
        <w:keepLines/>
        <w:spacing w:before="0" w:after="0"/>
      </w:pPr>
      <w:r>
        <w:t>Every formal validation execution references its test definition, run, configuration and evidence.</w:t>
      </w:r>
    </w:p>
    <w:p>
      <w:pPr>
        <w:numPr>
          <w:ilvl w:val="0"/>
          <w:numId w:val="5"/>
        </w:numPr>
        <w:keepLines/>
        <w:spacing w:before="0" w:after="0"/>
      </w:pPr>
      <w:r>
        <w:t>A correction record links defective configuration v1.0, DEF-001, the approved endpoint change and corrected v1.1.</w:t>
      </w:r>
    </w:p>
    <w:p>
      <w:pPr>
        <w:numPr>
          <w:ilvl w:val="0"/>
          <w:numId w:val="5"/>
        </w:numPr>
        <w:keepLines/>
        <w:spacing w:before="0" w:after="240"/>
      </w:pPr>
      <w:r>
        <w:t>A repeat execution links back to the original failed execution but does not overwrite it.</w:t>
      </w:r>
    </w:p>
    <w:p>
      <w:pPr>
        <w:pStyle w:val="Heading2"/>
      </w:pPr>
      <w:r>
        <w:t>14.2 Stable Identifier Discipline</w:t>
      </w:r>
    </w:p>
    <w:p>
      <w:pPr>
        <w:keepLines/>
        <w:spacing w:before="240" w:after="240"/>
      </w:pPr>
      <w:r>
        <w:rPr>
          <w:i w:val="0"/>
        </w:rPr>
        <w:t>Identifiers established in the engineering baseline—including ZS-01, FDR-A, BRK-A, SEC-A2, SW-A23, TS-01, CZ-A2, REQ-..., VT-TOP-DEF-001 and DEF-001—shall remain unchanged in configuration, events, interface payloads, evidence and presentation. Run, execution and evidence records receive their own unique identifiers without changing the engineering entity IDs they reference.</w:t>
      </w:r>
    </w:p>
    <w:p>
      <w:pPr>
        <w:pStyle w:val="Heading1"/>
      </w:pPr>
      <w:r>
        <w:t>15. Logical Interface Contracts</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50"/>
        <w:gridCol w:w="1550"/>
        <w:gridCol w:w="3500"/>
        <w:gridCol w:w="2760"/>
      </w:tblGrid>
      <w:tr>
        <w:trPr>
          <w:tblHeader w:val="true"/>
          <w:cantSplit/>
        </w:trPr>
        <w:tc>
          <w:tcPr>
            <w:tcW w:type="dxa" w:w="2"/>
            <w:shd w:fill="E7E6E6"/>
            <w:tcMar>
              <w:top w:w="110" w:type="dxa"/>
              <w:start w:w="120" w:type="dxa"/>
              <w:bottom w:w="110" w:type="dxa"/>
              <w:end w:w="120" w:type="dxa"/>
            </w:tcMar>
            <w:vAlign w:val="center"/>
          </w:tcPr>
          <w:p>
            <w:pPr>
              <w:spacing w:before="0" w:after="0"/>
              <w:jc w:val="center"/>
            </w:pPr>
            <w:r>
              <w:rPr>
                <w:b/>
                <w:sz w:val="16"/>
              </w:rPr>
              <w:t>Producer</w:t>
            </w:r>
          </w:p>
        </w:tc>
        <w:tc>
          <w:tcPr>
            <w:tcW w:type="dxa" w:w="2"/>
            <w:shd w:fill="E7E6E6"/>
            <w:tcMar>
              <w:top w:w="110" w:type="dxa"/>
              <w:start w:w="120" w:type="dxa"/>
              <w:bottom w:w="110" w:type="dxa"/>
              <w:end w:w="120" w:type="dxa"/>
            </w:tcMar>
            <w:vAlign w:val="center"/>
          </w:tcPr>
          <w:p>
            <w:pPr>
              <w:spacing w:before="0" w:after="0"/>
              <w:jc w:val="center"/>
            </w:pPr>
            <w:r>
              <w:rPr>
                <w:b/>
                <w:sz w:val="16"/>
              </w:rPr>
              <w:t>Consumer</w:t>
            </w:r>
          </w:p>
        </w:tc>
        <w:tc>
          <w:tcPr>
            <w:tcW w:type="dxa" w:w="6"/>
            <w:shd w:fill="E7E6E6"/>
            <w:tcMar>
              <w:top w:w="110" w:type="dxa"/>
              <w:start w:w="120" w:type="dxa"/>
              <w:bottom w:w="110" w:type="dxa"/>
              <w:end w:w="120" w:type="dxa"/>
            </w:tcMar>
            <w:vAlign w:val="center"/>
          </w:tcPr>
          <w:p>
            <w:pPr>
              <w:spacing w:before="0" w:after="0"/>
              <w:jc w:val="center"/>
            </w:pPr>
            <w:r>
              <w:rPr>
                <w:b/>
                <w:sz w:val="16"/>
              </w:rPr>
              <w:t>Minimum information passed</w:t>
            </w:r>
          </w:p>
        </w:tc>
        <w:tc>
          <w:tcPr>
            <w:tcW w:type="dxa" w:w="4"/>
            <w:shd w:fill="E7E6E6"/>
            <w:tcMar>
              <w:top w:w="110" w:type="dxa"/>
              <w:start w:w="120" w:type="dxa"/>
              <w:bottom w:w="110" w:type="dxa"/>
              <w:end w:w="120" w:type="dxa"/>
            </w:tcMar>
            <w:vAlign w:val="center"/>
          </w:tcPr>
          <w:p>
            <w:pPr>
              <w:spacing w:before="0" w:after="0"/>
              <w:jc w:val="center"/>
            </w:pPr>
            <w:r>
              <w:rPr>
                <w:b/>
                <w:sz w:val="16"/>
              </w:rPr>
              <w:t>Architectural rule</w:t>
            </w:r>
          </w:p>
        </w:tc>
      </w:tr>
      <w:tr>
        <w:trPr>
          <w:cantSplit/>
        </w:trPr>
        <w:tc>
          <w:tcPr>
            <w:tcW w:type="dxa" w:w="1550"/>
            <w:tcMar>
              <w:top w:w="110" w:type="dxa"/>
              <w:start w:w="120" w:type="dxa"/>
              <w:bottom w:w="110" w:type="dxa"/>
              <w:end w:w="120" w:type="dxa"/>
            </w:tcMar>
            <w:vAlign w:val="center"/>
          </w:tcPr>
          <w:p>
            <w:pPr>
              <w:spacing w:before="0" w:after="0"/>
            </w:pPr>
            <w:r>
              <w:rPr>
                <w:sz w:val="16"/>
              </w:rPr>
              <w:t>SA-CMP-01</w:t>
            </w:r>
          </w:p>
        </w:tc>
        <w:tc>
          <w:tcPr>
            <w:tcW w:type="dxa" w:w="1550"/>
            <w:tcMar>
              <w:top w:w="110" w:type="dxa"/>
              <w:start w:w="120" w:type="dxa"/>
              <w:bottom w:w="110" w:type="dxa"/>
              <w:end w:w="120" w:type="dxa"/>
            </w:tcMar>
            <w:vAlign w:val="center"/>
          </w:tcPr>
          <w:p>
            <w:pPr>
              <w:spacing w:before="0" w:after="0"/>
            </w:pPr>
            <w:r>
              <w:rPr>
                <w:sz w:val="16"/>
              </w:rPr>
              <w:t>SA-CMP-03</w:t>
            </w:r>
          </w:p>
        </w:tc>
        <w:tc>
          <w:tcPr>
            <w:tcW w:type="dxa" w:w="3500"/>
            <w:tcMar>
              <w:top w:w="110" w:type="dxa"/>
              <w:start w:w="120" w:type="dxa"/>
              <w:bottom w:w="110" w:type="dxa"/>
              <w:end w:w="120" w:type="dxa"/>
            </w:tcMar>
            <w:vAlign w:val="center"/>
          </w:tcPr>
          <w:p>
            <w:pPr>
              <w:spacing w:before="0" w:after="0"/>
            </w:pPr>
            <w:r>
              <w:rPr>
                <w:sz w:val="16"/>
              </w:rPr>
              <w:t>Configuration version, assets, endpoints, sources, normal data</w:t>
            </w:r>
          </w:p>
        </w:tc>
        <w:tc>
          <w:tcPr>
            <w:tcW w:type="dxa" w:w="2760"/>
            <w:tcMar>
              <w:top w:w="110" w:type="dxa"/>
              <w:start w:w="120" w:type="dxa"/>
              <w:bottom w:w="110" w:type="dxa"/>
              <w:end w:w="120" w:type="dxa"/>
            </w:tcMar>
            <w:vAlign w:val="center"/>
          </w:tcPr>
          <w:p>
            <w:pPr>
              <w:spacing w:before="0" w:after="0"/>
            </w:pPr>
            <w:r>
              <w:rPr>
                <w:sz w:val="16"/>
              </w:rPr>
              <w:t>Topology consumes a versioned immutable structural model</w:t>
            </w:r>
          </w:p>
        </w:tc>
      </w:tr>
      <w:tr>
        <w:trPr>
          <w:cantSplit/>
        </w:trPr>
        <w:tc>
          <w:tcPr>
            <w:tcW w:type="dxa" w:w="1550"/>
            <w:tcMar>
              <w:top w:w="110" w:type="dxa"/>
              <w:start w:w="120" w:type="dxa"/>
              <w:bottom w:w="110" w:type="dxa"/>
              <w:end w:w="120" w:type="dxa"/>
            </w:tcMar>
            <w:vAlign w:val="center"/>
          </w:tcPr>
          <w:p>
            <w:pPr>
              <w:spacing w:before="0" w:after="0"/>
            </w:pPr>
            <w:r>
              <w:rPr>
                <w:sz w:val="16"/>
              </w:rPr>
              <w:t>SA-CMP-01</w:t>
            </w:r>
          </w:p>
        </w:tc>
        <w:tc>
          <w:tcPr>
            <w:tcW w:type="dxa" w:w="1550"/>
            <w:tcMar>
              <w:top w:w="110" w:type="dxa"/>
              <w:start w:w="120" w:type="dxa"/>
              <w:bottom w:w="110" w:type="dxa"/>
              <w:end w:w="120" w:type="dxa"/>
            </w:tcMar>
            <w:vAlign w:val="center"/>
          </w:tcPr>
          <w:p>
            <w:pPr>
              <w:spacing w:before="0" w:after="0"/>
            </w:pPr>
            <w:r>
              <w:rPr>
                <w:sz w:val="16"/>
              </w:rPr>
              <w:t>SA-CMP-05</w:t>
            </w:r>
          </w:p>
        </w:tc>
        <w:tc>
          <w:tcPr>
            <w:tcW w:type="dxa" w:w="3500"/>
            <w:tcMar>
              <w:top w:w="110" w:type="dxa"/>
              <w:start w:w="120" w:type="dxa"/>
              <w:bottom w:w="110" w:type="dxa"/>
              <w:end w:w="120" w:type="dxa"/>
            </w:tcMar>
            <w:vAlign w:val="center"/>
          </w:tcPr>
          <w:p>
            <w:pPr>
              <w:spacing w:before="0" w:after="0"/>
            </w:pPr>
            <w:r>
              <w:rPr>
                <w:sz w:val="16"/>
              </w:rPr>
              <w:t>Section/customer-zone relationship and customer count</w:t>
            </w:r>
          </w:p>
        </w:tc>
        <w:tc>
          <w:tcPr>
            <w:tcW w:type="dxa" w:w="2760"/>
            <w:tcMar>
              <w:top w:w="110" w:type="dxa"/>
              <w:start w:w="120" w:type="dxa"/>
              <w:bottom w:w="110" w:type="dxa"/>
              <w:end w:w="120" w:type="dxa"/>
            </w:tcMar>
            <w:vAlign w:val="center"/>
          </w:tcPr>
          <w:p>
            <w:pPr>
              <w:spacing w:before="0" w:after="0"/>
            </w:pPr>
            <w:r>
              <w:rPr>
                <w:sz w:val="16"/>
              </w:rPr>
              <w:t>OMS does not own or duplicate network connectivity</w:t>
            </w:r>
          </w:p>
        </w:tc>
      </w:tr>
      <w:tr>
        <w:trPr>
          <w:cantSplit/>
        </w:trPr>
        <w:tc>
          <w:tcPr>
            <w:tcW w:type="dxa" w:w="1550"/>
            <w:tcMar>
              <w:top w:w="110" w:type="dxa"/>
              <w:start w:w="120" w:type="dxa"/>
              <w:bottom w:w="110" w:type="dxa"/>
              <w:end w:w="120" w:type="dxa"/>
            </w:tcMar>
            <w:vAlign w:val="center"/>
          </w:tcPr>
          <w:p>
            <w:pPr>
              <w:spacing w:before="0" w:after="0"/>
            </w:pPr>
            <w:r>
              <w:rPr>
                <w:sz w:val="16"/>
              </w:rPr>
              <w:t>SA-CMP-02</w:t>
            </w:r>
          </w:p>
        </w:tc>
        <w:tc>
          <w:tcPr>
            <w:tcW w:type="dxa" w:w="1550"/>
            <w:tcMar>
              <w:top w:w="110" w:type="dxa"/>
              <w:start w:w="120" w:type="dxa"/>
              <w:bottom w:w="110" w:type="dxa"/>
              <w:end w:w="120" w:type="dxa"/>
            </w:tcMar>
            <w:vAlign w:val="center"/>
          </w:tcPr>
          <w:p>
            <w:pPr>
              <w:spacing w:before="0" w:after="0"/>
            </w:pPr>
            <w:r>
              <w:rPr>
                <w:sz w:val="16"/>
              </w:rPr>
              <w:t>SA-CMP-03</w:t>
            </w:r>
          </w:p>
        </w:tc>
        <w:tc>
          <w:tcPr>
            <w:tcW w:type="dxa" w:w="3500"/>
            <w:tcMar>
              <w:top w:w="110" w:type="dxa"/>
              <w:start w:w="120" w:type="dxa"/>
              <w:bottom w:w="110" w:type="dxa"/>
              <w:end w:w="120" w:type="dxa"/>
            </w:tcMar>
            <w:vAlign w:val="center"/>
          </w:tcPr>
          <w:p>
            <w:pPr>
              <w:spacing w:before="0" w:after="0"/>
            </w:pPr>
            <w:r>
              <w:rPr>
                <w:sz w:val="16"/>
              </w:rPr>
              <w:t>Device value, quality, timestamp and associated ID</w:t>
            </w:r>
          </w:p>
        </w:tc>
        <w:tc>
          <w:tcPr>
            <w:tcW w:type="dxa" w:w="2760"/>
            <w:tcMar>
              <w:top w:w="110" w:type="dxa"/>
              <w:start w:w="120" w:type="dxa"/>
              <w:bottom w:w="110" w:type="dxa"/>
              <w:end w:w="120" w:type="dxa"/>
            </w:tcMar>
            <w:vAlign w:val="center"/>
          </w:tcPr>
          <w:p>
            <w:pPr>
              <w:spacing w:before="0" w:after="0"/>
            </w:pPr>
            <w:r>
              <w:rPr>
                <w:sz w:val="16"/>
              </w:rPr>
              <w:t>Observed state remains distinguishable from configuration</w:t>
            </w:r>
          </w:p>
        </w:tc>
      </w:tr>
      <w:tr>
        <w:trPr>
          <w:cantSplit/>
        </w:trPr>
        <w:tc>
          <w:tcPr>
            <w:tcW w:type="dxa" w:w="1550"/>
            <w:tcMar>
              <w:top w:w="110" w:type="dxa"/>
              <w:start w:w="120" w:type="dxa"/>
              <w:bottom w:w="110" w:type="dxa"/>
              <w:end w:w="120" w:type="dxa"/>
            </w:tcMar>
            <w:vAlign w:val="center"/>
          </w:tcPr>
          <w:p>
            <w:pPr>
              <w:spacing w:before="0" w:after="0"/>
            </w:pPr>
            <w:r>
              <w:rPr>
                <w:sz w:val="16"/>
              </w:rPr>
              <w:t>SA-CMP-03</w:t>
            </w:r>
          </w:p>
        </w:tc>
        <w:tc>
          <w:tcPr>
            <w:tcW w:type="dxa" w:w="1550"/>
            <w:tcMar>
              <w:top w:w="110" w:type="dxa"/>
              <w:start w:w="120" w:type="dxa"/>
              <w:bottom w:w="110" w:type="dxa"/>
              <w:end w:w="120" w:type="dxa"/>
            </w:tcMar>
            <w:vAlign w:val="center"/>
          </w:tcPr>
          <w:p>
            <w:pPr>
              <w:spacing w:before="0" w:after="0"/>
            </w:pPr>
            <w:r>
              <w:rPr>
                <w:sz w:val="16"/>
              </w:rPr>
              <w:t>SA-CMP-05</w:t>
            </w:r>
          </w:p>
        </w:tc>
        <w:tc>
          <w:tcPr>
            <w:tcW w:type="dxa" w:w="3500"/>
            <w:tcMar>
              <w:top w:w="110" w:type="dxa"/>
              <w:start w:w="120" w:type="dxa"/>
              <w:bottom w:w="110" w:type="dxa"/>
              <w:end w:w="120" w:type="dxa"/>
            </w:tcMar>
            <w:vAlign w:val="center"/>
          </w:tcPr>
          <w:p>
            <w:pPr>
              <w:spacing w:before="0" w:after="0"/>
            </w:pPr>
            <w:r>
              <w:rPr>
                <w:sz w:val="16"/>
              </w:rPr>
              <w:t>State revision and de-energised section set</w:t>
            </w:r>
          </w:p>
        </w:tc>
        <w:tc>
          <w:tcPr>
            <w:tcW w:type="dxa" w:w="2760"/>
            <w:tcMar>
              <w:top w:w="110" w:type="dxa"/>
              <w:start w:w="120" w:type="dxa"/>
              <w:bottom w:w="110" w:type="dxa"/>
              <w:end w:w="120" w:type="dxa"/>
            </w:tcMar>
            <w:vAlign w:val="center"/>
          </w:tcPr>
          <w:p>
            <w:pPr>
              <w:spacing w:before="0" w:after="0"/>
            </w:pPr>
            <w:r>
              <w:rPr>
                <w:sz w:val="16"/>
              </w:rPr>
              <w:t>Customer impact follows derived topology</w:t>
            </w:r>
          </w:p>
        </w:tc>
      </w:tr>
      <w:tr>
        <w:trPr>
          <w:cantSplit/>
        </w:trPr>
        <w:tc>
          <w:tcPr>
            <w:tcW w:type="dxa" w:w="1550"/>
            <w:tcMar>
              <w:top w:w="110" w:type="dxa"/>
              <w:start w:w="120" w:type="dxa"/>
              <w:bottom w:w="110" w:type="dxa"/>
              <w:end w:w="120" w:type="dxa"/>
            </w:tcMar>
            <w:vAlign w:val="center"/>
          </w:tcPr>
          <w:p>
            <w:pPr>
              <w:spacing w:before="0" w:after="0"/>
            </w:pPr>
            <w:r>
              <w:rPr>
                <w:sz w:val="16"/>
              </w:rPr>
              <w:t>SA-CMP-03</w:t>
            </w:r>
          </w:p>
        </w:tc>
        <w:tc>
          <w:tcPr>
            <w:tcW w:type="dxa" w:w="1550"/>
            <w:tcMar>
              <w:top w:w="110" w:type="dxa"/>
              <w:start w:w="120" w:type="dxa"/>
              <w:bottom w:w="110" w:type="dxa"/>
              <w:end w:w="120" w:type="dxa"/>
            </w:tcMar>
            <w:vAlign w:val="center"/>
          </w:tcPr>
          <w:p>
            <w:pPr>
              <w:spacing w:before="0" w:after="0"/>
            </w:pPr>
            <w:r>
              <w:rPr>
                <w:sz w:val="16"/>
              </w:rPr>
              <w:t>SA-CMP-04</w:t>
            </w:r>
          </w:p>
        </w:tc>
        <w:tc>
          <w:tcPr>
            <w:tcW w:type="dxa" w:w="3500"/>
            <w:tcMar>
              <w:top w:w="110" w:type="dxa"/>
              <w:start w:w="120" w:type="dxa"/>
              <w:bottom w:w="110" w:type="dxa"/>
              <w:end w:w="120" w:type="dxa"/>
            </w:tcMar>
            <w:vAlign w:val="center"/>
          </w:tcPr>
          <w:p>
            <w:pPr>
              <w:spacing w:before="0" w:after="0"/>
            </w:pPr>
            <w:r>
              <w:rPr>
                <w:sz w:val="16"/>
              </w:rPr>
              <w:t>Graph, source paths, fault isolation and proposed post-switch topology</w:t>
            </w:r>
          </w:p>
        </w:tc>
        <w:tc>
          <w:tcPr>
            <w:tcW w:type="dxa" w:w="2760"/>
            <w:tcMar>
              <w:top w:w="110" w:type="dxa"/>
              <w:start w:w="120" w:type="dxa"/>
              <w:bottom w:w="110" w:type="dxa"/>
              <w:end w:w="120" w:type="dxa"/>
            </w:tcMar>
            <w:vAlign w:val="center"/>
          </w:tcPr>
          <w:p>
            <w:pPr>
              <w:spacing w:before="0" w:after="0"/>
            </w:pPr>
            <w:r>
              <w:rPr>
                <w:sz w:val="16"/>
              </w:rPr>
              <w:t>Restoration uses current topology evidence</w:t>
            </w:r>
          </w:p>
        </w:tc>
      </w:tr>
      <w:tr>
        <w:trPr>
          <w:cantSplit/>
        </w:trPr>
        <w:tc>
          <w:tcPr>
            <w:tcW w:type="dxa" w:w="1550"/>
            <w:tcMar>
              <w:top w:w="110" w:type="dxa"/>
              <w:start w:w="120" w:type="dxa"/>
              <w:bottom w:w="110" w:type="dxa"/>
              <w:end w:w="120" w:type="dxa"/>
            </w:tcMar>
            <w:vAlign w:val="center"/>
          </w:tcPr>
          <w:p>
            <w:pPr>
              <w:spacing w:before="0" w:after="0"/>
            </w:pPr>
            <w:r>
              <w:rPr>
                <w:sz w:val="16"/>
              </w:rPr>
              <w:t>SA-CMP-02</w:t>
            </w:r>
          </w:p>
        </w:tc>
        <w:tc>
          <w:tcPr>
            <w:tcW w:type="dxa" w:w="1550"/>
            <w:tcMar>
              <w:top w:w="110" w:type="dxa"/>
              <w:start w:w="120" w:type="dxa"/>
              <w:bottom w:w="110" w:type="dxa"/>
              <w:end w:w="120" w:type="dxa"/>
            </w:tcMar>
            <w:vAlign w:val="center"/>
          </w:tcPr>
          <w:p>
            <w:pPr>
              <w:spacing w:before="0" w:after="0"/>
            </w:pPr>
            <w:r>
              <w:rPr>
                <w:sz w:val="16"/>
              </w:rPr>
              <w:t>SA-CMP-04</w:t>
            </w:r>
          </w:p>
        </w:tc>
        <w:tc>
          <w:tcPr>
            <w:tcW w:type="dxa" w:w="3500"/>
            <w:tcMar>
              <w:top w:w="110" w:type="dxa"/>
              <w:start w:w="120" w:type="dxa"/>
              <w:bottom w:w="110" w:type="dxa"/>
              <w:end w:w="120" w:type="dxa"/>
            </w:tcMar>
            <w:vAlign w:val="center"/>
          </w:tcPr>
          <w:p>
            <w:pPr>
              <w:spacing w:before="0" w:after="0"/>
            </w:pPr>
            <w:r>
              <w:rPr>
                <w:sz w:val="16"/>
              </w:rPr>
              <w:t>Required point values, quality, timestamp, age/freshness</w:t>
            </w:r>
          </w:p>
        </w:tc>
        <w:tc>
          <w:tcPr>
            <w:tcW w:type="dxa" w:w="2760"/>
            <w:tcMar>
              <w:top w:w="110" w:type="dxa"/>
              <w:start w:w="120" w:type="dxa"/>
              <w:bottom w:w="110" w:type="dxa"/>
              <w:end w:w="120" w:type="dxa"/>
            </w:tcMar>
            <w:vAlign w:val="center"/>
          </w:tcPr>
          <w:p>
            <w:pPr>
              <w:spacing w:before="0" w:after="0"/>
            </w:pPr>
            <w:r>
              <w:rPr>
                <w:sz w:val="16"/>
              </w:rPr>
              <w:t>Invalid evidence produces BLOCKED</w:t>
            </w:r>
          </w:p>
        </w:tc>
      </w:tr>
      <w:tr>
        <w:trPr>
          <w:cantSplit/>
        </w:trPr>
        <w:tc>
          <w:tcPr>
            <w:tcW w:type="dxa" w:w="1550"/>
            <w:tcMar>
              <w:top w:w="110" w:type="dxa"/>
              <w:start w:w="120" w:type="dxa"/>
              <w:bottom w:w="110" w:type="dxa"/>
              <w:end w:w="120" w:type="dxa"/>
            </w:tcMar>
            <w:vAlign w:val="center"/>
          </w:tcPr>
          <w:p>
            <w:pPr>
              <w:spacing w:before="0" w:after="0"/>
            </w:pPr>
            <w:r>
              <w:rPr>
                <w:sz w:val="16"/>
              </w:rPr>
              <w:t>SA-CMP-04</w:t>
            </w:r>
          </w:p>
        </w:tc>
        <w:tc>
          <w:tcPr>
            <w:tcW w:type="dxa" w:w="1550"/>
            <w:tcMar>
              <w:top w:w="110" w:type="dxa"/>
              <w:start w:w="120" w:type="dxa"/>
              <w:bottom w:w="110" w:type="dxa"/>
              <w:end w:w="120" w:type="dxa"/>
            </w:tcMar>
            <w:vAlign w:val="center"/>
          </w:tcPr>
          <w:p>
            <w:pPr>
              <w:spacing w:before="0" w:after="0"/>
            </w:pPr>
            <w:r>
              <w:rPr>
                <w:sz w:val="16"/>
              </w:rPr>
              <w:t>SA-CMP-07</w:t>
            </w:r>
          </w:p>
        </w:tc>
        <w:tc>
          <w:tcPr>
            <w:tcW w:type="dxa" w:w="3500"/>
            <w:tcMar>
              <w:top w:w="110" w:type="dxa"/>
              <w:start w:w="120" w:type="dxa"/>
              <w:bottom w:w="110" w:type="dxa"/>
              <w:end w:w="120" w:type="dxa"/>
            </w:tcMar>
            <w:vAlign w:val="center"/>
          </w:tcPr>
          <w:p>
            <w:pPr>
              <w:spacing w:before="0" w:after="0"/>
            </w:pPr>
            <w:r>
              <w:rPr>
                <w:sz w:val="16"/>
              </w:rPr>
              <w:t>Assessment ID, status, run and state revision</w:t>
            </w:r>
          </w:p>
        </w:tc>
        <w:tc>
          <w:tcPr>
            <w:tcW w:type="dxa" w:w="2760"/>
            <w:tcMar>
              <w:top w:w="110" w:type="dxa"/>
              <w:start w:w="120" w:type="dxa"/>
              <w:bottom w:w="110" w:type="dxa"/>
              <w:end w:w="120" w:type="dxa"/>
            </w:tcMar>
            <w:vAlign w:val="center"/>
          </w:tcPr>
          <w:p>
            <w:pPr>
              <w:spacing w:before="0" w:after="0"/>
            </w:pPr>
            <w:r>
              <w:rPr>
                <w:sz w:val="16"/>
              </w:rPr>
              <w:t>Execution allowed only for current PERMITTED result</w:t>
            </w:r>
          </w:p>
        </w:tc>
      </w:tr>
      <w:tr>
        <w:trPr>
          <w:cantSplit/>
        </w:trPr>
        <w:tc>
          <w:tcPr>
            <w:tcW w:type="dxa" w:w="1550"/>
            <w:tcMar>
              <w:top w:w="110" w:type="dxa"/>
              <w:start w:w="120" w:type="dxa"/>
              <w:bottom w:w="110" w:type="dxa"/>
              <w:end w:w="120" w:type="dxa"/>
            </w:tcMar>
            <w:vAlign w:val="center"/>
          </w:tcPr>
          <w:p>
            <w:pPr>
              <w:spacing w:before="0" w:after="0"/>
            </w:pPr>
            <w:r>
              <w:rPr>
                <w:sz w:val="16"/>
              </w:rPr>
              <w:t>All operational components</w:t>
            </w:r>
          </w:p>
        </w:tc>
        <w:tc>
          <w:tcPr>
            <w:tcW w:type="dxa" w:w="1550"/>
            <w:tcMar>
              <w:top w:w="110" w:type="dxa"/>
              <w:start w:w="120" w:type="dxa"/>
              <w:bottom w:w="110" w:type="dxa"/>
              <w:end w:w="120" w:type="dxa"/>
            </w:tcMar>
            <w:vAlign w:val="center"/>
          </w:tcPr>
          <w:p>
            <w:pPr>
              <w:spacing w:before="0" w:after="0"/>
            </w:pPr>
            <w:r>
              <w:rPr>
                <w:sz w:val="16"/>
              </w:rPr>
              <w:t>SA-CMP-06</w:t>
            </w:r>
          </w:p>
        </w:tc>
        <w:tc>
          <w:tcPr>
            <w:tcW w:type="dxa" w:w="3500"/>
            <w:tcMar>
              <w:top w:w="110" w:type="dxa"/>
              <w:start w:w="120" w:type="dxa"/>
              <w:bottom w:w="110" w:type="dxa"/>
              <w:end w:w="120" w:type="dxa"/>
            </w:tcMar>
            <w:vAlign w:val="center"/>
          </w:tcPr>
          <w:p>
            <w:pPr>
              <w:spacing w:before="0" w:after="0"/>
            </w:pPr>
            <w:r>
              <w:rPr>
                <w:sz w:val="16"/>
              </w:rPr>
              <w:t>Typed event with run context</w:t>
            </w:r>
          </w:p>
        </w:tc>
        <w:tc>
          <w:tcPr>
            <w:tcW w:type="dxa" w:w="2760"/>
            <w:tcMar>
              <w:top w:w="110" w:type="dxa"/>
              <w:start w:w="120" w:type="dxa"/>
              <w:bottom w:w="110" w:type="dxa"/>
              <w:end w:w="120" w:type="dxa"/>
            </w:tcMar>
            <w:vAlign w:val="center"/>
          </w:tcPr>
          <w:p>
            <w:pPr>
              <w:spacing w:before="0" w:after="0"/>
            </w:pPr>
            <w:r>
              <w:rPr>
                <w:sz w:val="16"/>
              </w:rPr>
              <w:t>Event history is append-only</w:t>
            </w:r>
          </w:p>
        </w:tc>
      </w:tr>
      <w:tr>
        <w:trPr>
          <w:cantSplit/>
        </w:trPr>
        <w:tc>
          <w:tcPr>
            <w:tcW w:type="dxa" w:w="1550"/>
            <w:tcMar>
              <w:top w:w="110" w:type="dxa"/>
              <w:start w:w="120" w:type="dxa"/>
              <w:bottom w:w="110" w:type="dxa"/>
              <w:end w:w="120" w:type="dxa"/>
            </w:tcMar>
            <w:vAlign w:val="center"/>
          </w:tcPr>
          <w:p>
            <w:pPr>
              <w:spacing w:before="0" w:after="0"/>
            </w:pPr>
            <w:r>
              <w:rPr>
                <w:sz w:val="16"/>
              </w:rPr>
              <w:t>Operational components</w:t>
            </w:r>
          </w:p>
        </w:tc>
        <w:tc>
          <w:tcPr>
            <w:tcW w:type="dxa" w:w="1550"/>
            <w:tcMar>
              <w:top w:w="110" w:type="dxa"/>
              <w:start w:w="120" w:type="dxa"/>
              <w:bottom w:w="110" w:type="dxa"/>
              <w:end w:w="120" w:type="dxa"/>
            </w:tcMar>
            <w:vAlign w:val="center"/>
          </w:tcPr>
          <w:p>
            <w:pPr>
              <w:spacing w:before="0" w:after="0"/>
            </w:pPr>
            <w:r>
              <w:rPr>
                <w:sz w:val="16"/>
              </w:rPr>
              <w:t>SA-CMP-08</w:t>
            </w:r>
          </w:p>
        </w:tc>
        <w:tc>
          <w:tcPr>
            <w:tcW w:type="dxa" w:w="3500"/>
            <w:tcMar>
              <w:top w:w="110" w:type="dxa"/>
              <w:start w:w="120" w:type="dxa"/>
              <w:bottom w:w="110" w:type="dxa"/>
              <w:end w:w="120" w:type="dxa"/>
            </w:tcMar>
            <w:vAlign w:val="center"/>
          </w:tcPr>
          <w:p>
            <w:pPr>
              <w:spacing w:before="0" w:after="0"/>
            </w:pPr>
            <w:r>
              <w:rPr>
                <w:sz w:val="16"/>
              </w:rPr>
              <w:t>Referenced snapshots and event/calculation IDs</w:t>
            </w:r>
          </w:p>
        </w:tc>
        <w:tc>
          <w:tcPr>
            <w:tcW w:type="dxa" w:w="2760"/>
            <w:tcMar>
              <w:top w:w="110" w:type="dxa"/>
              <w:start w:w="120" w:type="dxa"/>
              <w:bottom w:w="110" w:type="dxa"/>
              <w:end w:w="120" w:type="dxa"/>
            </w:tcMar>
            <w:vAlign w:val="center"/>
          </w:tcPr>
          <w:p>
            <w:pPr>
              <w:spacing w:before="0" w:after="0"/>
            </w:pPr>
            <w:r>
              <w:rPr>
                <w:sz w:val="16"/>
              </w:rPr>
              <w:t>Validation evidence is captured without changing operational records</w:t>
            </w:r>
          </w:p>
        </w:tc>
      </w:tr>
      <w:tr>
        <w:trPr>
          <w:cantSplit/>
        </w:trPr>
        <w:tc>
          <w:tcPr>
            <w:tcW w:type="dxa" w:w="1550"/>
            <w:tcMar>
              <w:top w:w="110" w:type="dxa"/>
              <w:start w:w="120" w:type="dxa"/>
              <w:bottom w:w="110" w:type="dxa"/>
              <w:end w:w="120" w:type="dxa"/>
            </w:tcMar>
            <w:vAlign w:val="center"/>
          </w:tcPr>
          <w:p>
            <w:pPr>
              <w:spacing w:before="0" w:after="0"/>
            </w:pPr>
            <w:r>
              <w:rPr>
                <w:sz w:val="16"/>
              </w:rPr>
              <w:t>SA-CMP-09</w:t>
            </w:r>
          </w:p>
        </w:tc>
        <w:tc>
          <w:tcPr>
            <w:tcW w:type="dxa" w:w="1550"/>
            <w:tcMar>
              <w:top w:w="110" w:type="dxa"/>
              <w:start w:w="120" w:type="dxa"/>
              <w:bottom w:w="110" w:type="dxa"/>
              <w:end w:w="120" w:type="dxa"/>
            </w:tcMar>
            <w:vAlign w:val="center"/>
          </w:tcPr>
          <w:p>
            <w:pPr>
              <w:spacing w:before="0" w:after="0"/>
            </w:pPr>
            <w:r>
              <w:rPr>
                <w:sz w:val="16"/>
              </w:rPr>
              <w:t>SA-CMP-07</w:t>
            </w:r>
          </w:p>
        </w:tc>
        <w:tc>
          <w:tcPr>
            <w:tcW w:type="dxa" w:w="3500"/>
            <w:tcMar>
              <w:top w:w="110" w:type="dxa"/>
              <w:start w:w="120" w:type="dxa"/>
              <w:bottom w:w="110" w:type="dxa"/>
              <w:end w:w="120" w:type="dxa"/>
            </w:tcMar>
            <w:vAlign w:val="center"/>
          </w:tcPr>
          <w:p>
            <w:pPr>
              <w:spacing w:before="0" w:after="0"/>
            </w:pPr>
            <w:r>
              <w:rPr>
                <w:sz w:val="16"/>
              </w:rPr>
              <w:t>Defined user command and current run context</w:t>
            </w:r>
          </w:p>
        </w:tc>
        <w:tc>
          <w:tcPr>
            <w:tcW w:type="dxa" w:w="2760"/>
            <w:tcMar>
              <w:top w:w="110" w:type="dxa"/>
              <w:start w:w="120" w:type="dxa"/>
              <w:bottom w:w="110" w:type="dxa"/>
              <w:end w:w="120" w:type="dxa"/>
            </w:tcMar>
            <w:vAlign w:val="center"/>
          </w:tcPr>
          <w:p>
            <w:pPr>
              <w:spacing w:before="0" w:after="0"/>
            </w:pPr>
            <w:r>
              <w:rPr>
                <w:sz w:val="16"/>
              </w:rPr>
              <w:t>Presentation invokes commands; it does not mutate stores directly</w:t>
            </w:r>
          </w:p>
        </w:tc>
      </w:tr>
    </w:tbl>
    <w:p>
      <w:pPr>
        <w:spacing w:after="60"/>
      </w:pPr>
    </w:p>
    <w:p>
      <w:pPr>
        <w:pStyle w:val="Heading1"/>
        <w:pageBreakBefore/>
      </w:pPr>
      <w:r>
        <w:t>16. Deterministic Processing Transaction</w:t>
      </w:r>
    </w:p>
    <w:p>
      <w:pPr>
        <w:keepLines/>
        <w:spacing w:before="240" w:after="240"/>
      </w:pPr>
      <w:r>
        <w:rPr>
          <w:i w:val="0"/>
        </w:rPr>
        <w:t>A simulated action is processed as an ordered transaction so that the cross-system consequence and event history are reproducible. The architecture does not require asynchronous distributed messaging; it requires explicit responsibility and sequence.</w:t>
      </w:r>
    </w:p>
    <w:p>
      <w:pPr>
        <w:jc w:val="center"/>
      </w:pPr>
      <w:r>
        <w:drawing>
          <wp:inline>
            <wp:extent cx="5897880" cy="3342132"/>
            <wp:docPr id="2" name="Picture 2" title="Deterministic processing transaction" descr="Scenario action or simulated operation and observed state update feed topology, restoration, outage and evidence processing within one deterministic transaction."/>
            <wp:cNvGraphicFramePr>
              <a:graphicFrameLocks noChangeAspect="1"/>
            </wp:cNvGraphicFramePr>
            <a:graphic>
              <a:graphicData uri="http://schemas.openxmlformats.org/drawingml/2006/picture">
                <pic:pic>
                  <pic:nvPicPr>
                    <pic:cNvPr id="0" name="deterministic-processing.png"/>
                    <pic:cNvPicPr/>
                  </pic:nvPicPr>
                  <pic:blipFill>
                    <a:blip r:embed="rId9"/>
                    <a:stretch>
                      <a:fillRect/>
                    </a:stretch>
                  </pic:blipFill>
                  <pic:spPr>
                    <a:xfrm>
                      <a:off x="0" y="0"/>
                      <a:ext cx="5897880" cy="3342132"/>
                    </a:xfrm>
                    <a:prstGeom prst="rect"/>
                  </pic:spPr>
                </pic:pic>
              </a:graphicData>
            </a:graphic>
          </wp:inline>
        </w:drawing>
      </w:r>
    </w:p>
    <w:p>
      <w:pPr>
        <w:spacing w:before="60" w:after="240"/>
        <w:jc w:val="center"/>
      </w:pPr>
      <w:r>
        <w:rPr>
          <w:i/>
          <w:color w:val="434343"/>
          <w:sz w:val="18"/>
        </w:rPr>
        <w:t>Figure 2 — Deterministic V1 processing and evidence sequence</w:t>
      </w:r>
    </w:p>
    <w:p>
      <w:pPr>
        <w:pStyle w:val="Heading2"/>
      </w:pPr>
      <w:r>
        <w:t>16.1 State-Changing Action Sequence</w:t>
      </w:r>
    </w:p>
    <w:p>
      <w:pPr>
        <w:numPr>
          <w:ilvl w:val="0"/>
          <w:numId w:val="5"/>
        </w:numPr>
        <w:keepLines/>
        <w:spacing w:before="240" w:after="0"/>
      </w:pPr>
      <w:r>
        <w:t>Scenario Control validates that the requested simulated action is available in the current workflow.</w:t>
      </w:r>
    </w:p>
    <w:p>
      <w:pPr>
        <w:numPr>
          <w:ilvl w:val="0"/>
          <w:numId w:val="5"/>
        </w:numPr>
        <w:keepLines/>
        <w:spacing w:before="0" w:after="0"/>
      </w:pPr>
      <w:r>
        <w:t>SCADA/Telemetry or Scenario Control applies the observed/scenario state change and advances the controlled time where defined.</w:t>
      </w:r>
    </w:p>
    <w:p>
      <w:pPr>
        <w:numPr>
          <w:ilvl w:val="0"/>
          <w:numId w:val="5"/>
        </w:numPr>
        <w:keepLines/>
        <w:spacing w:before="0" w:after="0"/>
      </w:pPr>
      <w:r>
        <w:t>The Event/Audit component records the initiating action or state transition.</w:t>
      </w:r>
    </w:p>
    <w:p>
      <w:pPr>
        <w:numPr>
          <w:ilvl w:val="0"/>
          <w:numId w:val="5"/>
        </w:numPr>
        <w:keepLines/>
        <w:spacing w:before="0" w:after="0"/>
      </w:pPr>
      <w:r>
        <w:t>ADMS Topology increments the state revision and recalculates active topology, source paths and energisation.</w:t>
      </w:r>
    </w:p>
    <w:p>
      <w:pPr>
        <w:numPr>
          <w:ilvl w:val="0"/>
          <w:numId w:val="5"/>
        </w:numPr>
        <w:keepLines/>
        <w:spacing w:before="0" w:after="0"/>
      </w:pPr>
      <w:r>
        <w:t>OMS recalculates outage extent and customer impact from the new derived state.</w:t>
      </w:r>
    </w:p>
    <w:p>
      <w:pPr>
        <w:numPr>
          <w:ilvl w:val="0"/>
          <w:numId w:val="5"/>
        </w:numPr>
        <w:keepLines/>
        <w:spacing w:before="0" w:after="0"/>
      </w:pPr>
      <w:r>
        <w:t>Any prior restoration assessment bound to an older revision is invalidated.</w:t>
      </w:r>
    </w:p>
    <w:p>
      <w:pPr>
        <w:numPr>
          <w:ilvl w:val="0"/>
          <w:numId w:val="5"/>
        </w:numPr>
        <w:keepLines/>
        <w:spacing w:before="0" w:after="0"/>
      </w:pPr>
      <w:r>
        <w:t>Operational recalculation events are appended in deterministic order.</w:t>
      </w:r>
    </w:p>
    <w:p>
      <w:pPr>
        <w:numPr>
          <w:ilvl w:val="0"/>
          <w:numId w:val="5"/>
        </w:numPr>
        <w:keepLines/>
        <w:spacing w:before="0" w:after="240"/>
      </w:pPr>
      <w:r>
        <w:t>The Workspace reads the completed transaction state; a formal test may capture immutable evidence at that revision.</w:t>
      </w:r>
    </w:p>
    <w:p>
      <w:pPr>
        <w:pStyle w:val="Heading2"/>
      </w:pPr>
      <w:r>
        <w:t>16.2 Assessment-Only Sequence</w:t>
      </w:r>
    </w:p>
    <w:p>
      <w:pPr>
        <w:keepLines/>
        <w:spacing w:before="240" w:after="240"/>
      </w:pPr>
      <w:r>
        <w:rPr>
          <w:i w:val="0"/>
        </w:rPr>
        <w:t>A restoration assessment does not change device state. It reads the current run revision, identifies a candidate where one exists, evaluates required telemetry and engineering permissives, records evidence and creates a traceable assessment event. N4 therefore becomes a new engineering decision state without a new electrical topology.</w:t>
      </w:r>
    </w:p>
    <w:p>
      <w:pPr>
        <w:pStyle w:val="Heading1"/>
      </w:pPr>
      <w:r>
        <w:t>17. Scenario Modes and Lifecycle</w:t>
      </w:r>
    </w:p>
    <w:p>
      <w:pPr>
        <w:pStyle w:val="Heading2"/>
      </w:pPr>
      <w:r>
        <w:t>17.1 Formal Validation Mode</w:t>
      </w:r>
    </w:p>
    <w:p>
      <w:pPr>
        <w:numPr>
          <w:ilvl w:val="0"/>
          <w:numId w:val="5"/>
        </w:numPr>
        <w:keepLines/>
        <w:spacing w:before="240" w:after="0"/>
      </w:pPr>
      <w:r>
        <w:t>selects an approved formal test definition rather than accepting free-form scenario definition;</w:t>
      </w:r>
    </w:p>
    <w:p>
      <w:pPr>
        <w:numPr>
          <w:ilvl w:val="0"/>
          <w:numId w:val="5"/>
        </w:numPr>
        <w:keepLines/>
        <w:spacing w:before="0" w:after="0"/>
      </w:pPr>
      <w:r>
        <w:t>uses the test-specified configuration version and initial conditions;</w:t>
      </w:r>
    </w:p>
    <w:p>
      <w:pPr>
        <w:numPr>
          <w:ilvl w:val="0"/>
          <w:numId w:val="5"/>
        </w:numPr>
        <w:keepLines/>
        <w:spacing w:before="0" w:after="0"/>
      </w:pPr>
      <w:r>
        <w:t>fixes the formal fault location to SEC-A2 where the controlled scenario requires it;</w:t>
      </w:r>
    </w:p>
    <w:p>
      <w:pPr>
        <w:numPr>
          <w:ilvl w:val="0"/>
          <w:numId w:val="5"/>
        </w:numPr>
        <w:keepLines/>
        <w:spacing w:before="0" w:after="0"/>
      </w:pPr>
      <w:r>
        <w:t>uses engineering expected results that cannot be rewritten by the execution;</w:t>
      </w:r>
    </w:p>
    <w:p>
      <w:pPr>
        <w:numPr>
          <w:ilvl w:val="0"/>
          <w:numId w:val="5"/>
        </w:numPr>
        <w:keepLines/>
        <w:spacing w:before="0" w:after="240"/>
      </w:pPr>
      <w:r>
        <w:t>creates FORMAL evidence and a separate validation execution record.</w:t>
      </w:r>
    </w:p>
    <w:p>
      <w:pPr>
        <w:keepLines/>
        <w:spacing w:before="240" w:after="240"/>
      </w:pPr>
      <w:r>
        <w:rPr>
          <w:i w:val="0"/>
        </w:rPr>
        <w:t>The intended N0–N5 answer key is evaluated using corrected v1.1 connectivity. The seeded-defect test deliberately uses v1.0, records its FAIL result, and is then repeated against v1.1 as a separately preserved execution.</w:t>
      </w:r>
    </w:p>
    <w:p>
      <w:pPr>
        <w:pStyle w:val="Heading2"/>
      </w:pPr>
      <w:r>
        <w:t>17.2 Exploration Mode</w:t>
      </w:r>
    </w:p>
    <w:p>
      <w:pPr>
        <w:numPr>
          <w:ilvl w:val="0"/>
          <w:numId w:val="5"/>
        </w:numPr>
        <w:keepLines/>
        <w:spacing w:before="240" w:after="0"/>
      </w:pPr>
      <w:r>
        <w:t>uses corrected v1.1 connectivity as the ordinary exploration baseline;</w:t>
      </w:r>
    </w:p>
    <w:p>
      <w:pPr>
        <w:numPr>
          <w:ilvl w:val="0"/>
          <w:numId w:val="5"/>
        </w:numPr>
        <w:keepLines/>
        <w:spacing w:before="0" w:after="0"/>
      </w:pPr>
      <w:r>
        <w:t>allows selection of any represented SEC-A1–SEC-A4 or SEC-B1–SEC-B4 section as transient fault input;</w:t>
      </w:r>
    </w:p>
    <w:p>
      <w:pPr>
        <w:numPr>
          <w:ilvl w:val="0"/>
          <w:numId w:val="5"/>
        </w:numPr>
        <w:keepLines/>
        <w:spacing w:before="0" w:after="0"/>
      </w:pPr>
      <w:r>
        <w:t>derives feeder roles, outage extent, customer impact and restoration opportunity generically;</w:t>
      </w:r>
    </w:p>
    <w:p>
      <w:pPr>
        <w:numPr>
          <w:ilvl w:val="0"/>
          <w:numId w:val="5"/>
        </w:numPr>
        <w:keepLines/>
        <w:spacing w:before="0" w:after="0"/>
      </w:pPr>
      <w:r>
        <w:t>retains the fixed abstract fault type and defined feeder-protection consequence;</w:t>
      </w:r>
    </w:p>
    <w:p>
      <w:pPr>
        <w:numPr>
          <w:ilvl w:val="0"/>
          <w:numId w:val="5"/>
        </w:numPr>
        <w:keepLines/>
        <w:spacing w:before="0" w:after="0"/>
      </w:pPr>
      <w:r>
        <w:t>may produce no candidate, PERMITTED, REJECTED or BLOCKED;</w:t>
      </w:r>
    </w:p>
    <w:p>
      <w:pPr>
        <w:numPr>
          <w:ilvl w:val="0"/>
          <w:numId w:val="5"/>
        </w:numPr>
        <w:keepLines/>
        <w:spacing w:before="0" w:after="240"/>
      </w:pPr>
      <w:r>
        <w:t>classifies outputs as EXPLORATORY rather than formal validation evidence.</w:t>
      </w:r>
    </w:p>
    <w:p>
      <w:pPr>
        <w:pStyle w:val="Heading2"/>
      </w:pPr>
      <w:r>
        <w:t>17.3 Mode Separation</w:t>
      </w:r>
    </w:p>
    <w:p>
      <w:pPr>
        <w:keepLines/>
        <w:spacing w:before="240" w:after="240"/>
      </w:pPr>
      <w:r>
        <w:rPr>
          <w:i w:val="0"/>
        </w:rPr>
        <w:t>Mode is established at run initialisation and displayed throughout the run. Exploration selections cannot modify a formal test definition, its expected result or its evidence. To convert an exploratory case into formal evidence, the case must be separately specified, reviewed and executed as a controlled validation test.</w:t>
      </w:r>
    </w:p>
    <w:p>
      <w:pPr>
        <w:pStyle w:val="Heading2"/>
      </w:pPr>
      <w:r>
        <w:t>17.4 N0–N5 Architecture Mapping</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
        <w:gridCol w:w="3500"/>
        <w:gridCol w:w="4960"/>
      </w:tblGrid>
      <w:tr>
        <w:trPr>
          <w:tblHeader w:val="true"/>
          <w:cantSplit/>
        </w:trPr>
        <w:tc>
          <w:tcPr>
            <w:tcW w:type="dxa" w:w="1"/>
            <w:shd w:fill="E7E6E6"/>
            <w:tcMar>
              <w:top w:w="110" w:type="dxa"/>
              <w:start w:w="120" w:type="dxa"/>
              <w:bottom w:w="110" w:type="dxa"/>
              <w:end w:w="120" w:type="dxa"/>
            </w:tcMar>
            <w:vAlign w:val="center"/>
          </w:tcPr>
          <w:p>
            <w:pPr>
              <w:spacing w:before="0" w:after="0"/>
              <w:jc w:val="center"/>
            </w:pPr>
            <w:r>
              <w:rPr>
                <w:b/>
                <w:sz w:val="17"/>
              </w:rPr>
              <w:t>State</w:t>
            </w:r>
          </w:p>
        </w:tc>
        <w:tc>
          <w:tcPr>
            <w:tcW w:type="dxa" w:w="6"/>
            <w:shd w:fill="E7E6E6"/>
            <w:tcMar>
              <w:top w:w="110" w:type="dxa"/>
              <w:start w:w="120" w:type="dxa"/>
              <w:bottom w:w="110" w:type="dxa"/>
              <w:end w:w="120" w:type="dxa"/>
            </w:tcMar>
            <w:vAlign w:val="center"/>
          </w:tcPr>
          <w:p>
            <w:pPr>
              <w:spacing w:before="0" w:after="0"/>
              <w:jc w:val="center"/>
            </w:pPr>
            <w:r>
              <w:rPr>
                <w:b/>
                <w:sz w:val="17"/>
              </w:rPr>
              <w:t>Primary input/action</w:t>
            </w:r>
          </w:p>
        </w:tc>
        <w:tc>
          <w:tcPr>
            <w:tcW w:type="dxa" w:w="8"/>
            <w:shd w:fill="E7E6E6"/>
            <w:tcMar>
              <w:top w:w="110" w:type="dxa"/>
              <w:start w:w="120" w:type="dxa"/>
              <w:bottom w:w="110" w:type="dxa"/>
              <w:end w:w="120" w:type="dxa"/>
            </w:tcMar>
            <w:vAlign w:val="center"/>
          </w:tcPr>
          <w:p>
            <w:pPr>
              <w:spacing w:before="0" w:after="0"/>
              <w:jc w:val="center"/>
            </w:pPr>
            <w:r>
              <w:rPr>
                <w:b/>
                <w:sz w:val="17"/>
              </w:rPr>
              <w:t>Architectural result</w:t>
            </w:r>
          </w:p>
        </w:tc>
      </w:tr>
      <w:tr>
        <w:trPr>
          <w:cantSplit/>
        </w:trPr>
        <w:tc>
          <w:tcPr>
            <w:tcW w:type="dxa" w:w="900"/>
            <w:tcMar>
              <w:top w:w="110" w:type="dxa"/>
              <w:start w:w="120" w:type="dxa"/>
              <w:bottom w:w="110" w:type="dxa"/>
              <w:end w:w="120" w:type="dxa"/>
            </w:tcMar>
            <w:vAlign w:val="center"/>
          </w:tcPr>
          <w:p>
            <w:pPr>
              <w:spacing w:before="0" w:after="0"/>
            </w:pPr>
            <w:r>
              <w:rPr>
                <w:rFonts w:ascii="Roboto Mono" w:hAnsi="Roboto Mono"/>
                <w:color w:val="188038"/>
                <w:sz w:val="17"/>
              </w:rPr>
              <w:t>N0</w:t>
            </w:r>
          </w:p>
        </w:tc>
        <w:tc>
          <w:tcPr>
            <w:tcW w:type="dxa" w:w="3500"/>
            <w:tcMar>
              <w:top w:w="110" w:type="dxa"/>
              <w:start w:w="120" w:type="dxa"/>
              <w:bottom w:w="110" w:type="dxa"/>
              <w:end w:w="120" w:type="dxa"/>
            </w:tcMar>
            <w:vAlign w:val="center"/>
          </w:tcPr>
          <w:p>
            <w:pPr>
              <w:spacing w:before="0" w:after="0"/>
            </w:pPr>
            <w:r>
              <w:rPr>
                <w:sz w:val="17"/>
              </w:rPr>
              <w:t>Initialise corrected v1.1 normal state</w:t>
            </w:r>
          </w:p>
        </w:tc>
        <w:tc>
          <w:tcPr>
            <w:tcW w:type="dxa" w:w="4960"/>
            <w:tcMar>
              <w:top w:w="110" w:type="dxa"/>
              <w:start w:w="120" w:type="dxa"/>
              <w:bottom w:w="110" w:type="dxa"/>
              <w:end w:w="120" w:type="dxa"/>
            </w:tcMar>
            <w:vAlign w:val="center"/>
          </w:tcPr>
          <w:p>
            <w:pPr>
              <w:spacing w:before="0" w:after="0"/>
            </w:pPr>
            <w:r>
              <w:rPr>
                <w:sz w:val="17"/>
              </w:rPr>
              <w:t>A1–A4 from FDR-A; B1–B4 from FDR-B; no outage</w:t>
            </w:r>
          </w:p>
        </w:tc>
      </w:tr>
      <w:tr>
        <w:trPr>
          <w:cantSplit/>
        </w:trPr>
        <w:tc>
          <w:tcPr>
            <w:tcW w:type="dxa" w:w="900"/>
            <w:tcMar>
              <w:top w:w="110" w:type="dxa"/>
              <w:start w:w="120" w:type="dxa"/>
              <w:bottom w:w="110" w:type="dxa"/>
              <w:end w:w="120" w:type="dxa"/>
            </w:tcMar>
            <w:vAlign w:val="center"/>
          </w:tcPr>
          <w:p>
            <w:pPr>
              <w:spacing w:before="0" w:after="0"/>
            </w:pPr>
            <w:r>
              <w:rPr>
                <w:rFonts w:ascii="Roboto Mono" w:hAnsi="Roboto Mono"/>
                <w:color w:val="188038"/>
                <w:sz w:val="17"/>
              </w:rPr>
              <w:t>N1</w:t>
            </w:r>
          </w:p>
        </w:tc>
        <w:tc>
          <w:tcPr>
            <w:tcW w:type="dxa" w:w="3500"/>
            <w:tcMar>
              <w:top w:w="110" w:type="dxa"/>
              <w:start w:w="120" w:type="dxa"/>
              <w:bottom w:w="110" w:type="dxa"/>
              <w:end w:w="120" w:type="dxa"/>
            </w:tcMar>
            <w:vAlign w:val="center"/>
          </w:tcPr>
          <w:p>
            <w:pPr>
              <w:spacing w:before="0" w:after="0"/>
            </w:pPr>
            <w:r>
              <w:rPr>
                <w:sz w:val="17"/>
              </w:rPr>
              <w:t>SEC-A2 fault and BRK-A OPEN telemetry</w:t>
            </w:r>
          </w:p>
        </w:tc>
        <w:tc>
          <w:tcPr>
            <w:tcW w:type="dxa" w:w="4960"/>
            <w:tcMar>
              <w:top w:w="110" w:type="dxa"/>
              <w:start w:w="120" w:type="dxa"/>
              <w:bottom w:w="110" w:type="dxa"/>
              <w:end w:w="120" w:type="dxa"/>
            </w:tcMar>
            <w:vAlign w:val="center"/>
          </w:tcPr>
          <w:p>
            <w:pPr>
              <w:spacing w:before="0" w:after="0"/>
            </w:pPr>
            <w:r>
              <w:rPr>
                <w:sz w:val="17"/>
              </w:rPr>
              <w:t>ADMS de-energises A1–A4; OMS reports 850 affected</w:t>
            </w:r>
          </w:p>
        </w:tc>
      </w:tr>
      <w:tr>
        <w:trPr>
          <w:cantSplit/>
        </w:trPr>
        <w:tc>
          <w:tcPr>
            <w:tcW w:type="dxa" w:w="900"/>
            <w:tcMar>
              <w:top w:w="110" w:type="dxa"/>
              <w:start w:w="120" w:type="dxa"/>
              <w:bottom w:w="110" w:type="dxa"/>
              <w:end w:w="120" w:type="dxa"/>
            </w:tcMar>
            <w:vAlign w:val="center"/>
          </w:tcPr>
          <w:p>
            <w:pPr>
              <w:spacing w:before="0" w:after="0"/>
            </w:pPr>
            <w:r>
              <w:rPr>
                <w:rFonts w:ascii="Roboto Mono" w:hAnsi="Roboto Mono"/>
                <w:color w:val="188038"/>
                <w:sz w:val="17"/>
              </w:rPr>
              <w:t>N2</w:t>
            </w:r>
          </w:p>
        </w:tc>
        <w:tc>
          <w:tcPr>
            <w:tcW w:type="dxa" w:w="3500"/>
            <w:tcMar>
              <w:top w:w="110" w:type="dxa"/>
              <w:start w:w="120" w:type="dxa"/>
              <w:bottom w:w="110" w:type="dxa"/>
              <w:end w:w="120" w:type="dxa"/>
            </w:tcMar>
            <w:vAlign w:val="center"/>
          </w:tcPr>
          <w:p>
            <w:pPr>
              <w:spacing w:before="0" w:after="0"/>
            </w:pPr>
            <w:r>
              <w:rPr>
                <w:sz w:val="17"/>
              </w:rPr>
              <w:t>SW-A12 and SW-A23 OPEN</w:t>
            </w:r>
          </w:p>
        </w:tc>
        <w:tc>
          <w:tcPr>
            <w:tcW w:type="dxa" w:w="4960"/>
            <w:tcMar>
              <w:top w:w="110" w:type="dxa"/>
              <w:start w:w="120" w:type="dxa"/>
              <w:bottom w:w="110" w:type="dxa"/>
              <w:end w:w="120" w:type="dxa"/>
            </w:tcMar>
            <w:vAlign w:val="center"/>
          </w:tcPr>
          <w:p>
            <w:pPr>
              <w:spacing w:before="0" w:after="0"/>
            </w:pPr>
            <w:r>
              <w:rPr>
                <w:sz w:val="17"/>
              </w:rPr>
              <w:t>Fault isolation boundaries established; 850 remain affected</w:t>
            </w:r>
          </w:p>
        </w:tc>
      </w:tr>
      <w:tr>
        <w:trPr>
          <w:cantSplit/>
        </w:trPr>
        <w:tc>
          <w:tcPr>
            <w:tcW w:type="dxa" w:w="900"/>
            <w:tcMar>
              <w:top w:w="110" w:type="dxa"/>
              <w:start w:w="120" w:type="dxa"/>
              <w:bottom w:w="110" w:type="dxa"/>
              <w:end w:w="120" w:type="dxa"/>
            </w:tcMar>
            <w:vAlign w:val="center"/>
          </w:tcPr>
          <w:p>
            <w:pPr>
              <w:spacing w:before="0" w:after="0"/>
            </w:pPr>
            <w:r>
              <w:rPr>
                <w:rFonts w:ascii="Roboto Mono" w:hAnsi="Roboto Mono"/>
                <w:color w:val="188038"/>
                <w:sz w:val="17"/>
              </w:rPr>
              <w:t>N3</w:t>
            </w:r>
          </w:p>
        </w:tc>
        <w:tc>
          <w:tcPr>
            <w:tcW w:type="dxa" w:w="3500"/>
            <w:tcMar>
              <w:top w:w="110" w:type="dxa"/>
              <w:start w:w="120" w:type="dxa"/>
              <w:bottom w:w="110" w:type="dxa"/>
              <w:end w:w="120" w:type="dxa"/>
            </w:tcMar>
            <w:vAlign w:val="center"/>
          </w:tcPr>
          <w:p>
            <w:pPr>
              <w:spacing w:before="0" w:after="0"/>
            </w:pPr>
            <w:r>
              <w:rPr>
                <w:sz w:val="17"/>
              </w:rPr>
              <w:t>BRK-A CLOSED</w:t>
            </w:r>
          </w:p>
        </w:tc>
        <w:tc>
          <w:tcPr>
            <w:tcW w:type="dxa" w:w="4960"/>
            <w:tcMar>
              <w:top w:w="110" w:type="dxa"/>
              <w:start w:w="120" w:type="dxa"/>
              <w:bottom w:w="110" w:type="dxa"/>
              <w:end w:w="120" w:type="dxa"/>
            </w:tcMar>
            <w:vAlign w:val="center"/>
          </w:tcPr>
          <w:p>
            <w:pPr>
              <w:spacing w:before="0" w:after="0"/>
            </w:pPr>
            <w:r>
              <w:rPr>
                <w:sz w:val="17"/>
              </w:rPr>
              <w:t>A1 restored from FDR-A; 670 remain affected</w:t>
            </w:r>
          </w:p>
        </w:tc>
      </w:tr>
      <w:tr>
        <w:trPr>
          <w:cantSplit/>
        </w:trPr>
        <w:tc>
          <w:tcPr>
            <w:tcW w:type="dxa" w:w="900"/>
            <w:tcMar>
              <w:top w:w="110" w:type="dxa"/>
              <w:start w:w="120" w:type="dxa"/>
              <w:bottom w:w="110" w:type="dxa"/>
              <w:end w:w="120" w:type="dxa"/>
            </w:tcMar>
            <w:vAlign w:val="center"/>
          </w:tcPr>
          <w:p>
            <w:pPr>
              <w:spacing w:before="0" w:after="0"/>
            </w:pPr>
            <w:r>
              <w:rPr>
                <w:rFonts w:ascii="Roboto Mono" w:hAnsi="Roboto Mono"/>
                <w:color w:val="188038"/>
                <w:sz w:val="17"/>
              </w:rPr>
              <w:t>N4</w:t>
            </w:r>
          </w:p>
        </w:tc>
        <w:tc>
          <w:tcPr>
            <w:tcW w:type="dxa" w:w="3500"/>
            <w:tcMar>
              <w:top w:w="110" w:type="dxa"/>
              <w:start w:w="120" w:type="dxa"/>
              <w:bottom w:w="110" w:type="dxa"/>
              <w:end w:w="120" w:type="dxa"/>
            </w:tcMar>
            <w:vAlign w:val="center"/>
          </w:tcPr>
          <w:p>
            <w:pPr>
              <w:spacing w:before="0" w:after="0"/>
            </w:pPr>
            <w:r>
              <w:rPr>
                <w:sz w:val="17"/>
              </w:rPr>
              <w:t>Assess alternate restoration with no switching change</w:t>
            </w:r>
          </w:p>
        </w:tc>
        <w:tc>
          <w:tcPr>
            <w:tcW w:type="dxa" w:w="4960"/>
            <w:tcMar>
              <w:top w:w="110" w:type="dxa"/>
              <w:start w:w="120" w:type="dxa"/>
              <w:bottom w:w="110" w:type="dxa"/>
              <w:end w:w="120" w:type="dxa"/>
            </w:tcMar>
            <w:vAlign w:val="center"/>
          </w:tcPr>
          <w:p>
            <w:pPr>
              <w:spacing w:before="0" w:after="0"/>
            </w:pPr>
            <w:r>
              <w:rPr>
                <w:sz w:val="17"/>
              </w:rPr>
              <w:t>Candidate A3/A4 via FDR-B; 5.70 MW / 95.0%; PERMITTED</w:t>
            </w:r>
          </w:p>
        </w:tc>
      </w:tr>
      <w:tr>
        <w:trPr>
          <w:cantSplit/>
        </w:trPr>
        <w:tc>
          <w:tcPr>
            <w:tcW w:type="dxa" w:w="900"/>
            <w:tcMar>
              <w:top w:w="110" w:type="dxa"/>
              <w:start w:w="120" w:type="dxa"/>
              <w:bottom w:w="110" w:type="dxa"/>
              <w:end w:w="120" w:type="dxa"/>
            </w:tcMar>
            <w:vAlign w:val="center"/>
          </w:tcPr>
          <w:p>
            <w:pPr>
              <w:spacing w:before="0" w:after="0"/>
            </w:pPr>
            <w:r>
              <w:rPr>
                <w:rFonts w:ascii="Roboto Mono" w:hAnsi="Roboto Mono"/>
                <w:color w:val="188038"/>
                <w:sz w:val="17"/>
              </w:rPr>
              <w:t>N5</w:t>
            </w:r>
          </w:p>
        </w:tc>
        <w:tc>
          <w:tcPr>
            <w:tcW w:type="dxa" w:w="3500"/>
            <w:tcMar>
              <w:top w:w="110" w:type="dxa"/>
              <w:start w:w="120" w:type="dxa"/>
              <w:bottom w:w="110" w:type="dxa"/>
              <w:end w:w="120" w:type="dxa"/>
            </w:tcMar>
            <w:vAlign w:val="center"/>
          </w:tcPr>
          <w:p>
            <w:pPr>
              <w:spacing w:before="0" w:after="0"/>
            </w:pPr>
            <w:r>
              <w:rPr>
                <w:sz w:val="17"/>
              </w:rPr>
              <w:t>Authorised TS-01 OPEN → CLOSED</w:t>
            </w:r>
          </w:p>
        </w:tc>
        <w:tc>
          <w:tcPr>
            <w:tcW w:type="dxa" w:w="4960"/>
            <w:tcMar>
              <w:top w:w="110" w:type="dxa"/>
              <w:start w:w="120" w:type="dxa"/>
              <w:bottom w:w="110" w:type="dxa"/>
              <w:end w:w="120" w:type="dxa"/>
            </w:tcMar>
            <w:vAlign w:val="center"/>
          </w:tcPr>
          <w:p>
            <w:pPr>
              <w:spacing w:before="0" w:after="0"/>
            </w:pPr>
            <w:r>
              <w:rPr>
                <w:sz w:val="17"/>
              </w:rPr>
              <w:t>A3/A4 supplied from FDR-B; A2 remains out; 220 affected</w:t>
            </w:r>
          </w:p>
        </w:tc>
      </w:tr>
    </w:tbl>
    <w:p>
      <w:pPr>
        <w:spacing w:after="60"/>
      </w:pPr>
    </w:p>
    <w:p>
      <w:pPr>
        <w:pStyle w:val="Heading1"/>
      </w:pPr>
      <w:r>
        <w:t>18. Simulated Switching Authority</w:t>
      </w:r>
    </w:p>
    <w:p>
      <w:pPr>
        <w:pStyle w:val="Heading2"/>
      </w:pPr>
      <w:r>
        <w:t>18.1 Isolation Actions</w:t>
      </w:r>
    </w:p>
    <w:p>
      <w:pPr>
        <w:keepLines/>
        <w:spacing w:before="240" w:after="240"/>
      </w:pPr>
      <w:r>
        <w:rPr>
          <w:i w:val="0"/>
        </w:rPr>
        <w:t>Isolation switching is simulated operator action performed within the defined scenario workflow. The topology engine recalculates after each operation. A named pair of switches is not accepted as proof of isolation unless the resulting active graph contains no source path into the active fault section.</w:t>
      </w:r>
    </w:p>
    <w:p>
      <w:pPr>
        <w:pStyle w:val="Heading2"/>
      </w:pPr>
      <w:r>
        <w:t>18.2 Restoration Execution</w:t>
      </w:r>
    </w:p>
    <w:p>
      <w:pPr>
        <w:keepLines/>
        <w:spacing w:before="240" w:after="240"/>
      </w:pPr>
      <w:r>
        <w:rPr>
          <w:i w:val="0"/>
        </w:rPr>
        <w:t>Restoration execution requires a current PERMITTED assessment matching the active run, configuration, candidate and state revision. The execution action applies only the simulated switching change defined by that candidate, records the operation and invokes the normal downstream recalculation transaction.</w:t>
      </w:r>
    </w:p>
    <w:p>
      <w:pPr>
        <w:pStyle w:val="Heading2"/>
      </w:pPr>
      <w:r>
        <w:t>18.3 No Autonomous or Real Control</w:t>
      </w:r>
    </w:p>
    <w:p>
      <w:pPr>
        <w:keepLines/>
        <w:spacing w:before="240" w:after="240"/>
      </w:pPr>
      <w:r>
        <w:rPr>
          <w:i w:val="0"/>
        </w:rPr>
        <w:t>The system may propose and assess a restoration, but V1 requires a deliberate simulated execution action. No component sends a command to real equipment or represents that permission as autonomous switching authority.</w:t>
      </w:r>
    </w:p>
    <w:p>
      <w:pPr>
        <w:pStyle w:val="Heading1"/>
        <w:pageBreakBefore/>
      </w:pPr>
      <w:r>
        <w:t>19. Seeded Defect and Correction Architecture</w:t>
      </w:r>
    </w:p>
    <w:p>
      <w:pPr>
        <w:pStyle w:val="Heading2"/>
      </w:pPr>
      <w:r>
        <w:t>19.1 Defective Configuration Path</w:t>
      </w:r>
    </w:p>
    <w:p>
      <w:pPr>
        <w:keepLines/>
        <w:spacing w:before="240" w:after="240"/>
      </w:pPr>
      <w:r>
        <w:rPr>
          <w:i w:val="0"/>
        </w:rPr>
        <w:t>VT-TOP-DEF-001 loads Network Configuration v1.0 and applies the same SEC-A2 initiating conditions used by the controlled topology test. Correct BRK-A telemetry is processed normally. Because v1.0 connects SEC-B3 ↔ SW-A23 ↔ SEC-A3, SA-CMP-03 derives SEC-A3 and SEC-A4 energised from FDR-B, and SA-CMP-05 calculates only 400 affected customers instead of the expected 850.</w:t>
      </w:r>
    </w:p>
    <w:p>
      <w:pPr>
        <w:pStyle w:val="Heading2"/>
      </w:pPr>
      <w:r>
        <w:t>19.2 Investigation Support</w:t>
      </w:r>
    </w:p>
    <w:p>
      <w:pPr>
        <w:keepLines/>
        <w:spacing w:before="240" w:after="240"/>
      </w:pPr>
      <w:r>
        <w:rPr>
          <w:i w:val="0"/>
        </w:rPr>
        <w:t>The architecture supports investigation from consequence to source: compare expected/observed customer result; verify initiating telemetry; compare section energisation and source attribution; verify customer mapping; trace configured path; compare SW-A23 endpoints; record DEF-001. Each step uses existing configuration, run and evidence records rather than special diagnostic code that already announces the answer.</w:t>
      </w:r>
    </w:p>
    <w:p>
      <w:pPr>
        <w:pStyle w:val="Heading2"/>
      </w:pPr>
      <w:r>
        <w:t>19.3 Correction and Repeat</w:t>
      </w:r>
    </w:p>
    <w:p>
      <w:pPr>
        <w:keepLines/>
        <w:spacing w:before="240" w:after="240"/>
      </w:pPr>
      <w:r>
        <w:rPr>
          <w:i w:val="0"/>
        </w:rPr>
        <w:t>The correction record identifies the v1.0 endpoint, engineering effect and approved replacement. Network Configuration v1.1 preserves the same assets and algorithms but changes SW-A23 endpoint 1 from SEC-B3 to SEC-A2. The original failed execution remains immutable; the same test is rerun against v1.1 and recorded separately. Full N0–N5 regression follows the direct repeat test.</w:t>
      </w:r>
    </w:p>
    <w:p>
      <w:pPr>
        <w:pStyle w:val="Heading2"/>
      </w:pPr>
      <w:r>
        <w:t>19.4 Prohibited Defect Implementations</w:t>
      </w:r>
    </w:p>
    <w:p>
      <w:pPr>
        <w:numPr>
          <w:ilvl w:val="0"/>
          <w:numId w:val="5"/>
        </w:numPr>
        <w:keepLines/>
        <w:spacing w:before="240" w:after="0"/>
      </w:pPr>
      <w:r>
        <w:t>a defect-mode branch that directly returns 400 customers;</w:t>
      </w:r>
    </w:p>
    <w:p>
      <w:pPr>
        <w:numPr>
          <w:ilvl w:val="0"/>
          <w:numId w:val="5"/>
        </w:numPr>
        <w:keepLines/>
        <w:spacing w:before="0" w:after="0"/>
      </w:pPr>
      <w:r>
        <w:t>a hard-coded rule that keeps SEC-A3 energised only for VT-TOP-DEF-001;</w:t>
      </w:r>
    </w:p>
    <w:p>
      <w:pPr>
        <w:numPr>
          <w:ilvl w:val="0"/>
          <w:numId w:val="5"/>
        </w:numPr>
        <w:keepLines/>
        <w:spacing w:before="0" w:after="0"/>
      </w:pPr>
      <w:r>
        <w:t>different topology algorithms for v1.0 and v1.1;</w:t>
      </w:r>
    </w:p>
    <w:p>
      <w:pPr>
        <w:numPr>
          <w:ilvl w:val="0"/>
          <w:numId w:val="5"/>
        </w:numPr>
        <w:keepLines/>
        <w:spacing w:before="0" w:after="0"/>
      </w:pPr>
      <w:r>
        <w:t>overwriting or deleting v1.0 after correction;</w:t>
      </w:r>
    </w:p>
    <w:p>
      <w:pPr>
        <w:numPr>
          <w:ilvl w:val="0"/>
          <w:numId w:val="5"/>
        </w:numPr>
        <w:keepLines/>
        <w:spacing w:before="0" w:after="240"/>
      </w:pPr>
      <w:r>
        <w:t>changing OMS arithmetic or validation expectations to make the defective execution pass.</w:t>
      </w:r>
    </w:p>
    <w:p>
      <w:pPr>
        <w:pStyle w:val="Heading1"/>
      </w:pPr>
      <w:r>
        <w:t>20. Evidence and Traceability Architecture</w:t>
      </w:r>
    </w:p>
    <w:p>
      <w:pPr>
        <w:pStyle w:val="Heading2"/>
      </w:pPr>
      <w:r>
        <w:t>20.1 Evidence Chain</w:t>
      </w:r>
    </w:p>
    <w:p>
      <w:pPr>
        <w:keepLines/>
        <w:spacing w:before="240" w:after="240"/>
      </w:pPr>
      <w:r>
        <w:rPr>
          <w:i w:val="0"/>
        </w:rPr>
        <w:t>A formal conclusion shall be traceable through the following linked chain:</w:t>
      </w:r>
    </w:p>
    <w:p>
      <w:pPr>
        <w:keepLines/>
        <w:spacing w:before="240" w:after="240"/>
      </w:pPr>
      <w:r>
        <w:rPr>
          <w:i/>
        </w:rPr>
        <w:t>Requirement → formal test definition → configuration version and initial conditions → scenario run → operational evidence → expected/observed comparison → PASS/FAIL → defect/correction where applicable → repeat validation.</w:t>
      </w:r>
    </w:p>
    <w:p>
      <w:pPr>
        <w:pStyle w:val="Heading2"/>
      </w:pPr>
      <w:r>
        <w:t>20.2 Minimum Evidence Categories</w:t>
      </w:r>
    </w:p>
    <w:p>
      <w:pPr>
        <w:numPr>
          <w:ilvl w:val="0"/>
          <w:numId w:val="5"/>
        </w:numPr>
        <w:keepLines/>
        <w:spacing w:before="240" w:after="0"/>
      </w:pPr>
      <w:r>
        <w:t>configuration identity and relevant endpoint relationships;</w:t>
      </w:r>
    </w:p>
    <w:p>
      <w:pPr>
        <w:numPr>
          <w:ilvl w:val="0"/>
          <w:numId w:val="5"/>
        </w:numPr>
        <w:keepLines/>
        <w:spacing w:before="0" w:after="0"/>
      </w:pPr>
      <w:r>
        <w:t>run identity, mode, fault input and state revision;</w:t>
      </w:r>
    </w:p>
    <w:p>
      <w:pPr>
        <w:numPr>
          <w:ilvl w:val="0"/>
          <w:numId w:val="5"/>
        </w:numPr>
        <w:keepLines/>
        <w:spacing w:before="0" w:after="0"/>
      </w:pPr>
      <w:r>
        <w:t>monitored device values, quality, timestamps, age and freshness;</w:t>
      </w:r>
    </w:p>
    <w:p>
      <w:pPr>
        <w:numPr>
          <w:ilvl w:val="0"/>
          <w:numId w:val="5"/>
        </w:numPr>
        <w:keepLines/>
        <w:spacing w:before="0" w:after="0"/>
      </w:pPr>
      <w:r>
        <w:t>active topology, source path and section energisation snapshot;</w:t>
      </w:r>
    </w:p>
    <w:p>
      <w:pPr>
        <w:numPr>
          <w:ilvl w:val="0"/>
          <w:numId w:val="5"/>
        </w:numPr>
        <w:keepLines/>
        <w:spacing w:before="0" w:after="0"/>
      </w:pPr>
      <w:r>
        <w:t>outage extent, customer-zone set and arithmetic;</w:t>
      </w:r>
    </w:p>
    <w:p>
      <w:pPr>
        <w:numPr>
          <w:ilvl w:val="0"/>
          <w:numId w:val="5"/>
        </w:numPr>
        <w:keepLines/>
        <w:spacing w:before="0" w:after="0"/>
      </w:pPr>
      <w:r>
        <w:t>restoration candidate, every permissive and capacity calculation;</w:t>
      </w:r>
    </w:p>
    <w:p>
      <w:pPr>
        <w:numPr>
          <w:ilvl w:val="0"/>
          <w:numId w:val="5"/>
        </w:numPr>
        <w:keepLines/>
        <w:spacing w:before="0" w:after="0"/>
      </w:pPr>
      <w:r>
        <w:t>operational event references;</w:t>
      </w:r>
    </w:p>
    <w:p>
      <w:pPr>
        <w:numPr>
          <w:ilvl w:val="0"/>
          <w:numId w:val="5"/>
        </w:numPr>
        <w:keepLines/>
        <w:spacing w:before="0" w:after="0"/>
      </w:pPr>
      <w:r>
        <w:t>expected result, observed result and determination;</w:t>
      </w:r>
    </w:p>
    <w:p>
      <w:pPr>
        <w:numPr>
          <w:ilvl w:val="0"/>
          <w:numId w:val="5"/>
        </w:numPr>
        <w:keepLines/>
        <w:spacing w:before="0" w:after="240"/>
      </w:pPr>
      <w:r>
        <w:t>defect, correction and repeat-execution links.</w:t>
      </w:r>
    </w:p>
    <w:p>
      <w:pPr>
        <w:pStyle w:val="Heading2"/>
      </w:pPr>
      <w:r>
        <w:t>20.3 Evidence Export Boundary</w:t>
      </w:r>
    </w:p>
    <w:p>
      <w:pPr>
        <w:keepLines/>
        <w:spacing w:before="240" w:after="240"/>
      </w:pPr>
      <w:r>
        <w:rPr>
          <w:i w:val="0"/>
        </w:rPr>
        <w:t>V1 may present evidence within the demonstrator and/or export a reviewable record. The exact file or report format is deferred, but export must preserve identifiers and links rather than reduce the result to an untraceable screenshot. Evidence generation shall not modify the operational or validation records it reports.</w:t>
      </w:r>
    </w:p>
    <w:p>
      <w:pPr>
        <w:pStyle w:val="Heading1"/>
      </w:pPr>
      <w:r>
        <w:t>21. V1 Deployment, Data and Safety Boundary</w:t>
      </w:r>
    </w:p>
    <w:p>
      <w:pPr>
        <w:pStyle w:val="Heading2"/>
      </w:pPr>
      <w:r>
        <w:t>21.1 Recommended Deployment Shape</w:t>
      </w:r>
    </w:p>
    <w:p>
      <w:pPr>
        <w:keepLines/>
        <w:spacing w:before="240" w:after="240"/>
      </w:pPr>
      <w:r>
        <w:rPr>
          <w:i w:val="0"/>
        </w:rPr>
        <w:t>The recommended V1 deployment is one local demonstrator application with modular internal boundaries and local fictional data. A single process or simple local frontend/backend split is acceptable. Distributed services, message brokers, cloud dependencies and enterprise databases are not architecture requirements.</w:t>
      </w:r>
    </w:p>
    <w:p>
      <w:pPr>
        <w:pStyle w:val="Heading2"/>
      </w:pPr>
      <w:r>
        <w:t>21.2 Persistence Boundary</w:t>
      </w:r>
    </w:p>
    <w:p>
      <w:pPr>
        <w:keepLines/>
        <w:spacing w:before="240" w:after="240"/>
      </w:pPr>
      <w:r>
        <w:rPr>
          <w:i w:val="0"/>
        </w:rPr>
        <w:t>V1 requires persistent versioned configuration and preserved engineering evidence, while current operational state may be run-scoped in memory or locally persisted. The later Demonstrator Design shall select the simplest storage form that preserves immutability, repeatability, reviewability and stable identifiers. The implementation shall not collapse all categories into one undifferentiated mutable object.</w:t>
      </w:r>
    </w:p>
    <w:p>
      <w:pPr>
        <w:pStyle w:val="Heading2"/>
      </w:pPr>
      <w:r>
        <w:t>21.3 Safety and External Interfaces</w:t>
      </w:r>
    </w:p>
    <w:p>
      <w:pPr>
        <w:numPr>
          <w:ilvl w:val="0"/>
          <w:numId w:val="5"/>
        </w:numPr>
        <w:keepLines/>
        <w:spacing w:before="240" w:after="0"/>
      </w:pPr>
      <w:r>
        <w:t>no network protocol or adapter for real SCADA, field devices or utility control systems;</w:t>
      </w:r>
    </w:p>
    <w:p>
      <w:pPr>
        <w:numPr>
          <w:ilvl w:val="0"/>
          <w:numId w:val="5"/>
        </w:numPr>
        <w:keepLines/>
        <w:spacing w:before="0" w:after="0"/>
      </w:pPr>
      <w:r>
        <w:t>no real customer, asset or operational data;</w:t>
      </w:r>
    </w:p>
    <w:p>
      <w:pPr>
        <w:numPr>
          <w:ilvl w:val="0"/>
          <w:numId w:val="5"/>
        </w:numPr>
        <w:keepLines/>
        <w:spacing w:before="0" w:after="0"/>
      </w:pPr>
      <w:r>
        <w:t>no credential or connection requirement for external OT environments;</w:t>
      </w:r>
    </w:p>
    <w:p>
      <w:pPr>
        <w:numPr>
          <w:ilvl w:val="0"/>
          <w:numId w:val="5"/>
        </w:numPr>
        <w:keepLines/>
        <w:spacing w:before="0" w:after="0"/>
      </w:pPr>
      <w:r>
        <w:t>all switching commands constrained to the local scenario state;</w:t>
      </w:r>
    </w:p>
    <w:p>
      <w:pPr>
        <w:numPr>
          <w:ilvl w:val="0"/>
          <w:numId w:val="5"/>
        </w:numPr>
        <w:keepLines/>
        <w:spacing w:before="0" w:after="240"/>
      </w:pPr>
      <w:r>
        <w:t>clear fictional/simulated labelling in the eventual interface and evidence package.</w:t>
      </w:r>
    </w:p>
    <w:p>
      <w:pPr>
        <w:pStyle w:val="Heading1"/>
      </w:pPr>
      <w:r>
        <w:t>22. Requirements Allocation</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50"/>
        <w:gridCol w:w="5910"/>
      </w:tblGrid>
      <w:tr>
        <w:trPr>
          <w:tblHeader w:val="true"/>
          <w:cantSplit/>
        </w:trPr>
        <w:tc>
          <w:tcPr>
            <w:tcW w:type="dxa" w:w="5"/>
            <w:shd w:fill="E7E6E6"/>
            <w:tcMar>
              <w:top w:w="110" w:type="dxa"/>
              <w:start w:w="120" w:type="dxa"/>
              <w:bottom w:w="110" w:type="dxa"/>
              <w:end w:w="120" w:type="dxa"/>
            </w:tcMar>
            <w:vAlign w:val="center"/>
          </w:tcPr>
          <w:p>
            <w:pPr>
              <w:spacing w:before="0" w:after="0"/>
              <w:jc w:val="center"/>
            </w:pPr>
            <w:r>
              <w:rPr>
                <w:b/>
                <w:sz w:val="18"/>
              </w:rPr>
              <w:t>Architecture area</w:t>
            </w:r>
          </w:p>
        </w:tc>
        <w:tc>
          <w:tcPr>
            <w:tcW w:type="dxa" w:w="9"/>
            <w:shd w:fill="E7E6E6"/>
            <w:tcMar>
              <w:top w:w="110" w:type="dxa"/>
              <w:start w:w="120" w:type="dxa"/>
              <w:bottom w:w="110" w:type="dxa"/>
              <w:end w:w="120" w:type="dxa"/>
            </w:tcMar>
            <w:vAlign w:val="center"/>
          </w:tcPr>
          <w:p>
            <w:pPr>
              <w:spacing w:before="0" w:after="0"/>
              <w:jc w:val="center"/>
            </w:pPr>
            <w:r>
              <w:rPr>
                <w:b/>
                <w:sz w:val="18"/>
              </w:rPr>
              <w:t>Principal requirement allocation</w:t>
            </w:r>
          </w:p>
        </w:tc>
      </w:tr>
      <w:tr>
        <w:trPr>
          <w:cantSplit/>
        </w:trPr>
        <w:tc>
          <w:tcPr>
            <w:tcW w:type="dxa" w:w="3450"/>
            <w:tcMar>
              <w:top w:w="110" w:type="dxa"/>
              <w:start w:w="120" w:type="dxa"/>
              <w:bottom w:w="110" w:type="dxa"/>
              <w:end w:w="120" w:type="dxa"/>
            </w:tcMar>
            <w:vAlign w:val="center"/>
          </w:tcPr>
          <w:p>
            <w:pPr>
              <w:spacing w:before="0" w:after="0"/>
            </w:pPr>
            <w:r>
              <w:rPr>
                <w:sz w:val="18"/>
              </w:rPr>
              <w:t>SA-CMP-01 Network Configuration / GIS</w:t>
            </w:r>
          </w:p>
        </w:tc>
        <w:tc>
          <w:tcPr>
            <w:tcW w:type="dxa" w:w="5910"/>
            <w:tcMar>
              <w:top w:w="110" w:type="dxa"/>
              <w:start w:w="120" w:type="dxa"/>
              <w:bottom w:w="110" w:type="dxa"/>
              <w:end w:w="120" w:type="dxa"/>
            </w:tcMar>
            <w:vAlign w:val="center"/>
          </w:tcPr>
          <w:p>
            <w:pPr>
              <w:spacing w:before="0" w:after="0"/>
            </w:pPr>
            <w:r>
              <w:rPr>
                <w:sz w:val="18"/>
              </w:rPr>
              <w:t>REQ-NET-001–011; REQ-CFG-001–003, 008–010; REQ-NFR-002, 004, 009</w:t>
            </w:r>
          </w:p>
        </w:tc>
      </w:tr>
      <w:tr>
        <w:trPr>
          <w:cantSplit/>
        </w:trPr>
        <w:tc>
          <w:tcPr>
            <w:tcW w:type="dxa" w:w="3450"/>
            <w:tcMar>
              <w:top w:w="110" w:type="dxa"/>
              <w:start w:w="120" w:type="dxa"/>
              <w:bottom w:w="110" w:type="dxa"/>
              <w:end w:w="120" w:type="dxa"/>
            </w:tcMar>
            <w:vAlign w:val="center"/>
          </w:tcPr>
          <w:p>
            <w:pPr>
              <w:spacing w:before="0" w:after="0"/>
            </w:pPr>
            <w:r>
              <w:rPr>
                <w:sz w:val="18"/>
              </w:rPr>
              <w:t>SA-CMP-02 SCADA / Telemetry</w:t>
            </w:r>
          </w:p>
        </w:tc>
        <w:tc>
          <w:tcPr>
            <w:tcW w:type="dxa" w:w="5910"/>
            <w:tcMar>
              <w:top w:w="110" w:type="dxa"/>
              <w:start w:w="120" w:type="dxa"/>
              <w:bottom w:w="110" w:type="dxa"/>
              <w:end w:w="120" w:type="dxa"/>
            </w:tcMar>
            <w:vAlign w:val="center"/>
          </w:tcPr>
          <w:p>
            <w:pPr>
              <w:spacing w:before="0" w:after="0"/>
            </w:pPr>
            <w:r>
              <w:rPr>
                <w:sz w:val="18"/>
              </w:rPr>
              <w:t>REQ-TEL-001–010; REQ-ALM-001–005; REQ-CFG-006</w:t>
            </w:r>
          </w:p>
        </w:tc>
      </w:tr>
      <w:tr>
        <w:trPr>
          <w:cantSplit/>
        </w:trPr>
        <w:tc>
          <w:tcPr>
            <w:tcW w:type="dxa" w:w="3450"/>
            <w:tcMar>
              <w:top w:w="110" w:type="dxa"/>
              <w:start w:w="120" w:type="dxa"/>
              <w:bottom w:w="110" w:type="dxa"/>
              <w:end w:w="120" w:type="dxa"/>
            </w:tcMar>
            <w:vAlign w:val="center"/>
          </w:tcPr>
          <w:p>
            <w:pPr>
              <w:spacing w:before="0" w:after="0"/>
            </w:pPr>
            <w:r>
              <w:rPr>
                <w:sz w:val="18"/>
              </w:rPr>
              <w:t>SA-CMP-03 ADMS Topology</w:t>
            </w:r>
          </w:p>
        </w:tc>
        <w:tc>
          <w:tcPr>
            <w:tcW w:type="dxa" w:w="5910"/>
            <w:tcMar>
              <w:top w:w="110" w:type="dxa"/>
              <w:start w:w="120" w:type="dxa"/>
              <w:bottom w:w="110" w:type="dxa"/>
              <w:end w:w="120" w:type="dxa"/>
            </w:tcMar>
            <w:vAlign w:val="center"/>
          </w:tcPr>
          <w:p>
            <w:pPr>
              <w:spacing w:before="0" w:after="0"/>
            </w:pPr>
            <w:r>
              <w:rPr>
                <w:sz w:val="18"/>
              </w:rPr>
              <w:t>REQ-TOP-001–009; REQ-CFG-003–004; REQ-RST-005, 007, 026–028</w:t>
            </w:r>
          </w:p>
        </w:tc>
      </w:tr>
      <w:tr>
        <w:trPr>
          <w:cantSplit/>
        </w:trPr>
        <w:tc>
          <w:tcPr>
            <w:tcW w:type="dxa" w:w="3450"/>
            <w:tcMar>
              <w:top w:w="110" w:type="dxa"/>
              <w:start w:w="120" w:type="dxa"/>
              <w:bottom w:w="110" w:type="dxa"/>
              <w:end w:w="120" w:type="dxa"/>
            </w:tcMar>
            <w:vAlign w:val="center"/>
          </w:tcPr>
          <w:p>
            <w:pPr>
              <w:spacing w:before="0" w:after="0"/>
            </w:pPr>
            <w:r>
              <w:rPr>
                <w:sz w:val="18"/>
              </w:rPr>
              <w:t>SA-CMP-04 ADMS Restoration</w:t>
            </w:r>
          </w:p>
        </w:tc>
        <w:tc>
          <w:tcPr>
            <w:tcW w:type="dxa" w:w="5910"/>
            <w:tcMar>
              <w:top w:w="110" w:type="dxa"/>
              <w:start w:w="120" w:type="dxa"/>
              <w:bottom w:w="110" w:type="dxa"/>
              <w:end w:w="120" w:type="dxa"/>
            </w:tcMar>
            <w:vAlign w:val="center"/>
          </w:tcPr>
          <w:p>
            <w:pPr>
              <w:spacing w:before="0" w:after="0"/>
            </w:pPr>
            <w:r>
              <w:rPr>
                <w:sz w:val="18"/>
              </w:rPr>
              <w:t>REQ-RST-001–025; REQ-EVT-010; REQ-VAL-013</w:t>
            </w:r>
          </w:p>
        </w:tc>
      </w:tr>
      <w:tr>
        <w:trPr>
          <w:cantSplit/>
        </w:trPr>
        <w:tc>
          <w:tcPr>
            <w:tcW w:type="dxa" w:w="3450"/>
            <w:tcMar>
              <w:top w:w="110" w:type="dxa"/>
              <w:start w:w="120" w:type="dxa"/>
              <w:bottom w:w="110" w:type="dxa"/>
              <w:end w:w="120" w:type="dxa"/>
            </w:tcMar>
            <w:vAlign w:val="center"/>
          </w:tcPr>
          <w:p>
            <w:pPr>
              <w:spacing w:before="0" w:after="0"/>
            </w:pPr>
            <w:r>
              <w:rPr>
                <w:sz w:val="18"/>
              </w:rPr>
              <w:t>SA-CMP-05 OMS</w:t>
            </w:r>
          </w:p>
        </w:tc>
        <w:tc>
          <w:tcPr>
            <w:tcW w:type="dxa" w:w="5910"/>
            <w:tcMar>
              <w:top w:w="110" w:type="dxa"/>
              <w:start w:w="120" w:type="dxa"/>
              <w:bottom w:w="110" w:type="dxa"/>
              <w:end w:w="120" w:type="dxa"/>
            </w:tcMar>
            <w:vAlign w:val="center"/>
          </w:tcPr>
          <w:p>
            <w:pPr>
              <w:spacing w:before="0" w:after="0"/>
            </w:pPr>
            <w:r>
              <w:rPr>
                <w:sz w:val="18"/>
              </w:rPr>
              <w:t>REQ-OUT-001–007; REQ-RST-029; REQ-CFG-005</w:t>
            </w:r>
          </w:p>
        </w:tc>
      </w:tr>
      <w:tr>
        <w:trPr>
          <w:cantSplit/>
        </w:trPr>
        <w:tc>
          <w:tcPr>
            <w:tcW w:type="dxa" w:w="3450"/>
            <w:tcMar>
              <w:top w:w="110" w:type="dxa"/>
              <w:start w:w="120" w:type="dxa"/>
              <w:bottom w:w="110" w:type="dxa"/>
              <w:end w:w="120" w:type="dxa"/>
            </w:tcMar>
            <w:vAlign w:val="center"/>
          </w:tcPr>
          <w:p>
            <w:pPr>
              <w:spacing w:before="0" w:after="0"/>
            </w:pPr>
            <w:r>
              <w:rPr>
                <w:sz w:val="18"/>
              </w:rPr>
              <w:t>SA-CMP-06 Operational Event / Audit</w:t>
            </w:r>
          </w:p>
        </w:tc>
        <w:tc>
          <w:tcPr>
            <w:tcW w:type="dxa" w:w="5910"/>
            <w:tcMar>
              <w:top w:w="110" w:type="dxa"/>
              <w:start w:w="120" w:type="dxa"/>
              <w:bottom w:w="110" w:type="dxa"/>
              <w:end w:w="120" w:type="dxa"/>
            </w:tcMar>
            <w:vAlign w:val="center"/>
          </w:tcPr>
          <w:p>
            <w:pPr>
              <w:spacing w:before="0" w:after="0"/>
            </w:pPr>
            <w:r>
              <w:rPr>
                <w:sz w:val="18"/>
              </w:rPr>
              <w:t>REQ-EVT-001–011</w:t>
            </w:r>
          </w:p>
        </w:tc>
      </w:tr>
      <w:tr>
        <w:trPr>
          <w:cantSplit/>
        </w:trPr>
        <w:tc>
          <w:tcPr>
            <w:tcW w:type="dxa" w:w="3450"/>
            <w:tcMar>
              <w:top w:w="110" w:type="dxa"/>
              <w:start w:w="120" w:type="dxa"/>
              <w:bottom w:w="110" w:type="dxa"/>
              <w:end w:w="120" w:type="dxa"/>
            </w:tcMar>
            <w:vAlign w:val="center"/>
          </w:tcPr>
          <w:p>
            <w:pPr>
              <w:spacing w:before="0" w:after="0"/>
            </w:pPr>
            <w:r>
              <w:rPr>
                <w:sz w:val="18"/>
              </w:rPr>
              <w:t>SA-CMP-07 Scenario Control</w:t>
            </w:r>
          </w:p>
        </w:tc>
        <w:tc>
          <w:tcPr>
            <w:tcW w:type="dxa" w:w="5910"/>
            <w:tcMar>
              <w:top w:w="110" w:type="dxa"/>
              <w:start w:w="120" w:type="dxa"/>
              <w:bottom w:w="110" w:type="dxa"/>
              <w:end w:w="120" w:type="dxa"/>
            </w:tcMar>
            <w:vAlign w:val="center"/>
          </w:tcPr>
          <w:p>
            <w:pPr>
              <w:spacing w:before="0" w:after="0"/>
            </w:pPr>
            <w:r>
              <w:rPr>
                <w:sz w:val="18"/>
              </w:rPr>
              <w:t>REQ-EXP-001–007; REQ-VAL-004–005, 014; REQ-NFR-003, 006</w:t>
            </w:r>
          </w:p>
        </w:tc>
      </w:tr>
      <w:tr>
        <w:trPr>
          <w:cantSplit/>
        </w:trPr>
        <w:tc>
          <w:tcPr>
            <w:tcW w:type="dxa" w:w="3450"/>
            <w:tcMar>
              <w:top w:w="110" w:type="dxa"/>
              <w:start w:w="120" w:type="dxa"/>
              <w:bottom w:w="110" w:type="dxa"/>
              <w:end w:w="120" w:type="dxa"/>
            </w:tcMar>
            <w:vAlign w:val="center"/>
          </w:tcPr>
          <w:p>
            <w:pPr>
              <w:spacing w:before="0" w:after="0"/>
            </w:pPr>
            <w:r>
              <w:rPr>
                <w:sz w:val="18"/>
              </w:rPr>
              <w:t>SA-CMP-08 Validation and Evidence</w:t>
            </w:r>
          </w:p>
        </w:tc>
        <w:tc>
          <w:tcPr>
            <w:tcW w:type="dxa" w:w="5910"/>
            <w:tcMar>
              <w:top w:w="110" w:type="dxa"/>
              <w:start w:w="120" w:type="dxa"/>
              <w:bottom w:w="110" w:type="dxa"/>
              <w:end w:w="120" w:type="dxa"/>
            </w:tcMar>
            <w:vAlign w:val="center"/>
          </w:tcPr>
          <w:p>
            <w:pPr>
              <w:spacing w:before="0" w:after="0"/>
            </w:pPr>
            <w:r>
              <w:rPr>
                <w:sz w:val="18"/>
              </w:rPr>
              <w:t>REQ-VAL-001–014; REQ-CFG-007, 011–012; REQ-NFR-008</w:t>
            </w:r>
          </w:p>
        </w:tc>
      </w:tr>
      <w:tr>
        <w:trPr>
          <w:cantSplit/>
        </w:trPr>
        <w:tc>
          <w:tcPr>
            <w:tcW w:type="dxa" w:w="3450"/>
            <w:tcMar>
              <w:top w:w="110" w:type="dxa"/>
              <w:start w:w="120" w:type="dxa"/>
              <w:bottom w:w="110" w:type="dxa"/>
              <w:end w:w="120" w:type="dxa"/>
            </w:tcMar>
            <w:vAlign w:val="center"/>
          </w:tcPr>
          <w:p>
            <w:pPr>
              <w:spacing w:before="0" w:after="0"/>
            </w:pPr>
            <w:r>
              <w:rPr>
                <w:sz w:val="18"/>
              </w:rPr>
              <w:t>SA-CMP-09 Workspace</w:t>
            </w:r>
          </w:p>
        </w:tc>
        <w:tc>
          <w:tcPr>
            <w:tcW w:type="dxa" w:w="5910"/>
            <w:tcMar>
              <w:top w:w="110" w:type="dxa"/>
              <w:start w:w="120" w:type="dxa"/>
              <w:bottom w:w="110" w:type="dxa"/>
              <w:end w:w="120" w:type="dxa"/>
            </w:tcMar>
            <w:vAlign w:val="center"/>
          </w:tcPr>
          <w:p>
            <w:pPr>
              <w:spacing w:before="0" w:after="0"/>
            </w:pPr>
            <w:r>
              <w:rPr>
                <w:sz w:val="18"/>
              </w:rPr>
              <w:t>REQ-NFR-001, 005, 007–008 and presentation obligations across functional groups</w:t>
            </w:r>
          </w:p>
        </w:tc>
      </w:tr>
    </w:tbl>
    <w:p>
      <w:pPr>
        <w:spacing w:after="60"/>
      </w:pPr>
    </w:p>
    <w:p>
      <w:pPr>
        <w:keepLines/>
        <w:spacing w:before="240" w:after="240"/>
      </w:pPr>
      <w:r>
        <w:rPr>
          <w:i w:val="0"/>
        </w:rPr>
        <w:t>Allocation indicates the principal architecture owner, not exclusive implementation ownership. Cross-functional requirements—particularly stable identifiers, reviewability, consistent entity modelling and event traceability—apply across component boundaries.</w:t>
      </w:r>
    </w:p>
    <w:p>
      <w:pPr>
        <w:pStyle w:val="Heading1"/>
      </w:pPr>
      <w:r>
        <w:t>23. Architecture Decisions</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50"/>
        <w:gridCol w:w="7710"/>
      </w:tblGrid>
      <w:tr>
        <w:trPr>
          <w:tblHeader w:val="true"/>
          <w:cantSplit/>
        </w:trPr>
        <w:tc>
          <w:tcPr>
            <w:tcW w:type="dxa" w:w="3"/>
            <w:shd w:fill="E7E6E6"/>
            <w:tcMar>
              <w:top w:w="110" w:type="dxa"/>
              <w:start w:w="120" w:type="dxa"/>
              <w:bottom w:w="110" w:type="dxa"/>
              <w:end w:w="120" w:type="dxa"/>
            </w:tcMar>
            <w:vAlign w:val="center"/>
          </w:tcPr>
          <w:p>
            <w:pPr>
              <w:spacing w:before="0" w:after="0"/>
              <w:jc w:val="center"/>
            </w:pPr>
            <w:r>
              <w:rPr>
                <w:b/>
                <w:sz w:val="18"/>
              </w:rPr>
              <w:t>Decision ID</w:t>
            </w:r>
          </w:p>
        </w:tc>
        <w:tc>
          <w:tcPr>
            <w:tcW w:type="dxa" w:w="12"/>
            <w:shd w:fill="E7E6E6"/>
            <w:tcMar>
              <w:top w:w="110" w:type="dxa"/>
              <w:start w:w="120" w:type="dxa"/>
              <w:bottom w:w="110" w:type="dxa"/>
              <w:end w:w="120" w:type="dxa"/>
            </w:tcMar>
            <w:vAlign w:val="center"/>
          </w:tcPr>
          <w:p>
            <w:pPr>
              <w:spacing w:before="0" w:after="0"/>
              <w:jc w:val="center"/>
            </w:pPr>
            <w:r>
              <w:rPr>
                <w:b/>
                <w:sz w:val="18"/>
              </w:rPr>
              <w:t>Architecture decision</w:t>
            </w:r>
          </w:p>
        </w:tc>
      </w:tr>
      <w:tr>
        <w:trPr>
          <w:cantSplit/>
        </w:trPr>
        <w:tc>
          <w:tcPr>
            <w:tcW w:type="dxa" w:w="1650"/>
            <w:tcMar>
              <w:top w:w="110" w:type="dxa"/>
              <w:start w:w="120" w:type="dxa"/>
              <w:bottom w:w="110" w:type="dxa"/>
              <w:end w:w="120" w:type="dxa"/>
            </w:tcMar>
            <w:vAlign w:val="center"/>
          </w:tcPr>
          <w:p>
            <w:pPr>
              <w:spacing w:before="0" w:after="0"/>
            </w:pPr>
            <w:r>
              <w:rPr>
                <w:rFonts w:ascii="Roboto Mono" w:hAnsi="Roboto Mono"/>
                <w:color w:val="188038"/>
                <w:sz w:val="18"/>
              </w:rPr>
              <w:t>AD-SA-001</w:t>
            </w:r>
          </w:p>
        </w:tc>
        <w:tc>
          <w:tcPr>
            <w:tcW w:type="dxa" w:w="7710"/>
            <w:tcMar>
              <w:top w:w="110" w:type="dxa"/>
              <w:start w:w="120" w:type="dxa"/>
              <w:bottom w:w="110" w:type="dxa"/>
              <w:end w:w="120" w:type="dxa"/>
            </w:tcMar>
            <w:vAlign w:val="center"/>
          </w:tcPr>
          <w:p>
            <w:pPr>
              <w:spacing w:before="0" w:after="0"/>
            </w:pPr>
            <w:r>
              <w:rPr>
                <w:sz w:val="18"/>
              </w:rPr>
              <w:t>Use logical functional components and normally implement V1 as one local modular demonstrator, not commercial distributed OT services.</w:t>
            </w:r>
          </w:p>
        </w:tc>
      </w:tr>
      <w:tr>
        <w:trPr>
          <w:cantSplit/>
        </w:trPr>
        <w:tc>
          <w:tcPr>
            <w:tcW w:type="dxa" w:w="1650"/>
            <w:tcMar>
              <w:top w:w="110" w:type="dxa"/>
              <w:start w:w="120" w:type="dxa"/>
              <w:bottom w:w="110" w:type="dxa"/>
              <w:end w:w="120" w:type="dxa"/>
            </w:tcMar>
            <w:vAlign w:val="center"/>
          </w:tcPr>
          <w:p>
            <w:pPr>
              <w:spacing w:before="0" w:after="0"/>
            </w:pPr>
            <w:r>
              <w:rPr>
                <w:rFonts w:ascii="Roboto Mono" w:hAnsi="Roboto Mono"/>
                <w:color w:val="188038"/>
                <w:sz w:val="18"/>
              </w:rPr>
              <w:t>AD-SA-002</w:t>
            </w:r>
          </w:p>
        </w:tc>
        <w:tc>
          <w:tcPr>
            <w:tcW w:type="dxa" w:w="7710"/>
            <w:tcMar>
              <w:top w:w="110" w:type="dxa"/>
              <w:start w:w="120" w:type="dxa"/>
              <w:bottom w:w="110" w:type="dxa"/>
              <w:end w:w="120" w:type="dxa"/>
            </w:tcMar>
            <w:vAlign w:val="center"/>
          </w:tcPr>
          <w:p>
            <w:pPr>
              <w:spacing w:before="0" w:after="0"/>
            </w:pPr>
            <w:r>
              <w:rPr>
                <w:sz w:val="18"/>
              </w:rPr>
              <w:t>Maintain separate persistent configuration, observed operational, scenario, derived operational, event and validation information classes.</w:t>
            </w:r>
          </w:p>
        </w:tc>
      </w:tr>
      <w:tr>
        <w:trPr>
          <w:cantSplit/>
        </w:trPr>
        <w:tc>
          <w:tcPr>
            <w:tcW w:type="dxa" w:w="1650"/>
            <w:tcMar>
              <w:top w:w="110" w:type="dxa"/>
              <w:start w:w="120" w:type="dxa"/>
              <w:bottom w:w="110" w:type="dxa"/>
              <w:end w:w="120" w:type="dxa"/>
            </w:tcMar>
            <w:vAlign w:val="center"/>
          </w:tcPr>
          <w:p>
            <w:pPr>
              <w:spacing w:before="0" w:after="0"/>
            </w:pPr>
            <w:r>
              <w:rPr>
                <w:rFonts w:ascii="Roboto Mono" w:hAnsi="Roboto Mono"/>
                <w:color w:val="188038"/>
                <w:sz w:val="18"/>
              </w:rPr>
              <w:t>AD-SA-003</w:t>
            </w:r>
          </w:p>
        </w:tc>
        <w:tc>
          <w:tcPr>
            <w:tcW w:type="dxa" w:w="7710"/>
            <w:tcMar>
              <w:top w:w="110" w:type="dxa"/>
              <w:start w:w="120" w:type="dxa"/>
              <w:bottom w:w="110" w:type="dxa"/>
              <w:end w:w="120" w:type="dxa"/>
            </w:tcMar>
            <w:vAlign w:val="center"/>
          </w:tcPr>
          <w:p>
            <w:pPr>
              <w:spacing w:before="0" w:after="0"/>
            </w:pPr>
            <w:r>
              <w:rPr>
                <w:sz w:val="18"/>
              </w:rPr>
              <w:t>Use a run-scoped context containing mode, configuration version, fault input, scenario clock and state revision.</w:t>
            </w:r>
          </w:p>
        </w:tc>
      </w:tr>
      <w:tr>
        <w:trPr>
          <w:cantSplit/>
        </w:trPr>
        <w:tc>
          <w:tcPr>
            <w:tcW w:type="dxa" w:w="1650"/>
            <w:tcMar>
              <w:top w:w="110" w:type="dxa"/>
              <w:start w:w="120" w:type="dxa"/>
              <w:bottom w:w="110" w:type="dxa"/>
              <w:end w:w="120" w:type="dxa"/>
            </w:tcMar>
            <w:vAlign w:val="center"/>
          </w:tcPr>
          <w:p>
            <w:pPr>
              <w:spacing w:before="0" w:after="0"/>
            </w:pPr>
            <w:r>
              <w:rPr>
                <w:rFonts w:ascii="Roboto Mono" w:hAnsi="Roboto Mono"/>
                <w:color w:val="188038"/>
                <w:sz w:val="18"/>
              </w:rPr>
              <w:t>AD-SA-004</w:t>
            </w:r>
          </w:p>
        </w:tc>
        <w:tc>
          <w:tcPr>
            <w:tcW w:type="dxa" w:w="7710"/>
            <w:tcMar>
              <w:top w:w="110" w:type="dxa"/>
              <w:start w:w="120" w:type="dxa"/>
              <w:bottom w:w="110" w:type="dxa"/>
              <w:end w:w="120" w:type="dxa"/>
            </w:tcMar>
            <w:vAlign w:val="center"/>
          </w:tcPr>
          <w:p>
            <w:pPr>
              <w:spacing w:before="0" w:after="0"/>
            </w:pPr>
            <w:r>
              <w:rPr>
                <w:sz w:val="18"/>
              </w:rPr>
              <w:t>Use common topology/outage/restoration logic for formal, exploration, defective and corrected cases.</w:t>
            </w:r>
          </w:p>
        </w:tc>
      </w:tr>
      <w:tr>
        <w:trPr>
          <w:cantSplit/>
        </w:trPr>
        <w:tc>
          <w:tcPr>
            <w:tcW w:type="dxa" w:w="1650"/>
            <w:tcMar>
              <w:top w:w="110" w:type="dxa"/>
              <w:start w:w="120" w:type="dxa"/>
              <w:bottom w:w="110" w:type="dxa"/>
              <w:end w:w="120" w:type="dxa"/>
            </w:tcMar>
            <w:vAlign w:val="center"/>
          </w:tcPr>
          <w:p>
            <w:pPr>
              <w:spacing w:before="0" w:after="0"/>
            </w:pPr>
            <w:r>
              <w:rPr>
                <w:rFonts w:ascii="Roboto Mono" w:hAnsi="Roboto Mono"/>
                <w:color w:val="188038"/>
                <w:sz w:val="18"/>
              </w:rPr>
              <w:t>AD-SA-005</w:t>
            </w:r>
          </w:p>
        </w:tc>
        <w:tc>
          <w:tcPr>
            <w:tcW w:type="dxa" w:w="7710"/>
            <w:tcMar>
              <w:top w:w="110" w:type="dxa"/>
              <w:start w:w="120" w:type="dxa"/>
              <w:bottom w:w="110" w:type="dxa"/>
              <w:end w:w="120" w:type="dxa"/>
            </w:tcMar>
            <w:vAlign w:val="center"/>
          </w:tcPr>
          <w:p>
            <w:pPr>
              <w:spacing w:before="0" w:after="0"/>
            </w:pPr>
            <w:r>
              <w:rPr>
                <w:sz w:val="18"/>
              </w:rPr>
              <w:t>Derive feeder roles and source attribution from topology; do not fix affected/alternate roles in code.</w:t>
            </w:r>
          </w:p>
        </w:tc>
      </w:tr>
      <w:tr>
        <w:trPr>
          <w:cantSplit/>
        </w:trPr>
        <w:tc>
          <w:tcPr>
            <w:tcW w:type="dxa" w:w="1650"/>
            <w:tcMar>
              <w:top w:w="110" w:type="dxa"/>
              <w:start w:w="120" w:type="dxa"/>
              <w:bottom w:w="110" w:type="dxa"/>
              <w:end w:w="120" w:type="dxa"/>
            </w:tcMar>
            <w:vAlign w:val="center"/>
          </w:tcPr>
          <w:p>
            <w:pPr>
              <w:spacing w:before="0" w:after="0"/>
            </w:pPr>
            <w:r>
              <w:rPr>
                <w:rFonts w:ascii="Roboto Mono" w:hAnsi="Roboto Mono"/>
                <w:color w:val="188038"/>
                <w:sz w:val="18"/>
              </w:rPr>
              <w:t>AD-SA-006</w:t>
            </w:r>
          </w:p>
        </w:tc>
        <w:tc>
          <w:tcPr>
            <w:tcW w:type="dxa" w:w="7710"/>
            <w:tcMar>
              <w:top w:w="110" w:type="dxa"/>
              <w:start w:w="120" w:type="dxa"/>
              <w:bottom w:w="110" w:type="dxa"/>
              <w:end w:w="120" w:type="dxa"/>
            </w:tcMar>
            <w:vAlign w:val="center"/>
          </w:tcPr>
          <w:p>
            <w:pPr>
              <w:spacing w:before="0" w:after="0"/>
            </w:pPr>
            <w:r>
              <w:rPr>
                <w:sz w:val="18"/>
              </w:rPr>
              <w:t>Treat restoration permission as revision-bound and invalidate it after any relevant state change.</w:t>
            </w:r>
          </w:p>
        </w:tc>
      </w:tr>
      <w:tr>
        <w:trPr>
          <w:cantSplit/>
        </w:trPr>
        <w:tc>
          <w:tcPr>
            <w:tcW w:type="dxa" w:w="1650"/>
            <w:tcMar>
              <w:top w:w="110" w:type="dxa"/>
              <w:start w:w="120" w:type="dxa"/>
              <w:bottom w:w="110" w:type="dxa"/>
              <w:end w:w="120" w:type="dxa"/>
            </w:tcMar>
            <w:vAlign w:val="center"/>
          </w:tcPr>
          <w:p>
            <w:pPr>
              <w:spacing w:before="0" w:after="0"/>
            </w:pPr>
            <w:r>
              <w:rPr>
                <w:rFonts w:ascii="Roboto Mono" w:hAnsi="Roboto Mono"/>
                <w:color w:val="188038"/>
                <w:sz w:val="18"/>
              </w:rPr>
              <w:t>AD-SA-007</w:t>
            </w:r>
          </w:p>
        </w:tc>
        <w:tc>
          <w:tcPr>
            <w:tcW w:type="dxa" w:w="7710"/>
            <w:tcMar>
              <w:top w:w="110" w:type="dxa"/>
              <w:start w:w="120" w:type="dxa"/>
              <w:bottom w:w="110" w:type="dxa"/>
              <w:end w:w="120" w:type="dxa"/>
            </w:tcMar>
            <w:vAlign w:val="center"/>
          </w:tcPr>
          <w:p>
            <w:pPr>
              <w:spacing w:before="0" w:after="0"/>
            </w:pPr>
            <w:r>
              <w:rPr>
                <w:sz w:val="18"/>
              </w:rPr>
              <w:t>Give BLOCKED precedence where required operational information is unreliable; otherwise use REJECTED for failed engineering criteria.</w:t>
            </w:r>
          </w:p>
        </w:tc>
      </w:tr>
      <w:tr>
        <w:trPr>
          <w:cantSplit/>
        </w:trPr>
        <w:tc>
          <w:tcPr>
            <w:tcW w:type="dxa" w:w="1650"/>
            <w:tcMar>
              <w:top w:w="110" w:type="dxa"/>
              <w:start w:w="120" w:type="dxa"/>
              <w:bottom w:w="110" w:type="dxa"/>
              <w:end w:w="120" w:type="dxa"/>
            </w:tcMar>
            <w:vAlign w:val="center"/>
          </w:tcPr>
          <w:p>
            <w:pPr>
              <w:spacing w:before="0" w:after="0"/>
            </w:pPr>
            <w:r>
              <w:rPr>
                <w:rFonts w:ascii="Roboto Mono" w:hAnsi="Roboto Mono"/>
                <w:color w:val="188038"/>
                <w:sz w:val="18"/>
              </w:rPr>
              <w:t>AD-SA-008</w:t>
            </w:r>
          </w:p>
        </w:tc>
        <w:tc>
          <w:tcPr>
            <w:tcW w:type="dxa" w:w="7710"/>
            <w:tcMar>
              <w:top w:w="110" w:type="dxa"/>
              <w:start w:w="120" w:type="dxa"/>
              <w:bottom w:w="110" w:type="dxa"/>
              <w:end w:w="120" w:type="dxa"/>
            </w:tcMar>
            <w:vAlign w:val="center"/>
          </w:tcPr>
          <w:p>
            <w:pPr>
              <w:spacing w:before="0" w:after="0"/>
            </w:pPr>
            <w:r>
              <w:rPr>
                <w:sz w:val="18"/>
              </w:rPr>
              <w:t>Use a controlled scenario clock for repeatable telemetry age and event order.</w:t>
            </w:r>
          </w:p>
        </w:tc>
      </w:tr>
      <w:tr>
        <w:trPr>
          <w:cantSplit/>
        </w:trPr>
        <w:tc>
          <w:tcPr>
            <w:tcW w:type="dxa" w:w="1650"/>
            <w:tcMar>
              <w:top w:w="110" w:type="dxa"/>
              <w:start w:w="120" w:type="dxa"/>
              <w:bottom w:w="110" w:type="dxa"/>
              <w:end w:w="120" w:type="dxa"/>
            </w:tcMar>
            <w:vAlign w:val="center"/>
          </w:tcPr>
          <w:p>
            <w:pPr>
              <w:spacing w:before="0" w:after="0"/>
            </w:pPr>
            <w:r>
              <w:rPr>
                <w:rFonts w:ascii="Roboto Mono" w:hAnsi="Roboto Mono"/>
                <w:color w:val="188038"/>
                <w:sz w:val="18"/>
              </w:rPr>
              <w:t>AD-SA-009</w:t>
            </w:r>
          </w:p>
        </w:tc>
        <w:tc>
          <w:tcPr>
            <w:tcW w:type="dxa" w:w="7710"/>
            <w:tcMar>
              <w:top w:w="110" w:type="dxa"/>
              <w:start w:w="120" w:type="dxa"/>
              <w:bottom w:w="110" w:type="dxa"/>
              <w:end w:w="120" w:type="dxa"/>
            </w:tcMar>
            <w:vAlign w:val="center"/>
          </w:tcPr>
          <w:p>
            <w:pPr>
              <w:spacing w:before="0" w:after="0"/>
            </w:pPr>
            <w:r>
              <w:rPr>
                <w:sz w:val="18"/>
              </w:rPr>
              <w:t>Preserve immutable validation executions and evidence snapshots rather than reading only current screen state.</w:t>
            </w:r>
          </w:p>
        </w:tc>
      </w:tr>
      <w:tr>
        <w:trPr>
          <w:cantSplit/>
        </w:trPr>
        <w:tc>
          <w:tcPr>
            <w:tcW w:type="dxa" w:w="1650"/>
            <w:tcMar>
              <w:top w:w="110" w:type="dxa"/>
              <w:start w:w="120" w:type="dxa"/>
              <w:bottom w:w="110" w:type="dxa"/>
              <w:end w:w="120" w:type="dxa"/>
            </w:tcMar>
            <w:vAlign w:val="center"/>
          </w:tcPr>
          <w:p>
            <w:pPr>
              <w:spacing w:before="0" w:after="0"/>
            </w:pPr>
            <w:r>
              <w:rPr>
                <w:rFonts w:ascii="Roboto Mono" w:hAnsi="Roboto Mono"/>
                <w:color w:val="188038"/>
                <w:sz w:val="18"/>
              </w:rPr>
              <w:t>AD-SA-010</w:t>
            </w:r>
          </w:p>
        </w:tc>
        <w:tc>
          <w:tcPr>
            <w:tcW w:type="dxa" w:w="7710"/>
            <w:tcMar>
              <w:top w:w="110" w:type="dxa"/>
              <w:start w:w="120" w:type="dxa"/>
              <w:bottom w:w="110" w:type="dxa"/>
              <w:end w:w="120" w:type="dxa"/>
            </w:tcMar>
            <w:vAlign w:val="center"/>
          </w:tcPr>
          <w:p>
            <w:pPr>
              <w:spacing w:before="0" w:after="0"/>
            </w:pPr>
            <w:r>
              <w:rPr>
                <w:sz w:val="18"/>
              </w:rPr>
              <w:t>Preserve v1.0 and v1.1 separately and apply no code change between their topology tests.</w:t>
            </w:r>
          </w:p>
        </w:tc>
      </w:tr>
      <w:tr>
        <w:trPr>
          <w:cantSplit/>
        </w:trPr>
        <w:tc>
          <w:tcPr>
            <w:tcW w:type="dxa" w:w="1650"/>
            <w:tcMar>
              <w:top w:w="110" w:type="dxa"/>
              <w:start w:w="120" w:type="dxa"/>
              <w:bottom w:w="110" w:type="dxa"/>
              <w:end w:w="120" w:type="dxa"/>
            </w:tcMar>
            <w:vAlign w:val="center"/>
          </w:tcPr>
          <w:p>
            <w:pPr>
              <w:spacing w:before="0" w:after="0"/>
            </w:pPr>
            <w:r>
              <w:rPr>
                <w:rFonts w:ascii="Roboto Mono" w:hAnsi="Roboto Mono"/>
                <w:color w:val="188038"/>
                <w:sz w:val="18"/>
              </w:rPr>
              <w:t>AD-SA-011</w:t>
            </w:r>
          </w:p>
        </w:tc>
        <w:tc>
          <w:tcPr>
            <w:tcW w:type="dxa" w:w="7710"/>
            <w:tcMar>
              <w:top w:w="110" w:type="dxa"/>
              <w:start w:w="120" w:type="dxa"/>
              <w:bottom w:w="110" w:type="dxa"/>
              <w:end w:w="120" w:type="dxa"/>
            </w:tcMar>
            <w:vAlign w:val="center"/>
          </w:tcPr>
          <w:p>
            <w:pPr>
              <w:spacing w:before="0" w:after="0"/>
            </w:pPr>
            <w:r>
              <w:rPr>
                <w:sz w:val="18"/>
              </w:rPr>
              <w:t>Keep operational events separate from engineering validation/defect records while linking them by stable identifiers.</w:t>
            </w:r>
          </w:p>
        </w:tc>
      </w:tr>
      <w:tr>
        <w:trPr>
          <w:cantSplit/>
        </w:trPr>
        <w:tc>
          <w:tcPr>
            <w:tcW w:type="dxa" w:w="1650"/>
            <w:tcMar>
              <w:top w:w="110" w:type="dxa"/>
              <w:start w:w="120" w:type="dxa"/>
              <w:bottom w:w="110" w:type="dxa"/>
              <w:end w:w="120" w:type="dxa"/>
            </w:tcMar>
            <w:vAlign w:val="center"/>
          </w:tcPr>
          <w:p>
            <w:pPr>
              <w:spacing w:before="0" w:after="0"/>
            </w:pPr>
            <w:r>
              <w:rPr>
                <w:rFonts w:ascii="Roboto Mono" w:hAnsi="Roboto Mono"/>
                <w:color w:val="188038"/>
                <w:sz w:val="18"/>
              </w:rPr>
              <w:t>AD-SA-012</w:t>
            </w:r>
          </w:p>
        </w:tc>
        <w:tc>
          <w:tcPr>
            <w:tcW w:type="dxa" w:w="7710"/>
            <w:tcMar>
              <w:top w:w="110" w:type="dxa"/>
              <w:start w:w="120" w:type="dxa"/>
              <w:bottom w:w="110" w:type="dxa"/>
              <w:end w:w="120" w:type="dxa"/>
            </w:tcMar>
            <w:vAlign w:val="center"/>
          </w:tcPr>
          <w:p>
            <w:pPr>
              <w:spacing w:before="0" w:after="0"/>
            </w:pPr>
            <w:r>
              <w:rPr>
                <w:sz w:val="18"/>
              </w:rPr>
              <w:t>Defer technology stack, persistence format and screen design until later design stages without weakening these logical contracts.</w:t>
            </w:r>
          </w:p>
        </w:tc>
      </w:tr>
      <w:tr>
        <w:trPr>
          <w:cantSplit/>
          <w:cantSplit/>
        </w:trPr>
        <w:tc>
          <w:tcPr>
            <w:tcW w:type="dxa" w:w="1650"/>
            <w:tcMar>
              <w:top w:w="80" w:type="dxa"/>
              <w:start w:w="100" w:type="dxa"/>
              <w:bottom w:w="80" w:type="dxa"/>
              <w:end w:w="100" w:type="dxa"/>
            </w:tcMar>
            <w:vAlign w:val="center"/>
          </w:tcPr>
          <w:p>
            <w:pPr>
              <w:spacing w:before="20" w:after="20"/>
            </w:pPr>
            <w:r>
              <w:rPr>
                <w:rFonts w:ascii="Roboto Mono" w:hAnsi="Roboto Mono" w:eastAsia="Roboto Mono"/>
                <w:color w:val="188038"/>
                <w:sz w:val="16"/>
              </w:rPr>
              <w:t>AD-SA-013</w:t>
            </w:r>
          </w:p>
        </w:tc>
        <w:tc>
          <w:tcPr>
            <w:tcW w:type="dxa" w:w="7710"/>
            <w:tcMar>
              <w:top w:w="80" w:type="dxa"/>
              <w:start w:w="100" w:type="dxa"/>
              <w:bottom w:w="80" w:type="dxa"/>
              <w:end w:w="100" w:type="dxa"/>
            </w:tcMar>
            <w:vAlign w:val="center"/>
          </w:tcPr>
          <w:p>
            <w:pPr>
              <w:spacing w:before="20" w:after="20"/>
            </w:pPr>
            <w:r>
              <w:rPr>
                <w:sz w:val="16"/>
              </w:rPr>
              <w:t>Allocate configuration incidence to the configuration/topology boundary, boundary evidence evaluation and isolation proof to topology processing, and authorised action exposure to backend coordination; prohibit frontend or section-specific boundary logic.</w:t>
            </w:r>
          </w:p>
        </w:tc>
      </w:tr>
    </w:tbl>
    <w:p>
      <w:pPr>
        <w:spacing w:after="60"/>
      </w:pPr>
    </w:p>
    <w:p>
      <w:pPr>
        <w:pStyle w:val="Heading1"/>
      </w:pPr>
      <w:r>
        <w:t>24. Controlled Deferred Parameters and Questions</w:t>
      </w:r>
    </w:p>
    <w:p>
      <w:pPr>
        <w:keepLines/>
        <w:spacing w:before="240" w:after="240"/>
      </w:pPr>
      <w:r>
        <w:rPr>
          <w:i w:val="0"/>
        </w:rPr>
        <w:t>The following choices are intentionally not guessed inside this architecture. Each must be resolved in the named downstream design activity before implementation relies on it:</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4550"/>
        <w:gridCol w:w="241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7"/>
              </w:rPr>
              <w:t>Item</w:t>
            </w:r>
          </w:p>
        </w:tc>
        <w:tc>
          <w:tcPr>
            <w:tcW w:type="dxa" w:w="7"/>
            <w:shd w:fill="E7E6E6"/>
            <w:tcMar>
              <w:top w:w="110" w:type="dxa"/>
              <w:start w:w="120" w:type="dxa"/>
              <w:bottom w:w="110" w:type="dxa"/>
              <w:end w:w="120" w:type="dxa"/>
            </w:tcMar>
            <w:vAlign w:val="center"/>
          </w:tcPr>
          <w:p>
            <w:pPr>
              <w:spacing w:before="0" w:after="0"/>
              <w:jc w:val="center"/>
            </w:pPr>
            <w:r>
              <w:rPr>
                <w:b/>
                <w:sz w:val="17"/>
              </w:rPr>
              <w:t>Current architectural constraint</w:t>
            </w:r>
          </w:p>
        </w:tc>
        <w:tc>
          <w:tcPr>
            <w:tcW w:type="dxa" w:w="4"/>
            <w:shd w:fill="E7E6E6"/>
            <w:tcMar>
              <w:top w:w="110" w:type="dxa"/>
              <w:start w:w="120" w:type="dxa"/>
              <w:bottom w:w="110" w:type="dxa"/>
              <w:end w:w="120" w:type="dxa"/>
            </w:tcMar>
            <w:vAlign w:val="center"/>
          </w:tcPr>
          <w:p>
            <w:pPr>
              <w:spacing w:before="0" w:after="0"/>
              <w:jc w:val="center"/>
            </w:pPr>
            <w:r>
              <w:rPr>
                <w:b/>
                <w:sz w:val="17"/>
              </w:rPr>
              <w:t>Resolution stage</w:t>
            </w:r>
          </w:p>
        </w:tc>
      </w:tr>
      <w:tr>
        <w:trPr>
          <w:cantSplit/>
        </w:trPr>
        <w:tc>
          <w:tcPr>
            <w:tcW w:type="dxa" w:w="2400"/>
            <w:tcMar>
              <w:top w:w="110" w:type="dxa"/>
              <w:start w:w="120" w:type="dxa"/>
              <w:bottom w:w="110" w:type="dxa"/>
              <w:end w:w="120" w:type="dxa"/>
            </w:tcMar>
            <w:vAlign w:val="center"/>
          </w:tcPr>
          <w:p>
            <w:pPr>
              <w:spacing w:before="0" w:after="0"/>
            </w:pPr>
            <w:r>
              <w:rPr>
                <w:sz w:val="17"/>
              </w:rPr>
              <w:t>Maximum telemetry age</w:t>
            </w:r>
          </w:p>
        </w:tc>
        <w:tc>
          <w:tcPr>
            <w:tcW w:type="dxa" w:w="4550"/>
            <w:tcMar>
              <w:top w:w="110" w:type="dxa"/>
              <w:start w:w="120" w:type="dxa"/>
              <w:bottom w:w="110" w:type="dxa"/>
              <w:end w:w="120" w:type="dxa"/>
            </w:tcMar>
            <w:vAlign w:val="center"/>
          </w:tcPr>
          <w:p>
            <w:pPr>
              <w:spacing w:before="0" w:after="0"/>
            </w:pPr>
            <w:r>
              <w:rPr>
                <w:sz w:val="17"/>
              </w:rPr>
              <w:t>One controlled project parameter; age greater than the value is stale</w:t>
            </w:r>
          </w:p>
        </w:tc>
        <w:tc>
          <w:tcPr>
            <w:tcW w:type="dxa" w:w="2410"/>
            <w:tcMar>
              <w:top w:w="110" w:type="dxa"/>
              <w:start w:w="120" w:type="dxa"/>
              <w:bottom w:w="110" w:type="dxa"/>
              <w:end w:w="120" w:type="dxa"/>
            </w:tcMar>
            <w:vAlign w:val="center"/>
          </w:tcPr>
          <w:p>
            <w:pPr>
              <w:spacing w:before="0" w:after="0"/>
            </w:pPr>
            <w:r>
              <w:rPr>
                <w:sz w:val="17"/>
              </w:rPr>
              <w:t>Workflow / Validation Design before test baseline</w:t>
            </w:r>
          </w:p>
        </w:tc>
      </w:tr>
      <w:tr>
        <w:trPr>
          <w:cantSplit/>
        </w:trPr>
        <w:tc>
          <w:tcPr>
            <w:tcW w:type="dxa" w:w="2400"/>
            <w:tcMar>
              <w:top w:w="110" w:type="dxa"/>
              <w:start w:w="120" w:type="dxa"/>
              <w:bottom w:w="110" w:type="dxa"/>
              <w:end w:w="120" w:type="dxa"/>
            </w:tcMar>
            <w:vAlign w:val="center"/>
          </w:tcPr>
          <w:p>
            <w:pPr>
              <w:spacing w:before="0" w:after="0"/>
            </w:pPr>
            <w:r>
              <w:rPr>
                <w:sz w:val="17"/>
              </w:rPr>
              <w:t>Technology stack</w:t>
            </w:r>
          </w:p>
        </w:tc>
        <w:tc>
          <w:tcPr>
            <w:tcW w:type="dxa" w:w="4550"/>
            <w:tcMar>
              <w:top w:w="110" w:type="dxa"/>
              <w:start w:w="120" w:type="dxa"/>
              <w:bottom w:w="110" w:type="dxa"/>
              <w:end w:w="120" w:type="dxa"/>
            </w:tcMar>
            <w:vAlign w:val="center"/>
          </w:tcPr>
          <w:p>
            <w:pPr>
              <w:spacing w:before="0" w:after="0"/>
            </w:pPr>
            <w:r>
              <w:rPr>
                <w:sz w:val="17"/>
              </w:rPr>
              <w:t>Must support deterministic local modular behaviour and reviewable evidence</w:t>
            </w:r>
          </w:p>
        </w:tc>
        <w:tc>
          <w:tcPr>
            <w:tcW w:type="dxa" w:w="2410"/>
            <w:tcMar>
              <w:top w:w="110" w:type="dxa"/>
              <w:start w:w="120" w:type="dxa"/>
              <w:bottom w:w="110" w:type="dxa"/>
              <w:end w:w="120" w:type="dxa"/>
            </w:tcMar>
            <w:vAlign w:val="center"/>
          </w:tcPr>
          <w:p>
            <w:pPr>
              <w:spacing w:before="0" w:after="0"/>
            </w:pPr>
            <w:r>
              <w:rPr>
                <w:sz w:val="17"/>
              </w:rPr>
              <w:t>Step 8 — Demonstrator Design</w:t>
            </w:r>
          </w:p>
        </w:tc>
      </w:tr>
      <w:tr>
        <w:trPr>
          <w:cantSplit/>
        </w:trPr>
        <w:tc>
          <w:tcPr>
            <w:tcW w:type="dxa" w:w="2400"/>
            <w:tcMar>
              <w:top w:w="110" w:type="dxa"/>
              <w:start w:w="120" w:type="dxa"/>
              <w:bottom w:w="110" w:type="dxa"/>
              <w:end w:w="120" w:type="dxa"/>
            </w:tcMar>
            <w:vAlign w:val="center"/>
          </w:tcPr>
          <w:p>
            <w:pPr>
              <w:spacing w:before="0" w:after="0"/>
            </w:pPr>
            <w:r>
              <w:rPr>
                <w:sz w:val="17"/>
              </w:rPr>
              <w:t>Persistence/file formats</w:t>
            </w:r>
          </w:p>
        </w:tc>
        <w:tc>
          <w:tcPr>
            <w:tcW w:type="dxa" w:w="4550"/>
            <w:tcMar>
              <w:top w:w="110" w:type="dxa"/>
              <w:start w:w="120" w:type="dxa"/>
              <w:bottom w:w="110" w:type="dxa"/>
              <w:end w:w="120" w:type="dxa"/>
            </w:tcMar>
            <w:vAlign w:val="center"/>
          </w:tcPr>
          <w:p>
            <w:pPr>
              <w:spacing w:before="0" w:after="0"/>
            </w:pPr>
            <w:r>
              <w:rPr>
                <w:sz w:val="17"/>
              </w:rPr>
              <w:t>Must preserve versioning, immutability, stable IDs and evidence links</w:t>
            </w:r>
          </w:p>
        </w:tc>
        <w:tc>
          <w:tcPr>
            <w:tcW w:type="dxa" w:w="2410"/>
            <w:tcMar>
              <w:top w:w="110" w:type="dxa"/>
              <w:start w:w="120" w:type="dxa"/>
              <w:bottom w:w="110" w:type="dxa"/>
              <w:end w:w="120" w:type="dxa"/>
            </w:tcMar>
            <w:vAlign w:val="center"/>
          </w:tcPr>
          <w:p>
            <w:pPr>
              <w:spacing w:before="0" w:after="0"/>
            </w:pPr>
            <w:r>
              <w:rPr>
                <w:sz w:val="17"/>
              </w:rPr>
              <w:t>Step 8 — Demonstrator Design</w:t>
            </w:r>
          </w:p>
        </w:tc>
      </w:tr>
      <w:tr>
        <w:trPr>
          <w:cantSplit/>
        </w:trPr>
        <w:tc>
          <w:tcPr>
            <w:tcW w:type="dxa" w:w="2400"/>
            <w:tcMar>
              <w:top w:w="110" w:type="dxa"/>
              <w:start w:w="120" w:type="dxa"/>
              <w:bottom w:w="110" w:type="dxa"/>
              <w:end w:w="120" w:type="dxa"/>
            </w:tcMar>
            <w:vAlign w:val="center"/>
          </w:tcPr>
          <w:p>
            <w:pPr>
              <w:spacing w:before="0" w:after="0"/>
            </w:pPr>
            <w:r>
              <w:rPr>
                <w:sz w:val="17"/>
              </w:rPr>
              <w:t>Detailed UI structure</w:t>
            </w:r>
          </w:p>
        </w:tc>
        <w:tc>
          <w:tcPr>
            <w:tcW w:type="dxa" w:w="4550"/>
            <w:tcMar>
              <w:top w:w="110" w:type="dxa"/>
              <w:start w:w="120" w:type="dxa"/>
              <w:bottom w:w="110" w:type="dxa"/>
              <w:end w:w="120" w:type="dxa"/>
            </w:tcMar>
            <w:vAlign w:val="center"/>
          </w:tcPr>
          <w:p>
            <w:pPr>
              <w:spacing w:before="0" w:after="0"/>
            </w:pPr>
            <w:r>
              <w:rPr>
                <w:sz w:val="17"/>
              </w:rPr>
              <w:t>Must show ownership/state distinctions and not calculate engineering results</w:t>
            </w:r>
          </w:p>
        </w:tc>
        <w:tc>
          <w:tcPr>
            <w:tcW w:type="dxa" w:w="2410"/>
            <w:tcMar>
              <w:top w:w="110" w:type="dxa"/>
              <w:start w:w="120" w:type="dxa"/>
              <w:bottom w:w="110" w:type="dxa"/>
              <w:end w:w="120" w:type="dxa"/>
            </w:tcMar>
            <w:vAlign w:val="center"/>
          </w:tcPr>
          <w:p>
            <w:pPr>
              <w:spacing w:before="0" w:after="0"/>
            </w:pPr>
            <w:r>
              <w:rPr>
                <w:sz w:val="17"/>
              </w:rPr>
              <w:t>Step 8 — Demonstrator Design</w:t>
            </w:r>
          </w:p>
        </w:tc>
      </w:tr>
      <w:tr>
        <w:trPr>
          <w:cantSplit/>
        </w:trPr>
        <w:tc>
          <w:tcPr>
            <w:tcW w:type="dxa" w:w="2400"/>
            <w:tcMar>
              <w:top w:w="110" w:type="dxa"/>
              <w:start w:w="120" w:type="dxa"/>
              <w:bottom w:w="110" w:type="dxa"/>
              <w:end w:w="120" w:type="dxa"/>
            </w:tcMar>
            <w:vAlign w:val="center"/>
          </w:tcPr>
          <w:p>
            <w:pPr>
              <w:spacing w:before="0" w:after="0"/>
            </w:pPr>
            <w:r>
              <w:rPr>
                <w:sz w:val="17"/>
              </w:rPr>
              <w:t>Final event subtype catalogue</w:t>
            </w:r>
          </w:p>
        </w:tc>
        <w:tc>
          <w:tcPr>
            <w:tcW w:type="dxa" w:w="4550"/>
            <w:tcMar>
              <w:top w:w="110" w:type="dxa"/>
              <w:start w:w="120" w:type="dxa"/>
              <w:bottom w:w="110" w:type="dxa"/>
              <w:end w:w="120" w:type="dxa"/>
            </w:tcMar>
            <w:vAlign w:val="center"/>
          </w:tcPr>
          <w:p>
            <w:pPr>
              <w:spacing w:before="0" w:after="0"/>
            </w:pPr>
            <w:r>
              <w:rPr>
                <w:sz w:val="17"/>
              </w:rPr>
              <w:t>Must cover REQ-EVT-001–011 and the processing sequence</w:t>
            </w:r>
          </w:p>
        </w:tc>
        <w:tc>
          <w:tcPr>
            <w:tcW w:type="dxa" w:w="2410"/>
            <w:tcMar>
              <w:top w:w="110" w:type="dxa"/>
              <w:start w:w="120" w:type="dxa"/>
              <w:bottom w:w="110" w:type="dxa"/>
              <w:end w:w="120" w:type="dxa"/>
            </w:tcMar>
            <w:vAlign w:val="center"/>
          </w:tcPr>
          <w:p>
            <w:pPr>
              <w:spacing w:before="0" w:after="0"/>
            </w:pPr>
            <w:r>
              <w:rPr>
                <w:sz w:val="17"/>
              </w:rPr>
              <w:t>Workflow and detailed design</w:t>
            </w:r>
          </w:p>
        </w:tc>
      </w:tr>
      <w:tr>
        <w:trPr>
          <w:cantSplit/>
        </w:trPr>
        <w:tc>
          <w:tcPr>
            <w:tcW w:type="dxa" w:w="2400"/>
            <w:tcMar>
              <w:top w:w="110" w:type="dxa"/>
              <w:start w:w="120" w:type="dxa"/>
              <w:bottom w:w="110" w:type="dxa"/>
              <w:end w:w="120" w:type="dxa"/>
            </w:tcMar>
            <w:vAlign w:val="center"/>
          </w:tcPr>
          <w:p>
            <w:pPr>
              <w:spacing w:before="0" w:after="0"/>
            </w:pPr>
            <w:r>
              <w:rPr>
                <w:sz w:val="17"/>
              </w:rPr>
              <w:t>Validation evidence export format</w:t>
            </w:r>
          </w:p>
        </w:tc>
        <w:tc>
          <w:tcPr>
            <w:tcW w:type="dxa" w:w="4550"/>
            <w:tcMar>
              <w:top w:w="110" w:type="dxa"/>
              <w:start w:w="120" w:type="dxa"/>
              <w:bottom w:w="110" w:type="dxa"/>
              <w:end w:w="120" w:type="dxa"/>
            </w:tcMar>
            <w:vAlign w:val="center"/>
          </w:tcPr>
          <w:p>
            <w:pPr>
              <w:spacing w:before="0" w:after="0"/>
            </w:pPr>
            <w:r>
              <w:rPr>
                <w:sz w:val="17"/>
              </w:rPr>
              <w:t>Must remain reviewable and traceable beyond a transient screen</w:t>
            </w:r>
          </w:p>
        </w:tc>
        <w:tc>
          <w:tcPr>
            <w:tcW w:type="dxa" w:w="2410"/>
            <w:tcMar>
              <w:top w:w="110" w:type="dxa"/>
              <w:start w:w="120" w:type="dxa"/>
              <w:bottom w:w="110" w:type="dxa"/>
              <w:end w:w="120" w:type="dxa"/>
            </w:tcMar>
            <w:vAlign w:val="center"/>
          </w:tcPr>
          <w:p>
            <w:pPr>
              <w:spacing w:before="0" w:after="0"/>
            </w:pPr>
            <w:r>
              <w:rPr>
                <w:sz w:val="17"/>
              </w:rPr>
              <w:t>Validation Plan / Demonstrator Design</w:t>
            </w:r>
          </w:p>
        </w:tc>
      </w:tr>
    </w:tbl>
    <w:p>
      <w:pPr>
        <w:spacing w:after="60"/>
      </w:pPr>
    </w:p>
    <w:p>
      <w:pPr>
        <w:keepLines/>
        <w:spacing w:before="240" w:after="240"/>
      </w:pPr>
      <w:r>
        <w:rPr>
          <w:i w:val="0"/>
        </w:rPr>
        <w:t>If implementation reaches one of these items before it has been resolved, it shall be raised as an engineering design question and documented before code is written.</w:t>
      </w:r>
    </w:p>
    <w:p>
      <w:pPr>
        <w:pStyle w:val="Heading1"/>
      </w:pPr>
      <w:r>
        <w:t>25. Architecture Completion and Next Stage</w:t>
      </w:r>
    </w:p>
    <w:p>
      <w:pPr>
        <w:keepLines/>
        <w:spacing w:before="240" w:after="240"/>
      </w:pPr>
      <w:r>
        <w:rPr>
          <w:i w:val="0"/>
        </w:rPr>
        <w:t>Sections 1–24 define the Step 6 logical architecture for downstream workflow and demonstrator design. They allocate all 124 formal requirements to architecture responsibilities while preserving the completed Network Model as the concrete engineering answer key.</w:t>
      </w:r>
    </w:p>
    <w:p>
      <w:pPr>
        <w:keepLines/>
        <w:spacing w:before="240" w:after="240"/>
      </w:pPr>
      <w:r>
        <w:rPr>
          <w:i w:val="0"/>
        </w:rPr>
        <w:t>The next lifecycle activity is Step 7 — Workflow Design. That activity should define the exact graduate engineer, operator/reviewer and system interaction sequences for formal validation, Exploration Mode, fault isolation, restoration assessment, defect investigation, configuration correction, repeat validation and evidence assembly. It should use the commands, records and component boundaries defined here without turning them into UI screen designs prematurely.</w:t>
      </w:r>
    </w:p>
    <w:p>
      <w:pPr>
        <w:pStyle w:val="Heading1"/>
        <w:keepNext/>
      </w:pPr>
      <w:r>
        <w:t>26. Controlled Amendment — DC-003 Isolation Architecture</w:t>
      </w:r>
    </w:p>
    <w:p>
      <w:pPr>
        <w:pStyle w:val="Heading2"/>
        <w:keepNext/>
      </w:pPr>
      <w:r>
        <w:t>26.1 Information Ownership</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1944"/>
            <w:shd w:fill="E7E7E7"/>
            <w:tcMar>
              <w:top w:w="80" w:type="dxa"/>
              <w:start w:w="100" w:type="dxa"/>
              <w:bottom w:w="80" w:type="dxa"/>
              <w:end w:w="100" w:type="dxa"/>
            </w:tcMar>
            <w:vAlign w:val="center"/>
          </w:tcPr>
          <w:p>
            <w:pPr>
              <w:spacing w:before="40" w:after="40"/>
              <w:jc w:val="center"/>
            </w:pPr>
            <w:r>
              <w:rPr>
                <w:b/>
                <w:sz w:val="16"/>
              </w:rPr>
              <w:t>Information / function</w:t>
            </w:r>
          </w:p>
        </w:tc>
        <w:tc>
          <w:tcPr>
            <w:tcW w:type="dxa" w:w="2376"/>
            <w:shd w:fill="E7E7E7"/>
            <w:tcMar>
              <w:top w:w="80" w:type="dxa"/>
              <w:start w:w="100" w:type="dxa"/>
              <w:bottom w:w="80" w:type="dxa"/>
              <w:end w:w="100" w:type="dxa"/>
            </w:tcMar>
            <w:vAlign w:val="center"/>
          </w:tcPr>
          <w:p>
            <w:pPr>
              <w:spacing w:before="40" w:after="40"/>
              <w:jc w:val="center"/>
            </w:pPr>
            <w:r>
              <w:rPr>
                <w:b/>
                <w:sz w:val="16"/>
              </w:rPr>
              <w:t>Authoritative owner</w:t>
            </w:r>
          </w:p>
        </w:tc>
        <w:tc>
          <w:tcPr>
            <w:tcW w:type="dxa" w:w="5040"/>
            <w:shd w:fill="E7E7E7"/>
            <w:tcMar>
              <w:top w:w="80" w:type="dxa"/>
              <w:start w:w="100" w:type="dxa"/>
              <w:bottom w:w="80" w:type="dxa"/>
              <w:end w:w="100" w:type="dxa"/>
            </w:tcMar>
            <w:vAlign w:val="center"/>
          </w:tcPr>
          <w:p>
            <w:pPr>
              <w:spacing w:before="40" w:after="40"/>
              <w:jc w:val="center"/>
            </w:pPr>
            <w:r>
              <w:rPr>
                <w:b/>
                <w:sz w:val="16"/>
              </w:rPr>
              <w:t>Controlled responsibility</w:t>
            </w:r>
          </w:p>
        </w:tc>
      </w:tr>
      <w:tr>
        <w:trPr>
          <w:cantSplit/>
        </w:trPr>
        <w:tc>
          <w:tcPr>
            <w:tcW w:type="dxa" w:w="1944"/>
            <w:tcMar>
              <w:top w:w="80" w:type="dxa"/>
              <w:start w:w="100" w:type="dxa"/>
              <w:bottom w:w="80" w:type="dxa"/>
              <w:end w:w="100" w:type="dxa"/>
            </w:tcMar>
            <w:vAlign w:val="center"/>
          </w:tcPr>
          <w:p>
            <w:pPr>
              <w:spacing w:before="20" w:after="20"/>
            </w:pPr>
            <w:r>
              <w:rPr>
                <w:sz w:val="16"/>
              </w:rPr>
              <w:t>Incident device connectivity</w:t>
            </w:r>
          </w:p>
        </w:tc>
        <w:tc>
          <w:tcPr>
            <w:tcW w:type="dxa" w:w="2376"/>
            <w:tcMar>
              <w:top w:w="80" w:type="dxa"/>
              <w:start w:w="100" w:type="dxa"/>
              <w:bottom w:w="80" w:type="dxa"/>
              <w:end w:w="100" w:type="dxa"/>
            </w:tcMar>
            <w:vAlign w:val="center"/>
          </w:tcPr>
          <w:p>
            <w:pPr>
              <w:spacing w:before="20" w:after="20"/>
            </w:pPr>
            <w:r>
              <w:rPr>
                <w:sz w:val="16"/>
              </w:rPr>
              <w:t>Network Configuration</w:t>
            </w:r>
          </w:p>
        </w:tc>
        <w:tc>
          <w:tcPr>
            <w:tcW w:type="dxa" w:w="5040"/>
            <w:tcMar>
              <w:top w:w="80" w:type="dxa"/>
              <w:start w:w="100" w:type="dxa"/>
              <w:bottom w:w="80" w:type="dxa"/>
              <w:end w:w="100" w:type="dxa"/>
            </w:tcMar>
            <w:vAlign w:val="center"/>
          </w:tcPr>
          <w:p>
            <w:pPr>
              <w:spacing w:before="20" w:after="20"/>
            </w:pPr>
            <w:r>
              <w:rPr>
                <w:sz w:val="16"/>
              </w:rPr>
              <w:t>Provides the switchable devices directly incident to the active fault section in the selected configuration.</w:t>
            </w:r>
          </w:p>
        </w:tc>
      </w:tr>
      <w:tr>
        <w:trPr>
          <w:cantSplit/>
        </w:trPr>
        <w:tc>
          <w:tcPr>
            <w:tcW w:type="dxa" w:w="1944"/>
            <w:tcMar>
              <w:top w:w="80" w:type="dxa"/>
              <w:start w:w="100" w:type="dxa"/>
              <w:bottom w:w="80" w:type="dxa"/>
              <w:end w:w="100" w:type="dxa"/>
            </w:tcMar>
            <w:vAlign w:val="center"/>
          </w:tcPr>
          <w:p>
            <w:pPr>
              <w:spacing w:before="20" w:after="20"/>
            </w:pPr>
            <w:r>
              <w:rPr>
                <w:sz w:val="16"/>
              </w:rPr>
              <w:t>Observed device evidence</w:t>
            </w:r>
          </w:p>
        </w:tc>
        <w:tc>
          <w:tcPr>
            <w:tcW w:type="dxa" w:w="2376"/>
            <w:tcMar>
              <w:top w:w="80" w:type="dxa"/>
              <w:start w:w="100" w:type="dxa"/>
              <w:bottom w:w="80" w:type="dxa"/>
              <w:end w:w="100" w:type="dxa"/>
            </w:tcMar>
            <w:vAlign w:val="center"/>
          </w:tcPr>
          <w:p>
            <w:pPr>
              <w:spacing w:before="20" w:after="20"/>
            </w:pPr>
            <w:r>
              <w:rPr>
                <w:sz w:val="16"/>
              </w:rPr>
              <w:t>SCADA/Telemetry</w:t>
            </w:r>
          </w:p>
        </w:tc>
        <w:tc>
          <w:tcPr>
            <w:tcW w:type="dxa" w:w="5040"/>
            <w:tcMar>
              <w:top w:w="80" w:type="dxa"/>
              <w:start w:w="100" w:type="dxa"/>
              <w:bottom w:w="80" w:type="dxa"/>
              <w:end w:w="100" w:type="dxa"/>
            </w:tcMar>
            <w:vAlign w:val="center"/>
          </w:tcPr>
          <w:p>
            <w:pPr>
              <w:spacing w:before="20" w:after="20"/>
            </w:pPr>
            <w:r>
              <w:rPr>
                <w:sz w:val="16"/>
              </w:rPr>
              <w:t>Provides observed OPEN/CLOSED value, GOOD/UNCERTAIN/BAD quality, timestamp and independently derived freshness/validity.</w:t>
            </w:r>
          </w:p>
        </w:tc>
      </w:tr>
      <w:tr>
        <w:trPr>
          <w:cantSplit/>
        </w:trPr>
        <w:tc>
          <w:tcPr>
            <w:tcW w:type="dxa" w:w="1944"/>
            <w:tcMar>
              <w:top w:w="80" w:type="dxa"/>
              <w:start w:w="100" w:type="dxa"/>
              <w:bottom w:w="80" w:type="dxa"/>
              <w:end w:w="100" w:type="dxa"/>
            </w:tcMar>
            <w:vAlign w:val="center"/>
          </w:tcPr>
          <w:p>
            <w:pPr>
              <w:spacing w:before="20" w:after="20"/>
            </w:pPr>
            <w:r>
              <w:rPr>
                <w:sz w:val="16"/>
              </w:rPr>
              <w:t>Boundary proof state</w:t>
            </w:r>
          </w:p>
        </w:tc>
        <w:tc>
          <w:tcPr>
            <w:tcW w:type="dxa" w:w="2376"/>
            <w:tcMar>
              <w:top w:w="80" w:type="dxa"/>
              <w:start w:w="100" w:type="dxa"/>
              <w:bottom w:w="80" w:type="dxa"/>
              <w:end w:w="100" w:type="dxa"/>
            </w:tcMar>
            <w:vAlign w:val="center"/>
          </w:tcPr>
          <w:p>
            <w:pPr>
              <w:spacing w:before="20" w:after="20"/>
            </w:pPr>
            <w:r>
              <w:rPr>
                <w:sz w:val="16"/>
              </w:rPr>
              <w:t>Topology Processing</w:t>
            </w:r>
          </w:p>
        </w:tc>
        <w:tc>
          <w:tcPr>
            <w:tcW w:type="dxa" w:w="5040"/>
            <w:tcMar>
              <w:top w:w="80" w:type="dxa"/>
              <w:start w:w="100" w:type="dxa"/>
              <w:bottom w:w="80" w:type="dxa"/>
              <w:end w:w="100" w:type="dxa"/>
            </w:tcMar>
            <w:vAlign w:val="center"/>
          </w:tcPr>
          <w:p>
            <w:pPr>
              <w:spacing w:before="20" w:after="20"/>
            </w:pPr>
            <w:r>
              <w:rPr>
                <w:sz w:val="16"/>
              </w:rPr>
              <w:t>Classifies each incident boundary as PROVEN OPEN, PROVEN CLOSED or UNPROVEN; derives active source paths and overall isolation proof.</w:t>
            </w:r>
          </w:p>
        </w:tc>
      </w:tr>
      <w:tr>
        <w:trPr>
          <w:cantSplit/>
        </w:trPr>
        <w:tc>
          <w:tcPr>
            <w:tcW w:type="dxa" w:w="1944"/>
            <w:tcMar>
              <w:top w:w="80" w:type="dxa"/>
              <w:start w:w="100" w:type="dxa"/>
              <w:bottom w:w="80" w:type="dxa"/>
              <w:end w:w="100" w:type="dxa"/>
            </w:tcMar>
            <w:vAlign w:val="center"/>
          </w:tcPr>
          <w:p>
            <w:pPr>
              <w:spacing w:before="20" w:after="20"/>
            </w:pPr>
            <w:r>
              <w:rPr>
                <w:sz w:val="16"/>
              </w:rPr>
              <w:t>Isolation action set</w:t>
            </w:r>
          </w:p>
        </w:tc>
        <w:tc>
          <w:tcPr>
            <w:tcW w:type="dxa" w:w="2376"/>
            <w:tcMar>
              <w:top w:w="80" w:type="dxa"/>
              <w:start w:w="100" w:type="dxa"/>
              <w:bottom w:w="80" w:type="dxa"/>
              <w:end w:w="100" w:type="dxa"/>
            </w:tcMar>
            <w:vAlign w:val="center"/>
          </w:tcPr>
          <w:p>
            <w:pPr>
              <w:spacing w:before="20" w:after="20"/>
            </w:pPr>
            <w:r>
              <w:rPr>
                <w:sz w:val="16"/>
              </w:rPr>
              <w:t>Scenario/Application Coordinator</w:t>
            </w:r>
          </w:p>
        </w:tc>
        <w:tc>
          <w:tcPr>
            <w:tcW w:type="dxa" w:w="5040"/>
            <w:tcMar>
              <w:top w:w="80" w:type="dxa"/>
              <w:start w:w="100" w:type="dxa"/>
              <w:bottom w:w="80" w:type="dxa"/>
              <w:end w:w="100" w:type="dxa"/>
            </w:tcMar>
            <w:vAlign w:val="center"/>
          </w:tcPr>
          <w:p>
            <w:pPr>
              <w:spacing w:before="20" w:after="20"/>
            </w:pPr>
            <w:r>
              <w:rPr>
                <w:sz w:val="16"/>
              </w:rPr>
              <w:t>Exposes backend-authorised OPEN actions from current boundary proof plus existing workflow and command gates.</w:t>
            </w:r>
          </w:p>
        </w:tc>
      </w:tr>
      <w:tr>
        <w:trPr>
          <w:cantSplit/>
        </w:trPr>
        <w:tc>
          <w:tcPr>
            <w:tcW w:type="dxa" w:w="1944"/>
            <w:tcMar>
              <w:top w:w="80" w:type="dxa"/>
              <w:start w:w="100" w:type="dxa"/>
              <w:bottom w:w="80" w:type="dxa"/>
              <w:end w:w="100" w:type="dxa"/>
            </w:tcMar>
            <w:vAlign w:val="center"/>
          </w:tcPr>
          <w:p>
            <w:pPr>
              <w:spacing w:before="20" w:after="20"/>
            </w:pPr>
            <w:r>
              <w:rPr>
                <w:sz w:val="16"/>
              </w:rPr>
              <w:t>Outage/restoration consequences</w:t>
            </w:r>
          </w:p>
        </w:tc>
        <w:tc>
          <w:tcPr>
            <w:tcW w:type="dxa" w:w="2376"/>
            <w:tcMar>
              <w:top w:w="80" w:type="dxa"/>
              <w:start w:w="100" w:type="dxa"/>
              <w:bottom w:w="80" w:type="dxa"/>
              <w:end w:w="100" w:type="dxa"/>
            </w:tcMar>
            <w:vAlign w:val="center"/>
          </w:tcPr>
          <w:p>
            <w:pPr>
              <w:spacing w:before="20" w:after="20"/>
            </w:pPr>
            <w:r>
              <w:rPr>
                <w:sz w:val="16"/>
              </w:rPr>
              <w:t>OMS and Restoration Assessment</w:t>
            </w:r>
          </w:p>
        </w:tc>
        <w:tc>
          <w:tcPr>
            <w:tcW w:type="dxa" w:w="5040"/>
            <w:tcMar>
              <w:top w:w="80" w:type="dxa"/>
              <w:start w:w="100" w:type="dxa"/>
              <w:bottom w:w="80" w:type="dxa"/>
              <w:end w:w="100" w:type="dxa"/>
            </w:tcMar>
            <w:vAlign w:val="center"/>
          </w:tcPr>
          <w:p>
            <w:pPr>
              <w:spacing w:before="20" w:after="20"/>
            </w:pPr>
            <w:r>
              <w:rPr>
                <w:sz w:val="16"/>
              </w:rPr>
              <w:t>Consume recalculated derived topology; never read stored per-section consequence records.</w:t>
            </w:r>
          </w:p>
        </w:tc>
      </w:tr>
      <w:tr>
        <w:trPr>
          <w:cantSplit/>
        </w:trPr>
        <w:tc>
          <w:tcPr>
            <w:tcW w:type="dxa" w:w="1944"/>
            <w:tcMar>
              <w:top w:w="80" w:type="dxa"/>
              <w:start w:w="100" w:type="dxa"/>
              <w:bottom w:w="80" w:type="dxa"/>
              <w:end w:w="100" w:type="dxa"/>
            </w:tcMar>
            <w:vAlign w:val="center"/>
          </w:tcPr>
          <w:p>
            <w:pPr>
              <w:spacing w:before="20" w:after="20"/>
            </w:pPr>
            <w:r>
              <w:rPr>
                <w:sz w:val="16"/>
              </w:rPr>
              <w:t>Validation evidence</w:t>
            </w:r>
          </w:p>
        </w:tc>
        <w:tc>
          <w:tcPr>
            <w:tcW w:type="dxa" w:w="2376"/>
            <w:tcMar>
              <w:top w:w="80" w:type="dxa"/>
              <w:start w:w="100" w:type="dxa"/>
              <w:bottom w:w="80" w:type="dxa"/>
              <w:end w:w="100" w:type="dxa"/>
            </w:tcMar>
            <w:vAlign w:val="center"/>
          </w:tcPr>
          <w:p>
            <w:pPr>
              <w:spacing w:before="20" w:after="20"/>
            </w:pPr>
            <w:r>
              <w:rPr>
                <w:sz w:val="16"/>
              </w:rPr>
              <w:t>Validation/Evidence</w:t>
            </w:r>
          </w:p>
        </w:tc>
        <w:tc>
          <w:tcPr>
            <w:tcW w:type="dxa" w:w="5040"/>
            <w:tcMar>
              <w:top w:w="80" w:type="dxa"/>
              <w:start w:w="100" w:type="dxa"/>
              <w:bottom w:w="80" w:type="dxa"/>
              <w:end w:w="100" w:type="dxa"/>
            </w:tcMar>
            <w:vAlign w:val="center"/>
          </w:tcPr>
          <w:p>
            <w:pPr>
              <w:spacing w:before="20" w:after="20"/>
            </w:pPr>
            <w:r>
              <w:rPr>
                <w:sz w:val="16"/>
              </w:rPr>
              <w:t>Retains the input evidence, classification, action decision, topology/source-path result and proof revision.</w:t>
            </w:r>
          </w:p>
        </w:tc>
      </w:tr>
    </w:tbl>
    <w:p>
      <w:pPr>
        <w:spacing w:after="0"/>
      </w:pPr>
    </w:p>
    <w:p>
      <w:pPr>
        <w:pStyle w:val="Heading2"/>
        <w:keepNext/>
      </w:pPr>
      <w:r>
        <w:t>26.2 Processing Contract</w:t>
      </w:r>
    </w:p>
    <w:p>
      <w:pPr>
        <w:spacing w:before="120" w:after="120"/>
      </w:pPr>
      <w:r>
        <w:rPr>
          <w:b w:val="0"/>
          <w:i w:val="0"/>
        </w:rPr>
        <w:t>The topology boundary receives the active fault section, selected configuration identity/revision, source availability and the current observed switching evidence. It queries direct incidence generically, evaluates each boundary using the controlled A/B/C evidence conditions, derives active source paths and returns the complete boundary evaluation plus overall proof. The coordinator then applies existing workflow/command gates before presenting an OPEN action.</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2340"/>
        <w:gridCol w:w="2340"/>
        <w:gridCol w:w="2340"/>
        <w:gridCol w:w="2340"/>
      </w:tblGrid>
      <w:tr>
        <w:trPr>
          <w:tblHeader w:val="true"/>
          <w:cantSplit/>
        </w:trPr>
        <w:tc>
          <w:tcPr>
            <w:tcW w:type="dxa" w:w="1872"/>
            <w:shd w:fill="E7E7E7"/>
            <w:tcMar>
              <w:top w:w="80" w:type="dxa"/>
              <w:start w:w="100" w:type="dxa"/>
              <w:bottom w:w="80" w:type="dxa"/>
              <w:end w:w="100" w:type="dxa"/>
            </w:tcMar>
            <w:vAlign w:val="center"/>
          </w:tcPr>
          <w:p>
            <w:pPr>
              <w:spacing w:before="40" w:after="40"/>
              <w:jc w:val="center"/>
            </w:pPr>
            <w:r>
              <w:rPr>
                <w:b/>
                <w:sz w:val="16"/>
              </w:rPr>
              <w:t>Condition</w:t>
            </w:r>
          </w:p>
        </w:tc>
        <w:tc>
          <w:tcPr>
            <w:tcW w:type="dxa" w:w="2880"/>
            <w:shd w:fill="E7E7E7"/>
            <w:tcMar>
              <w:top w:w="80" w:type="dxa"/>
              <w:start w:w="100" w:type="dxa"/>
              <w:bottom w:w="80" w:type="dxa"/>
              <w:end w:w="100" w:type="dxa"/>
            </w:tcMar>
            <w:vAlign w:val="center"/>
          </w:tcPr>
          <w:p>
            <w:pPr>
              <w:spacing w:before="40" w:after="40"/>
              <w:jc w:val="center"/>
            </w:pPr>
            <w:r>
              <w:rPr>
                <w:b/>
                <w:sz w:val="16"/>
              </w:rPr>
              <w:t>Controlled evidence</w:t>
            </w:r>
          </w:p>
        </w:tc>
        <w:tc>
          <w:tcPr>
            <w:tcW w:type="dxa" w:w="2160"/>
            <w:shd w:fill="E7E7E7"/>
            <w:tcMar>
              <w:top w:w="80" w:type="dxa"/>
              <w:start w:w="100" w:type="dxa"/>
              <w:bottom w:w="80" w:type="dxa"/>
              <w:end w:w="100" w:type="dxa"/>
            </w:tcMar>
            <w:vAlign w:val="center"/>
          </w:tcPr>
          <w:p>
            <w:pPr>
              <w:spacing w:before="40" w:after="40"/>
              <w:jc w:val="center"/>
            </w:pPr>
            <w:r>
              <w:rPr>
                <w:b/>
                <w:sz w:val="16"/>
              </w:rPr>
              <w:t>Derived boundary result</w:t>
            </w:r>
          </w:p>
        </w:tc>
        <w:tc>
          <w:tcPr>
            <w:tcW w:type="dxa" w:w="2448"/>
            <w:shd w:fill="E7E7E7"/>
            <w:tcMar>
              <w:top w:w="80" w:type="dxa"/>
              <w:start w:w="100" w:type="dxa"/>
              <w:bottom w:w="80" w:type="dxa"/>
              <w:end w:w="100" w:type="dxa"/>
            </w:tcMar>
            <w:vAlign w:val="center"/>
          </w:tcPr>
          <w:p>
            <w:pPr>
              <w:spacing w:before="40" w:after="40"/>
              <w:jc w:val="center"/>
            </w:pPr>
            <w:r>
              <w:rPr>
                <w:b/>
                <w:sz w:val="16"/>
              </w:rPr>
              <w:t>Action treatment</w:t>
            </w:r>
          </w:p>
        </w:tc>
      </w:tr>
      <w:tr>
        <w:trPr>
          <w:cantSplit/>
        </w:trPr>
        <w:tc>
          <w:tcPr>
            <w:tcW w:type="dxa" w:w="1872"/>
            <w:tcMar>
              <w:top w:w="80" w:type="dxa"/>
              <w:start w:w="100" w:type="dxa"/>
              <w:bottom w:w="80" w:type="dxa"/>
              <w:end w:w="100" w:type="dxa"/>
            </w:tcMar>
            <w:vAlign w:val="center"/>
          </w:tcPr>
          <w:p>
            <w:pPr>
              <w:spacing w:before="20" w:after="20"/>
            </w:pPr>
            <w:r>
              <w:rPr>
                <w:sz w:val="16"/>
              </w:rPr>
              <w:t>A — trustworthy OPEN</w:t>
            </w:r>
          </w:p>
        </w:tc>
        <w:tc>
          <w:tcPr>
            <w:tcW w:type="dxa" w:w="2880"/>
            <w:tcMar>
              <w:top w:w="80" w:type="dxa"/>
              <w:start w:w="100" w:type="dxa"/>
              <w:bottom w:w="80" w:type="dxa"/>
              <w:end w:w="100" w:type="dxa"/>
            </w:tcMar>
            <w:vAlign w:val="center"/>
          </w:tcPr>
          <w:p>
            <w:pPr>
              <w:spacing w:before="20" w:after="20"/>
            </w:pPr>
            <w:r>
              <w:rPr>
                <w:sz w:val="16"/>
              </w:rPr>
              <w:t>GOOD, FRESH, valid timestamp, observed OPEN</w:t>
            </w:r>
          </w:p>
        </w:tc>
        <w:tc>
          <w:tcPr>
            <w:tcW w:type="dxa" w:w="2160"/>
            <w:tcMar>
              <w:top w:w="80" w:type="dxa"/>
              <w:start w:w="100" w:type="dxa"/>
              <w:bottom w:w="80" w:type="dxa"/>
              <w:end w:w="100" w:type="dxa"/>
            </w:tcMar>
            <w:vAlign w:val="center"/>
          </w:tcPr>
          <w:p>
            <w:pPr>
              <w:spacing w:before="20" w:after="20"/>
            </w:pPr>
            <w:r>
              <w:rPr>
                <w:sz w:val="16"/>
              </w:rPr>
              <w:t>PROVEN OPEN / SATISFIED</w:t>
            </w:r>
          </w:p>
        </w:tc>
        <w:tc>
          <w:tcPr>
            <w:tcW w:type="dxa" w:w="2448"/>
            <w:tcMar>
              <w:top w:w="80" w:type="dxa"/>
              <w:start w:w="100" w:type="dxa"/>
              <w:bottom w:w="80" w:type="dxa"/>
              <w:end w:w="100" w:type="dxa"/>
            </w:tcMar>
            <w:vAlign w:val="center"/>
          </w:tcPr>
          <w:p>
            <w:pPr>
              <w:spacing w:before="20" w:after="20"/>
            </w:pPr>
            <w:r>
              <w:rPr>
                <w:sz w:val="16"/>
              </w:rPr>
              <w:t>No OPEN command is required or offered.</w:t>
            </w:r>
          </w:p>
        </w:tc>
      </w:tr>
      <w:tr>
        <w:trPr>
          <w:cantSplit/>
        </w:trPr>
        <w:tc>
          <w:tcPr>
            <w:tcW w:type="dxa" w:w="1872"/>
            <w:tcMar>
              <w:top w:w="80" w:type="dxa"/>
              <w:start w:w="100" w:type="dxa"/>
              <w:bottom w:w="80" w:type="dxa"/>
              <w:end w:w="100" w:type="dxa"/>
            </w:tcMar>
            <w:vAlign w:val="center"/>
          </w:tcPr>
          <w:p>
            <w:pPr>
              <w:spacing w:before="20" w:after="20"/>
            </w:pPr>
            <w:r>
              <w:rPr>
                <w:sz w:val="16"/>
              </w:rPr>
              <w:t>B — trustworthy CLOSED</w:t>
            </w:r>
          </w:p>
        </w:tc>
        <w:tc>
          <w:tcPr>
            <w:tcW w:type="dxa" w:w="2880"/>
            <w:tcMar>
              <w:top w:w="80" w:type="dxa"/>
              <w:start w:w="100" w:type="dxa"/>
              <w:bottom w:w="80" w:type="dxa"/>
              <w:end w:w="100" w:type="dxa"/>
            </w:tcMar>
            <w:vAlign w:val="center"/>
          </w:tcPr>
          <w:p>
            <w:pPr>
              <w:spacing w:before="20" w:after="20"/>
            </w:pPr>
            <w:r>
              <w:rPr>
                <w:sz w:val="16"/>
              </w:rPr>
              <w:t>GOOD, FRESH, valid timestamp, observed CLOSED</w:t>
            </w:r>
          </w:p>
        </w:tc>
        <w:tc>
          <w:tcPr>
            <w:tcW w:type="dxa" w:w="2160"/>
            <w:tcMar>
              <w:top w:w="80" w:type="dxa"/>
              <w:start w:w="100" w:type="dxa"/>
              <w:bottom w:w="80" w:type="dxa"/>
              <w:end w:w="100" w:type="dxa"/>
            </w:tcMar>
            <w:vAlign w:val="center"/>
          </w:tcPr>
          <w:p>
            <w:pPr>
              <w:spacing w:before="20" w:after="20"/>
            </w:pPr>
            <w:r>
              <w:rPr>
                <w:sz w:val="16"/>
              </w:rPr>
              <w:t>PROVEN CLOSED</w:t>
            </w:r>
          </w:p>
        </w:tc>
        <w:tc>
          <w:tcPr>
            <w:tcW w:type="dxa" w:w="2448"/>
            <w:tcMar>
              <w:top w:w="80" w:type="dxa"/>
              <w:start w:w="100" w:type="dxa"/>
              <w:bottom w:w="80" w:type="dxa"/>
              <w:end w:w="100" w:type="dxa"/>
            </w:tcMar>
            <w:vAlign w:val="center"/>
          </w:tcPr>
          <w:p>
            <w:pPr>
              <w:spacing w:before="20" w:after="20"/>
            </w:pPr>
            <w:r>
              <w:rPr>
                <w:sz w:val="16"/>
              </w:rPr>
              <w:t>Offer an OPEN isolation action only when existing workflow and command gates authorise it.</w:t>
            </w:r>
          </w:p>
        </w:tc>
      </w:tr>
      <w:tr>
        <w:trPr>
          <w:cantSplit/>
        </w:trPr>
        <w:tc>
          <w:tcPr>
            <w:tcW w:type="dxa" w:w="1872"/>
            <w:tcMar>
              <w:top w:w="80" w:type="dxa"/>
              <w:start w:w="100" w:type="dxa"/>
              <w:bottom w:w="80" w:type="dxa"/>
              <w:end w:w="100" w:type="dxa"/>
            </w:tcMar>
            <w:vAlign w:val="center"/>
          </w:tcPr>
          <w:p>
            <w:pPr>
              <w:spacing w:before="20" w:after="20"/>
            </w:pPr>
            <w:r>
              <w:rPr>
                <w:sz w:val="16"/>
              </w:rPr>
              <w:t>C — untrustworthy or absent</w:t>
            </w:r>
          </w:p>
        </w:tc>
        <w:tc>
          <w:tcPr>
            <w:tcW w:type="dxa" w:w="2880"/>
            <w:tcMar>
              <w:top w:w="80" w:type="dxa"/>
              <w:start w:w="100" w:type="dxa"/>
              <w:bottom w:w="80" w:type="dxa"/>
              <w:end w:w="100" w:type="dxa"/>
            </w:tcMar>
            <w:vAlign w:val="center"/>
          </w:tcPr>
          <w:p>
            <w:pPr>
              <w:spacing w:before="20" w:after="20"/>
            </w:pPr>
            <w:r>
              <w:rPr>
                <w:sz w:val="16"/>
              </w:rPr>
              <w:t>STALE, UNCERTAIN, BAD, INVALID_TIMESTAMP, or missing required telemetry</w:t>
            </w:r>
          </w:p>
        </w:tc>
        <w:tc>
          <w:tcPr>
            <w:tcW w:type="dxa" w:w="2160"/>
            <w:tcMar>
              <w:top w:w="80" w:type="dxa"/>
              <w:start w:w="100" w:type="dxa"/>
              <w:bottom w:w="80" w:type="dxa"/>
              <w:end w:w="100" w:type="dxa"/>
            </w:tcMar>
            <w:vAlign w:val="center"/>
          </w:tcPr>
          <w:p>
            <w:pPr>
              <w:spacing w:before="20" w:after="20"/>
            </w:pPr>
            <w:r>
              <w:rPr>
                <w:sz w:val="16"/>
              </w:rPr>
              <w:t>UNPROVEN</w:t>
            </w:r>
          </w:p>
        </w:tc>
        <w:tc>
          <w:tcPr>
            <w:tcW w:type="dxa" w:w="2448"/>
            <w:tcMar>
              <w:top w:w="80" w:type="dxa"/>
              <w:start w:w="100" w:type="dxa"/>
              <w:bottom w:w="80" w:type="dxa"/>
              <w:end w:w="100" w:type="dxa"/>
            </w:tcMar>
            <w:vAlign w:val="center"/>
          </w:tcPr>
          <w:p>
            <w:pPr>
              <w:spacing w:before="20" w:after="20"/>
            </w:pPr>
            <w:r>
              <w:rPr>
                <w:sz w:val="16"/>
              </w:rPr>
              <w:t>Do not offer a redundant OPEN command. Present the evidence deficiency; isolation cannot be completed until trustworthy evidence is restored.</w:t>
            </w:r>
          </w:p>
        </w:tc>
      </w:tr>
    </w:tbl>
    <w:p>
      <w:pPr>
        <w:spacing w:after="0"/>
      </w:pPr>
    </w:p>
    <w:p>
      <w:pPr>
        <w:spacing w:before="120" w:after="120"/>
      </w:pPr>
      <w:r>
        <w:t>Every accepted switching command or valid telemetry update changes a relevant input revision and triggers the full transaction-order recalculation. No cached action remains current across such a revision. More than one authorised OPEN action may be returned; the architecture does not impose a section-specific order. Overall isolation is proven only when every incident boundary is proven OPEN and topology processing finds zero active source paths from every available source to the active fault section.</w:t>
      </w:r>
    </w:p>
    <w:p>
      <w:pPr>
        <w:pStyle w:val="Heading2"/>
        <w:keepNext/>
      </w:pPr>
      <w:r>
        <w:t>26.3 Interface and Safety Constraints</w:t>
      </w:r>
    </w:p>
    <w:p>
      <w:pPr>
        <w:spacing w:before="120" w:after="120"/>
      </w:pPr>
      <w:r>
        <w:rPr>
          <w:b w:val="0"/>
          <w:i w:val="0"/>
        </w:rPr>
        <w:t>Boundary-evaluation records include the boundary device identifier, observed value, quality, timestamp, freshness/validity, A/B/C condition, proof state, action eligibility, ineligibility reason and calculation revision. The frontend renders this backend-owned result and never reconstructs incidence or eligibility. A last-reported untrustworthy OPEN value is displayed as UNPROVEN with its deficiency and never converted into a redundant OPEN command.</w:t>
      </w:r>
    </w:p>
    <w:p>
      <w:pPr>
        <w:pStyle w:val="Heading2"/>
        <w:keepNext/>
      </w:pPr>
      <w:r>
        <w:t>26.4 Configuration Package Lifecycle</w:t>
      </w:r>
    </w:p>
    <w:p>
      <w:pPr>
        <w:spacing w:before="120" w:after="120"/>
      </w:pPr>
      <w:r>
        <w:rPr>
          <w:b w:val="0"/>
          <w:i w:val="0"/>
        </w:rPr>
        <w:t>The architecture currently governs approved v1.0/v1.1 engineering definitions, not existing implementation files. When implementation is explicitly authorised, the configuration module shall instantiate both definitions as separately versioned immutable packages, validate them against one schema, record hashes and make them loadable without runtime generation or correction. This distinction preserves the same-build v1.0 FAIL to v1.1 PASS assurance claim.</w:t>
      </w:r>
    </w:p>
    <w:p>
      <w:pPr>
        <w:pStyle w:val="Heading2"/>
        <w:keepNext/>
      </w:pPr>
      <w:r>
        <w:t>26.5 Acceptance Boundary</w:t>
      </w:r>
    </w:p>
    <w:p>
      <w:pPr>
        <w:spacing w:before="120" w:after="120"/>
      </w:pPr>
      <w:r>
        <w:rPr>
          <w:b w:val="0"/>
          <w:i w:val="0"/>
        </w:rPr>
        <w:t>DC-003 is applied to this architecture and shall be cross-document verified before final Step 9 acceptance and implementation authorisation. The change allocates existing behaviour; it does not alter the 124 requirements or add a new restoration rule.</w:t>
      </w:r>
    </w:p>
    <w:p>
      <w:pPr>
        <w:pStyle w:val="Heading1"/>
      </w:pPr>
      <w:r>
        <w:t>27. Proposed Controlled Amendment — DC-005 Suspension Assurance Architecture</w:t>
      </w:r>
    </w:p>
    <w:p>
      <w:pPr/>
      <w:r>
        <w:t>This proposed amendment resolves the narrow SA-CMP-08 gap exposed by QA-042. Section 12's PASS/FAIL execution model remains correct for a test that validly completes comparison. A separate validation-assurance suspension boundary is required when accepted entry/suspension rules prevent valid start, continuation or determination.</w:t>
      </w:r>
    </w:p>
    <w:p>
      <w:pPr>
        <w:pStyle w:val="Heading2"/>
      </w:pPr>
      <w:r>
        <w:t>27.1 Information Ownership</w:t>
      </w:r>
    </w:p>
    <w:p>
      <w:pPr/>
      <w:r>
        <w:t>SA-CMP-08 Validation and Evidence owns the exact VSC-001–VSC-005 registry, ValidationSuspensionRecord, typed suspension evidence, reviewer/backend authority audit, deterministic reason, terminal execution relationship and composite suspension source. SA-CMP-07 Scenario Control supplies actual run/execution context when it exists but never invents a run for pre-entry suspension. SA-CMP-09 presents backend-owned records and authorised review actions without choosing verdicts.</w:t>
      </w:r>
    </w:p>
    <w:tbl>
      <w:tblPr>
        <w:tblW w:type="dxa" w:w="9360"/>
        <w:jc w:val="left"/>
        <w:tblLayout w:type="fixed"/>
        <w:tblLook w:firstColumn="1" w:firstRow="1" w:lastColumn="0" w:lastRow="0" w:noHBand="0" w:noVBand="1" w:val="04A0"/>
        <w:tblInd w:type="dxa" w:w="120"/>
      </w:tblPr>
      <w:tblGrid>
        <w:gridCol w:w="2674"/>
        <w:gridCol w:w="2674"/>
        <w:gridCol w:w="4012"/>
      </w:tblGrid>
      <w:tr>
        <w:trPr>
          <w:tblHeader w:val="true"/>
        </w:trPr>
        <w:tc>
          <w:tcPr>
            <w:tcW w:type="dxa" w:w="2674"/>
            <w:shd w:fill="E7E7E7"/>
            <w:tcMar>
              <w:top w:w="80" w:type="dxa"/>
              <w:start w:w="120" w:type="dxa"/>
              <w:bottom w:w="80" w:type="dxa"/>
              <w:end w:w="120" w:type="dxa"/>
            </w:tcMar>
            <w:vAlign w:val="center"/>
          </w:tcPr>
          <w:p>
            <w:r>
              <w:rPr>
                <w:b/>
              </w:rPr>
              <w:t>Information object</w:t>
            </w:r>
          </w:p>
        </w:tc>
        <w:tc>
          <w:tcPr>
            <w:tcW w:type="dxa" w:w="2674"/>
            <w:shd w:fill="E7E7E7"/>
            <w:tcMar>
              <w:top w:w="80" w:type="dxa"/>
              <w:start w:w="120" w:type="dxa"/>
              <w:bottom w:w="80" w:type="dxa"/>
              <w:end w:w="120" w:type="dxa"/>
            </w:tcMar>
            <w:vAlign w:val="center"/>
          </w:tcPr>
          <w:p>
            <w:r>
              <w:rPr>
                <w:b/>
              </w:rPr>
              <w:t>Authoritative owner</w:t>
            </w:r>
          </w:p>
        </w:tc>
        <w:tc>
          <w:tcPr>
            <w:tcW w:type="dxa" w:w="4012"/>
            <w:shd w:fill="E7E7E7"/>
            <w:tcMar>
              <w:top w:w="80" w:type="dxa"/>
              <w:start w:w="120" w:type="dxa"/>
              <w:bottom w:w="80" w:type="dxa"/>
              <w:end w:w="120" w:type="dxa"/>
            </w:tcMar>
            <w:vAlign w:val="center"/>
          </w:tcPr>
          <w:p>
            <w:r>
              <w:rPr>
                <w:b/>
              </w:rPr>
              <w:t>Key boundary</w:t>
            </w:r>
          </w:p>
        </w:tc>
      </w:tr>
      <w:tr>
        <w:trPr/>
        <w:tc>
          <w:tcPr>
            <w:tcW w:type="dxa" w:w="2674"/>
            <w:tcMar>
              <w:top w:w="80" w:type="dxa"/>
              <w:start w:w="120" w:type="dxa"/>
              <w:bottom w:w="80" w:type="dxa"/>
              <w:end w:w="120" w:type="dxa"/>
            </w:tcMar>
            <w:vAlign w:val="center"/>
          </w:tcPr>
          <w:p>
            <w:r>
              <w:t>Suspension condition registry</w:t>
            </w:r>
          </w:p>
        </w:tc>
        <w:tc>
          <w:tcPr>
            <w:tcW w:type="dxa" w:w="2674"/>
            <w:tcMar>
              <w:top w:w="80" w:type="dxa"/>
              <w:start w:w="120" w:type="dxa"/>
              <w:bottom w:w="80" w:type="dxa"/>
              <w:end w:w="120" w:type="dxa"/>
            </w:tcMar>
            <w:vAlign w:val="center"/>
          </w:tcPr>
          <w:p>
            <w:r>
              <w:t>SA-CMP-08</w:t>
            </w:r>
          </w:p>
        </w:tc>
        <w:tc>
          <w:tcPr>
            <w:tcW w:type="dxa" w:w="4012"/>
            <w:tcMar>
              <w:top w:w="80" w:type="dxa"/>
              <w:start w:w="120" w:type="dxa"/>
              <w:bottom w:w="80" w:type="dxa"/>
              <w:end w:w="120" w:type="dxa"/>
            </w:tcMar>
            <w:vAlign w:val="center"/>
          </w:tcPr>
          <w:p>
            <w:r>
              <w:t>Exactly VSC-001–VSC-005; versioned evidence/authority/reason contracts.</w:t>
            </w:r>
          </w:p>
        </w:tc>
      </w:tr>
      <w:tr>
        <w:trPr/>
        <w:tc>
          <w:tcPr>
            <w:tcW w:type="dxa" w:w="2674"/>
            <w:tcMar>
              <w:top w:w="80" w:type="dxa"/>
              <w:start w:w="120" w:type="dxa"/>
              <w:bottom w:w="80" w:type="dxa"/>
              <w:end w:w="120" w:type="dxa"/>
            </w:tcMar>
            <w:vAlign w:val="center"/>
          </w:tcPr>
          <w:p>
            <w:r>
              <w:t>Suspension/evidence records</w:t>
            </w:r>
          </w:p>
        </w:tc>
        <w:tc>
          <w:tcPr>
            <w:tcW w:type="dxa" w:w="2674"/>
            <w:tcMar>
              <w:top w:w="80" w:type="dxa"/>
              <w:start w:w="120" w:type="dxa"/>
              <w:bottom w:w="80" w:type="dxa"/>
              <w:end w:w="120" w:type="dxa"/>
            </w:tcMar>
            <w:vAlign w:val="center"/>
          </w:tcPr>
          <w:p>
            <w:r>
              <w:t>SA-CMP-08</w:t>
            </w:r>
          </w:p>
        </w:tc>
        <w:tc>
          <w:tcPr>
            <w:tcW w:type="dxa" w:w="4012"/>
            <w:tcMar>
              <w:top w:w="80" w:type="dxa"/>
              <w:start w:w="120" w:type="dxa"/>
              <w:bottom w:w="80" w:type="dxa"/>
              <w:end w:w="120" w:type="dxa"/>
            </w:tcMar>
            <w:vAlign w:val="center"/>
          </w:tcPr>
          <w:p>
            <w:r>
              <w:t>Immutable validation assurance; not operational events; exact test/case/provenance binding.</w:t>
            </w:r>
          </w:p>
        </w:tc>
      </w:tr>
      <w:tr>
        <w:trPr/>
        <w:tc>
          <w:tcPr>
            <w:tcW w:type="dxa" w:w="2674"/>
            <w:tcMar>
              <w:top w:w="80" w:type="dxa"/>
              <w:start w:w="120" w:type="dxa"/>
              <w:bottom w:w="80" w:type="dxa"/>
              <w:end w:w="120" w:type="dxa"/>
            </w:tcMar>
            <w:vAlign w:val="center"/>
          </w:tcPr>
          <w:p>
            <w:r>
              <w:t>Run/execution context</w:t>
            </w:r>
          </w:p>
        </w:tc>
        <w:tc>
          <w:tcPr>
            <w:tcW w:type="dxa" w:w="2674"/>
            <w:tcMar>
              <w:top w:w="80" w:type="dxa"/>
              <w:start w:w="120" w:type="dxa"/>
              <w:bottom w:w="80" w:type="dxa"/>
              <w:end w:w="120" w:type="dxa"/>
            </w:tcMar>
            <w:vAlign w:val="center"/>
          </w:tcPr>
          <w:p>
            <w:r>
              <w:t>SA-CMP-07 / SA-CMP-08</w:t>
            </w:r>
          </w:p>
        </w:tc>
        <w:tc>
          <w:tcPr>
            <w:tcW w:type="dxa" w:w="4012"/>
            <w:tcMar>
              <w:top w:w="80" w:type="dxa"/>
              <w:start w:w="120" w:type="dxa"/>
              <w:bottom w:w="80" w:type="dxa"/>
              <w:end w:w="120" w:type="dxa"/>
            </w:tcMar>
            <w:vAlign w:val="center"/>
          </w:tcPr>
          <w:p>
            <w:r>
              <w:t>Referenced only when validly created; preserved and terminally linked after entry.</w:t>
            </w:r>
          </w:p>
        </w:tc>
      </w:tr>
      <w:tr>
        <w:trPr/>
        <w:tc>
          <w:tcPr>
            <w:tcW w:type="dxa" w:w="2674"/>
            <w:tcMar>
              <w:top w:w="80" w:type="dxa"/>
              <w:start w:w="120" w:type="dxa"/>
              <w:bottom w:w="80" w:type="dxa"/>
              <w:end w:w="120" w:type="dxa"/>
            </w:tcMar>
            <w:vAlign w:val="center"/>
          </w:tcPr>
          <w:p>
            <w:r>
              <w:t>Source document/conflict review</w:t>
            </w:r>
          </w:p>
        </w:tc>
        <w:tc>
          <w:tcPr>
            <w:tcW w:type="dxa" w:w="2674"/>
            <w:tcMar>
              <w:top w:w="80" w:type="dxa"/>
              <w:start w:w="120" w:type="dxa"/>
              <w:bottom w:w="80" w:type="dxa"/>
              <w:end w:w="120" w:type="dxa"/>
            </w:tcMar>
            <w:vAlign w:val="center"/>
          </w:tcPr>
          <w:p>
            <w:r>
              <w:t>Engineering review process</w:t>
            </w:r>
          </w:p>
        </w:tc>
        <w:tc>
          <w:tcPr>
            <w:tcW w:type="dxa" w:w="4012"/>
            <w:tcMar>
              <w:top w:w="80" w:type="dxa"/>
              <w:start w:w="120" w:type="dxa"/>
              <w:bottom w:w="80" w:type="dxa"/>
              <w:end w:w="120" w:type="dxa"/>
            </w:tcMar>
            <w:vAlign w:val="center"/>
          </w:tcPr>
          <w:p>
            <w:r>
              <w:t>Human judgement for VSC-001/VSC-002/pre-entry VSC-004; backend verifies identity and authority.</w:t>
            </w:r>
          </w:p>
        </w:tc>
      </w:tr>
      <w:tr>
        <w:trPr/>
        <w:tc>
          <w:tcPr>
            <w:tcW w:type="dxa" w:w="2674"/>
            <w:tcMar>
              <w:top w:w="80" w:type="dxa"/>
              <w:start w:w="120" w:type="dxa"/>
              <w:bottom w:w="80" w:type="dxa"/>
              <w:end w:w="120" w:type="dxa"/>
            </w:tcMar>
            <w:vAlign w:val="center"/>
          </w:tcPr>
          <w:p>
            <w:r>
              <w:t>Identity/time/integrity verification</w:t>
            </w:r>
          </w:p>
        </w:tc>
        <w:tc>
          <w:tcPr>
            <w:tcW w:type="dxa" w:w="2674"/>
            <w:tcMar>
              <w:top w:w="80" w:type="dxa"/>
              <w:start w:w="120" w:type="dxa"/>
              <w:bottom w:w="80" w:type="dxa"/>
              <w:end w:w="120" w:type="dxa"/>
            </w:tcMar>
            <w:vAlign w:val="center"/>
          </w:tcPr>
          <w:p>
            <w:r>
              <w:t>Configuration/catalogue/time/integrity authorities</w:t>
            </w:r>
          </w:p>
        </w:tc>
        <w:tc>
          <w:tcPr>
            <w:tcW w:type="dxa" w:w="4012"/>
            <w:tcMar>
              <w:top w:w="80" w:type="dxa"/>
              <w:start w:w="120" w:type="dxa"/>
              <w:bottom w:w="80" w:type="dxa"/>
              <w:end w:w="120" w:type="dxa"/>
            </w:tcMar>
            <w:vAlign w:val="center"/>
          </w:tcPr>
          <w:p>
            <w:r>
              <w:t>Machine facts for VSC-003/runtime VSC-004/VSC-005; client cannot override.</w:t>
            </w:r>
          </w:p>
        </w:tc>
      </w:tr>
    </w:tbl>
    <w:p/>
    <w:p>
      <w:pPr>
        <w:pStyle w:val="Heading2"/>
      </w:pPr>
      <w:r>
        <w:t>27.2 Processing and Interface Contract</w:t>
      </w:r>
    </w:p>
    <w:p>
      <w:pPr/>
      <w:r>
        <w:t>The assurance boundary first resolves the selected test/case and lifecycle point, then validates the applicable condition-specific evidence envelope and authority. Reviewer-controlled conditions require proposal and independent finalisation. Backend-controlled conditions are derived by the existing identity, time-authority or integrity verifier. The service—not the client—generates reason code/text/fingerprint and final BLOCKED-TEST relationship.</w:t>
      </w:r>
    </w:p>
    <w:p>
      <w:pPr/>
      <w:r>
        <w:t>Pre-entry suspension stores no scenario_run_id or validation_execution_id and explicitly records why they do not exist. Post-entry suspension must resolve the actual execution/run bidirectionally, preserve prior evidence and atomically enter terminal SUSPENDED state. Ordinary comparison mismatch remains FAIL; operational BLOCKED remains an engineering result; missing/unexecuted remains incomplete.</w:t>
      </w:r>
    </w:p>
    <w:p>
      <w:pPr>
        <w:pStyle w:val="Heading2"/>
      </w:pPr>
      <w:r>
        <w:t>27.3 Composite, Persistence and Historical Boundaries</w:t>
      </w:r>
    </w:p>
    <w:p>
      <w:pPr/>
      <w:r>
        <w:t>DC-004 composite membership becomes a controlled union of finalised execution result (PASS/FAIL) or finalised suspension result (BLOCKED-TEST). The composite independently verifies the suspension registry entry, authority, evidence contract and provenance and never trusts a verdict value alone. Exact-set completeness and FAIL precedence remain unchanged.</w:t>
      </w:r>
    </w:p>
    <w:p>
      <w:pPr/>
      <w:r>
        <w:t>Persistence separates suspension headers, evidence membership and authority audit. Database controls make finalised records and membership immutable. Historical resolution/export uses the source catalogue/test/case/build identities under DC-004; draft old-catalogue records are read-only. The operational-event boundary remains exactly 15 types and FORMAL/EXPLORATORY ownership remains separated.</w:t>
      </w:r>
    </w:p>
    <w:p>
      <w:pPr>
        <w:pStyle w:val="Heading2"/>
      </w:pPr>
      <w:r>
        <w:t>27.4 Requirements and Proposed Gate</w:t>
      </w:r>
    </w:p>
    <w:p>
      <w:pPr/>
      <w:r>
        <w:t>REQ-VAL-001–014 remain unchanged. REQ-VAL-008 governs a test that validly executes to PASS/FAIL comparison; a suspended attempt is explicitly not a completed executed test. SA-CMP-08 remains the allocated component. No network, electrical, restoration or scenario authority changes.</w:t>
      </w:r>
    </w:p>
    <w:p>
      <w:pPr/>
      <w:r>
        <w:t>DC-005 and Section 27 remain proposed. System Architecture v0.2 remains accepted until independent review and controlled application. No machine contract, schema, database, QA correction or I9 work is authorised.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OT Project System Architecture</dc:title>
  <cp:lastModifiedBy>python-docx</cp:lastModifiedBy>
  <cp:revision>1</cp:revision>
  <dcterms:modified xsi:type="dcterms:W3CDTF">2026-08-09T07:35:21Z</dcterms:modified>
  <dc:subject>Logical system architecture for the OT Graduate Demonstration Project</dc:subject>
  <dc:creator>OT Graduate Demonstration Project</dc:creator>
  <dc:description>DC-003 applied and accepted 2026-08-09; no requirements change and no implementation authority.</dc:description>
</cp:coreProperties>
</file>