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K</w:t>
      </w:r>
      <w:r w:rsidDel="00000000" w:rsidR="00000000" w:rsidRPr="00000000">
        <w:rPr>
          <w:b w:val="1"/>
          <w:sz w:val="32"/>
          <w:szCs w:val="32"/>
          <w:rtl w:val="0"/>
        </w:rPr>
        <w:t xml:space="preserve">erk Zhi Sheng</w: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inline distB="0" distT="0" distL="0" distR="0">
                <wp:extent cx="6426200" cy="381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80000"/>
                          <a:ext cx="6400800" cy="0"/>
                        </a:xfrm>
                        <a:prstGeom prst="straightConnector1">
                          <a:avLst/>
                        </a:prstGeom>
                        <a:noFill/>
                        <a:ln cap="flat" cmpd="sng" w="25400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426200" cy="38100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262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pos="4320" w:val="left"/>
        </w:tabs>
        <w:spacing w:after="60"/>
        <w:rPr/>
      </w:pPr>
      <w:r>
        <w:rPr>
          <w:rFonts w:ascii="Times New Roman" w:hAnsi="Times New Roman"/>
          <w:color w:val="000000"/>
          <w:sz w:val="22"/>
        </w:rPr>
        <w:t>Email: zhishengkerk@gmail.com</w:t>
        <w:tab/>
        <w:t>Mobile: +65 8188 7419</w:t>
      </w:r>
    </w:p>
    <w:p w:rsidR="00000000" w:rsidDel="00000000" w:rsidP="00000000" w:rsidRDefault="00000000" w:rsidRPr="00000000" w14:paraId="00000003">
      <w:pPr>
        <w:rPr>
          <w:b w:val="1"/>
          <w:color w:val="ff0000"/>
        </w:rPr>
      </w:pPr>
      <w:r w:rsidDel="00000000" w:rsidR="00000000" w:rsidRPr="00000000">
        <w:rPr>
          <w:rtl w:val="0"/>
        </w:rPr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14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National University of Singapore (NUS)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14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Aug 2018 to May 2022</w:t>
            </w:r>
          </w:p>
        </w:tc>
      </w:tr>
    </w:tbl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Bachelor of Engineering, Industrial and Systems Engineering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4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GovTech  |  Data and AI Engineer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4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2025 to Present</w:t>
            </w:r>
          </w:p>
        </w:tc>
      </w:tr>
    </w:tbl>
    <w:p>
      <w:pPr>
        <w:keepNext w:val="0"/>
        <w:widowControl/>
        <w:spacing w:before="0" w:after="100" w:line="252" w:lineRule="auto"/>
        <w:jc w:val="both"/>
      </w:pPr>
      <w:r>
        <w:rPr>
          <w:rFonts w:ascii="Times New Roman" w:hAnsi="Times New Roman"/>
          <w:color w:val="000000"/>
          <w:sz w:val="22"/>
        </w:rPr>
        <w:t>My core scope covers data engineering across five internal projects, including dashboard development, data pipeline delivery and maintenance, optimization, and operational monitoring. I also design and ship internal AI products on top of this foundation.</w:t>
      </w:r>
    </w:p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CORE DATA ENGINEERING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Worked across five internal projects, developing operational dashboards and building, maintaining, and improving data pipelines used by internal teams.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optimization and monitoring solutions, including pipeline skip detection and volume analysis to surface skipped runs and unexpected processing patterns.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AI PRODUCT ENGINEERING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 channel-agnostic multi-agent triage platform with configurable pipelines, knowledge-base matching, confidence thresholds, automated replies, human escalation, and auditable state.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Designed an AI-enabled workspace that combines ticket proposals, Kanban workflows, configurable agent profiles, permission boundaries, and cross-workspace operations.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Applied data engineering principles to AI production readiness through intentional schemas, dependable persistence, traceable agent decisions, and maintainable integration boundaries.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an internal real-time pose-detection engine with MediaPipe for an internal workflow.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INTERNAL KNOWLEDGE SHARING</w:t>
      </w:r>
    </w:p>
    <w:p>
      <w:pPr>
        <w:numPr>
          <w:ilvl w:val="0"/>
          <w:numId w:val="4"/>
        </w:numPr>
        <w:keepNext w:val="0"/>
        <w:widowControl/>
        <w:spacing w:before="0" w:after="10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Presented an internal Databricks brown-bag session on Genie agents and Genie Code, and participated in internal forums and hackathons to share practical AI adoption patterns.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Micron Technology  |  Data Science Engineer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Jun 2022 to 2025</w:t>
            </w:r>
          </w:p>
        </w:tc>
      </w:tr>
    </w:tbl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OPTIMIZATION AND PLANNING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supply-chain optimization work for tactical planning and planned-order firming, including improvements that delivered an additional 2-5% cost saving for assembly products while preserving order constraints.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Directed equipment performance-to-model tracking and coordinated data engineers building reliable sources for model-accuracy analysis.</w:t>
      </w:r>
    </w:p>
    <w:p>
      <w:pPr>
        <w:keepNext/>
        <w:widowControl/>
        <w:spacing w:before="100" w:after="60" w:line="252" w:lineRule="auto"/>
      </w:pPr>
      <w:r>
        <w:rPr>
          <w:rFonts w:ascii="Times New Roman" w:hAnsi="Times New Roman"/>
          <w:b/>
          <w:color w:val="000000"/>
          <w:sz w:val="19"/>
        </w:rPr>
        <w:t>DATA PLATFORMS AND AUTOMATION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and maintained more than 40 data pipelines and automation flows, together with more than 60 trusted tables for optimization, planning reports, and raw-material health analysis.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the Planned Order Firming migration to Snowflake and automated the end-to-end workflow, saving more than 80 hours each week.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Scaled product-assembly re-entrance reporting across product groups, contributing a further 20 hours of weekly time savings.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48"/>
        <w:gridCol w:w="2621"/>
      </w:tblGrid>
      <w:tr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National University of Singapore  |  Research Intern</w:t>
            </w:r>
          </w:p>
        </w:tc>
        <w:tc>
          <w:tcPr>
            <w:tcW w:type="dxa" w:w="52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keepNext/>
              <w:widowControl/>
              <w:spacing w:before="220" w:after="6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May to Aug 2021</w:t>
            </w:r>
          </w:p>
        </w:tc>
      </w:tr>
    </w:tbl>
    <w:p>
      <w:pPr>
        <w:keepNext/>
        <w:widowControl/>
        <w:spacing w:before="60" w:after="60" w:line="252" w:lineRule="auto"/>
      </w:pPr>
      <w:r>
        <w:rPr>
          <w:rFonts w:ascii="Times New Roman" w:hAnsi="Times New Roman"/>
          <w:b/>
          <w:color w:val="000000"/>
          <w:sz w:val="19"/>
        </w:rPr>
        <w:t>RESEARCH AND SIMULATION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Conducted a technology scan of PSA's operating context and assessed technologies with potential strategic value.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Supported a Huawei warehouse-simulation project by refining entity-flow diagrams and defining grid-based path-mover behaviour.</w:t>
      </w:r>
    </w:p>
    <w:p>
      <w:pPr>
        <w:numPr>
          <w:ilvl w:val="0"/>
          <w:numId w:val="4"/>
        </w:numPr>
        <w:keepNext w:val="0"/>
        <w:widowControl/>
        <w:spacing w:before="0" w:after="8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Implemented the XML backbone that translated warehouse process flows into the simulation model.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SELECTED INTERNAL PRODUCTS</w:t>
      </w:r>
    </w:p>
    <w:p>
      <w:pPr>
        <w:keepNext/>
        <w:widowControl/>
        <w:spacing w:before="40" w:after="60" w:line="252" w:lineRule="auto"/>
      </w:pPr>
      <w:r>
        <w:rPr>
          <w:rFonts w:ascii="Times New Roman" w:hAnsi="Times New Roman"/>
          <w:b/>
          <w:color w:val="000000"/>
          <w:sz w:val="22"/>
        </w:rPr>
        <w:t>Multi-agent triage platform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Classifies unstructured requests, retrieves governed knowledge, scores confidence, and routes each case to an automated response or human review. Versioned knowledge and audit records keep decisions explainable and recoverable.</w:t>
      </w:r>
    </w:p>
    <w:p>
      <w:pPr>
        <w:keepNext/>
        <w:widowControl/>
        <w:spacing w:before="140" w:after="60" w:line="252" w:lineRule="auto"/>
      </w:pPr>
      <w:r>
        <w:rPr>
          <w:rFonts w:ascii="Times New Roman" w:hAnsi="Times New Roman"/>
          <w:b/>
          <w:color w:val="000000"/>
          <w:sz w:val="22"/>
        </w:rPr>
        <w:t>AI workspace platform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Connects AI-assisted ticket proposals with Kanban operations and configurable agents. A durable relational model for workspaces, permissions, tickets, and events supports controlled growth.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CERTIFICATIONS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Databricks Certified Data Engineer Associate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DART AI for Cybersecurity Practitioners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AI Singapore AI for Industry® Literacy in AI</w:t>
      </w:r>
    </w:p>
    <w:p>
      <w:pPr>
        <w:keepNext/>
        <w:spacing w:before="280" w:after="14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SKILLS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AI systems: </w:t>
      </w:r>
      <w:r>
        <w:rPr>
          <w:rFonts w:ascii="Times New Roman" w:hAnsi="Times New Roman"/>
          <w:color w:val="000000"/>
          <w:sz w:val="22"/>
        </w:rPr>
        <w:t>LLM orchestration, multi-agent systems, retrieval-augmented generation, and AI agents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Data platforms: </w:t>
      </w:r>
      <w:r>
        <w:rPr>
          <w:rFonts w:ascii="Times New Roman" w:hAnsi="Times New Roman"/>
          <w:color w:val="000000"/>
          <w:sz w:val="22"/>
        </w:rPr>
        <w:t>Databricks, Snowflake, PostgreSQL, NiFi, SQL, and ETL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Product engineering: </w:t>
      </w:r>
      <w:r>
        <w:rPr>
          <w:rFonts w:ascii="Times New Roman" w:hAnsi="Times New Roman"/>
          <w:color w:val="000000"/>
          <w:sz w:val="22"/>
        </w:rPr>
        <w:t>TypeScript, React, Next.js, Node.js, and Docker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Analytics: </w:t>
      </w:r>
      <w:r>
        <w:rPr>
          <w:rFonts w:ascii="Times New Roman" w:hAnsi="Times New Roman"/>
          <w:color w:val="000000"/>
          <w:sz w:val="22"/>
        </w:rPr>
        <w:t>Python, Tableau, R, optimization, and simulation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720" w:top="720" w:left="720" w:right="720" w:header="22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zhishengkerk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xT+EOiINZ4fNAJoXJzcBw4qO+g==">CgMxLjA4AHIhMTk5TXRfM1RVZ1ZJTWwybTZjemplbmcxNTlfT1ZQUFo5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