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Fonts w:ascii="Arial" w:cs="Arial" w:eastAsia="Arial" w:hAnsi="Arial"/>
          <w:b w:val="1"/>
          <w:sz w:val="32"/>
          <w:szCs w:val="32"/>
          <w:rtl w:val="0"/>
        </w:rPr>
        <w:t xml:space="preserve">K</w:t>
      </w:r>
      <w:r w:rsidDel="00000000" w:rsidR="00000000" w:rsidRPr="00000000">
        <w:rPr>
          <w:b w:val="1"/>
          <w:sz w:val="32"/>
          <w:szCs w:val="32"/>
          <w:rtl w:val="0"/>
        </w:rPr>
        <w:t xml:space="preserve">erk Zhi Sheng</w:t>
      </w:r>
      <w:r w:rsidDel="00000000" w:rsidR="00000000" w:rsidRPr="00000000">
        <w:rPr>
          <w:rFonts w:ascii="Calibri" w:cs="Calibri" w:eastAsia="Calibri" w:hAnsi="Calibri"/>
        </w:rPr>
        <mc:AlternateContent>
          <mc:Choice Requires="wpg">
            <w:drawing>
              <wp:inline distB="0" distT="0" distL="0" distR="0">
                <wp:extent cx="6426200" cy="38100"/>
                <wp:effectExtent b="0" l="0" r="0" t="0"/>
                <wp:docPr id="2" name=""/>
                <a:graphic>
                  <a:graphicData uri="http://schemas.microsoft.com/office/word/2010/wordprocessingShape">
                    <wps:wsp>
                      <wps:cNvCnPr/>
                      <wps:spPr>
                        <a:xfrm>
                          <a:off x="2145600" y="3780000"/>
                          <a:ext cx="6400800" cy="0"/>
                        </a:xfrm>
                        <a:prstGeom prst="straightConnector1">
                          <a:avLst/>
                        </a:prstGeom>
                        <a:noFill/>
                        <a:ln cap="flat" cmpd="sng" w="254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6426200" cy="38100"/>
                <wp:effectExtent b="0" l="0" r="0" t="0"/>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4262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tabs>
          <w:tab w:pos="3888" w:val="left"/>
          <w:tab w:pos="6552" w:val="left"/>
        </w:tabs>
        <w:spacing w:after="60"/>
        <w:rPr/>
      </w:pPr>
      <w:r>
        <w:rPr>
          <w:rFonts w:ascii="Times New Roman" w:hAnsi="Times New Roman"/>
          <w:color w:val="000000"/>
          <w:sz w:val="20"/>
        </w:rPr>
        <w:t>Email: zhishengkerk@gmail.com</w:t>
        <w:tab/>
      </w:r>
      <w:r>
        <w:rPr>
          <w:rFonts w:ascii="Times New Roman" w:hAnsi="Times New Roman"/>
          <w:color w:val="000000"/>
          <w:sz w:val="20"/>
        </w:rPr>
        <w:t>Mobile: +65 8188 7419</w:t>
        <w:tab/>
      </w:r>
      <w:r>
        <w:rPr>
          <w:rFonts w:ascii="Times New Roman" w:hAnsi="Times New Roman"/>
          <w:color w:val="000000"/>
          <w:sz w:val="20"/>
        </w:rPr>
        <w:t xml:space="preserve">Portfolio: </w:t>
      </w:r>
      <w:hyperlink r:id="rId15">
        <w:r>
          <w:rPr>
            <w:rFonts w:ascii="Times New Roman" w:hAnsi="Times New Roman"/>
            <w:color w:val="0563C1"/>
            <w:u w:val="single"/>
            <w:sz w:val="20"/>
          </w:rPr>
          <w:t>kerk-builds.vercel.app</w:t>
        </w:r>
      </w:hyperlink>
    </w:p>
    <w:p w:rsidR="00000000" w:rsidDel="00000000" w:rsidP="00000000" w:rsidRDefault="00000000" w:rsidRPr="00000000" w14:paraId="00000003">
      <w:pPr>
        <w:rPr>
          <w:b w:val="1"/>
          <w:color w:val="ff0000"/>
        </w:rPr>
      </w:pPr>
      <w:r w:rsidDel="00000000" w:rsidR="00000000" w:rsidRPr="00000000">
        <w:rPr>
          <w:rtl w:val="0"/>
        </w:rPr>
      </w:r>
    </w:p>
    <w:p>
      <w:pPr>
        <w:keepNext/>
        <w:spacing w:before="280" w:after="140" w:line="252" w:lineRule="auto"/>
      </w:pPr>
      <w:r>
        <w:rPr>
          <w:rFonts w:ascii="Times New Roman" w:hAnsi="Times New Roman"/>
          <w:b/>
          <w:color w:val="000000"/>
          <w:sz w:val="23"/>
          <w:u w:val="single"/>
        </w:rPr>
        <w:t>PROFILE</w:t>
      </w:r>
    </w:p>
    <w:p>
      <w:pPr>
        <w:keepNext w:val="0"/>
        <w:widowControl/>
        <w:spacing w:before="0" w:after="100" w:line="252" w:lineRule="auto"/>
        <w:jc w:val="both"/>
      </w:pPr>
      <w:r>
        <w:rPr>
          <w:rFonts w:ascii="Times New Roman" w:hAnsi="Times New Roman"/>
          <w:color w:val="000000"/>
          <w:sz w:val="22"/>
        </w:rPr>
        <w:t>Data and AI Engineer with experience delivering internal data products across government and semiconductor operations. My work spans production data pipelines, operational monitoring, supply chain optimization, and two AI applications used in production. I build from the data model outward so workflows remain traceable, maintainable, and ready for internal adoption.</w:t>
      </w:r>
    </w:p>
    <w:p>
      <w:pPr>
        <w:keepNext/>
        <w:spacing w:before="280" w:after="140" w:line="252" w:lineRule="auto"/>
      </w:pPr>
      <w:r>
        <w:rPr>
          <w:rFonts w:ascii="Times New Roman" w:hAnsi="Times New Roman"/>
          <w:b/>
          <w:color w:val="000000"/>
          <w:sz w:val="23"/>
          <w:u w:val="single"/>
        </w:rPr>
        <w:t>EDUCATION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848"/>
        <w:gridCol w:w="2621"/>
      </w:tblGrid>
      <w:tr>
        <w:tc>
          <w:tcPr>
            <w:tcW w:type="dxa" w:w="5233"/>
            <w:tcMar>
              <w:top w:w="0" w:type="dxa"/>
              <w:left w:w="0" w:type="dxa"/>
              <w:bottom w:w="0" w:type="dxa"/>
              <w:right w:w="0" w:type="dxa"/>
            </w:tcMar>
            <w:vAlign w:val="bottom"/>
          </w:tcPr>
          <w:p>
            <w:pPr>
              <w:keepNext/>
              <w:widowControl/>
              <w:spacing w:before="140" w:after="60" w:line="252" w:lineRule="auto"/>
            </w:pPr>
            <w:r>
              <w:rPr>
                <w:rFonts w:ascii="Times New Roman" w:hAnsi="Times New Roman"/>
                <w:b/>
                <w:color w:val="000000"/>
                <w:sz w:val="22"/>
              </w:rPr>
              <w:t>National University of Singapore (NUS)</w:t>
            </w:r>
          </w:p>
        </w:tc>
        <w:tc>
          <w:tcPr>
            <w:tcW w:type="dxa" w:w="5233"/>
            <w:tcMar>
              <w:top w:w="0" w:type="dxa"/>
              <w:left w:w="0" w:type="dxa"/>
              <w:bottom w:w="0" w:type="dxa"/>
              <w:right w:w="0" w:type="dxa"/>
            </w:tcMar>
            <w:vAlign w:val="bottom"/>
          </w:tcPr>
          <w:p>
            <w:pPr>
              <w:keepNext/>
              <w:widowControl/>
              <w:spacing w:before="140" w:after="60" w:line="252" w:lineRule="auto"/>
              <w:jc w:val="right"/>
            </w:pPr>
            <w:r>
              <w:rPr>
                <w:rFonts w:ascii="Times New Roman" w:hAnsi="Times New Roman"/>
                <w:b/>
                <w:color w:val="000000"/>
                <w:sz w:val="22"/>
              </w:rPr>
              <w:t>Aug 2018 to May 2022</w:t>
            </w:r>
          </w:p>
        </w:tc>
      </w:tr>
    </w:tbl>
    <w:p>
      <w:pPr>
        <w:numPr>
          <w:ilvl w:val="0"/>
          <w:numId w:val="4"/>
        </w:numPr>
        <w:keepNext w:val="0"/>
        <w:widowControl/>
        <w:spacing w:before="0" w:after="70" w:line="252" w:lineRule="auto"/>
        <w:ind w:left="360" w:hanging="360"/>
        <w:jc w:val="left"/>
      </w:pPr>
      <w:r>
        <w:rPr>
          <w:rFonts w:ascii="Times New Roman" w:hAnsi="Times New Roman"/>
          <w:color w:val="000000"/>
          <w:sz w:val="22"/>
        </w:rPr>
        <w:t>Bachelor of Engineering, Industrial and Systems Engineering</w:t>
      </w:r>
    </w:p>
    <w:p>
      <w:pPr>
        <w:keepNext/>
        <w:spacing w:before="280" w:after="140" w:line="252" w:lineRule="auto"/>
      </w:pPr>
      <w:r>
        <w:rPr>
          <w:rFonts w:ascii="Times New Roman" w:hAnsi="Times New Roman"/>
          <w:b/>
          <w:color w:val="000000"/>
          <w:sz w:val="23"/>
          <w:u w:val="single"/>
        </w:rPr>
        <w:t>PROFESSIONAL EXPERIENCE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848"/>
        <w:gridCol w:w="2621"/>
      </w:tblGrid>
      <w:tr>
        <w:tc>
          <w:tcPr>
            <w:tcW w:type="dxa" w:w="5233"/>
            <w:tcMar>
              <w:top w:w="0" w:type="dxa"/>
              <w:left w:w="0" w:type="dxa"/>
              <w:bottom w:w="0" w:type="dxa"/>
              <w:right w:w="0" w:type="dxa"/>
            </w:tcMar>
            <w:vAlign w:val="bottom"/>
          </w:tcPr>
          <w:p>
            <w:pPr>
              <w:keepNext/>
              <w:widowControl/>
              <w:spacing w:before="40" w:after="60" w:line="252" w:lineRule="auto"/>
            </w:pPr>
            <w:r>
              <w:rPr>
                <w:rFonts w:ascii="Times New Roman" w:hAnsi="Times New Roman"/>
                <w:b/>
                <w:color w:val="000000"/>
                <w:sz w:val="22"/>
              </w:rPr>
              <w:t>GovTech  |  Data and AI Engineer</w:t>
            </w:r>
          </w:p>
        </w:tc>
        <w:tc>
          <w:tcPr>
            <w:tcW w:type="dxa" w:w="5233"/>
            <w:tcMar>
              <w:top w:w="0" w:type="dxa"/>
              <w:left w:w="0" w:type="dxa"/>
              <w:bottom w:w="0" w:type="dxa"/>
              <w:right w:w="0" w:type="dxa"/>
            </w:tcMar>
            <w:vAlign w:val="bottom"/>
          </w:tcPr>
          <w:p>
            <w:pPr>
              <w:keepNext/>
              <w:widowControl/>
              <w:spacing w:before="40" w:after="60" w:line="252" w:lineRule="auto"/>
              <w:jc w:val="right"/>
            </w:pPr>
            <w:r>
              <w:rPr>
                <w:rFonts w:ascii="Times New Roman" w:hAnsi="Times New Roman"/>
                <w:b/>
                <w:color w:val="000000"/>
                <w:sz w:val="22"/>
              </w:rPr>
              <w:t>2025 to Present</w:t>
            </w:r>
          </w:p>
        </w:tc>
      </w:tr>
    </w:tbl>
    <w:p>
      <w:pPr>
        <w:keepNext w:val="0"/>
        <w:widowControl/>
        <w:spacing w:before="0" w:after="100" w:line="252" w:lineRule="auto"/>
        <w:jc w:val="both"/>
      </w:pPr>
      <w:r>
        <w:rPr>
          <w:rFonts w:ascii="Times New Roman" w:hAnsi="Times New Roman"/>
          <w:color w:val="000000"/>
          <w:sz w:val="22"/>
        </w:rPr>
        <w:t>Work across five internal data projects while extending this foundation into AI product engineering. Delivered two internal AI applications into production, with responsibility spanning data design, application workflows, deployment, and operational readiness.</w:t>
      </w:r>
    </w:p>
    <w:p>
      <w:pPr>
        <w:keepNext/>
        <w:widowControl/>
        <w:spacing w:before="60" w:after="60" w:line="252" w:lineRule="auto"/>
      </w:pPr>
      <w:r>
        <w:rPr>
          <w:rFonts w:ascii="Times New Roman" w:hAnsi="Times New Roman"/>
          <w:b/>
          <w:color w:val="000000"/>
          <w:sz w:val="19"/>
        </w:rPr>
        <w:t>CORE DATA ENGINEERING</w:t>
      </w:r>
    </w:p>
    <w:p>
      <w:pPr>
        <w:numPr>
          <w:ilvl w:val="0"/>
          <w:numId w:val="4"/>
        </w:numPr>
        <w:keepNext w:val="0"/>
        <w:widowControl/>
        <w:spacing w:before="0" w:after="80" w:line="252" w:lineRule="auto"/>
        <w:ind w:left="360" w:hanging="360"/>
        <w:jc w:val="left"/>
      </w:pPr>
      <w:r>
        <w:rPr>
          <w:rFonts w:ascii="Times New Roman" w:hAnsi="Times New Roman"/>
          <w:color w:val="000000"/>
          <w:sz w:val="22"/>
        </w:rPr>
        <w:t>Support five internal projects by developing operational dashboards and building, maintaining, and optimizing the data pipelines used by internal teams.</w:t>
      </w:r>
    </w:p>
    <w:p>
      <w:pPr>
        <w:numPr>
          <w:ilvl w:val="0"/>
          <w:numId w:val="4"/>
        </w:numPr>
        <w:keepNext w:val="0"/>
        <w:widowControl/>
        <w:spacing w:before="0" w:after="80" w:line="252" w:lineRule="auto"/>
        <w:ind w:left="360" w:hanging="360"/>
        <w:jc w:val="left"/>
      </w:pPr>
      <w:r>
        <w:rPr>
          <w:rFonts w:ascii="Times New Roman" w:hAnsi="Times New Roman"/>
          <w:color w:val="000000"/>
          <w:sz w:val="22"/>
        </w:rPr>
        <w:t>Built monitoring solutions for pipeline skip detection and volume analysis, helping teams surface missed runs and unexpected processing patterns for investigation.</w:t>
      </w:r>
    </w:p>
    <w:p>
      <w:pPr>
        <w:keepNext/>
        <w:widowControl/>
        <w:spacing w:before="100" w:after="60" w:line="252" w:lineRule="auto"/>
      </w:pPr>
      <w:r>
        <w:rPr>
          <w:rFonts w:ascii="Times New Roman" w:hAnsi="Times New Roman"/>
          <w:b/>
          <w:color w:val="000000"/>
          <w:sz w:val="19"/>
        </w:rPr>
        <w:t>AI PRODUCT ENGINEERING</w:t>
      </w:r>
    </w:p>
    <w:p>
      <w:pPr>
        <w:numPr>
          <w:ilvl w:val="0"/>
          <w:numId w:val="4"/>
        </w:numPr>
        <w:keepNext w:val="0"/>
        <w:widowControl/>
        <w:spacing w:before="0" w:after="80" w:line="252" w:lineRule="auto"/>
        <w:ind w:left="360" w:hanging="360"/>
        <w:jc w:val="left"/>
      </w:pPr>
      <w:r>
        <w:rPr>
          <w:rFonts w:ascii="Times New Roman" w:hAnsi="Times New Roman"/>
          <w:color w:val="000000"/>
          <w:sz w:val="22"/>
        </w:rPr>
        <w:t>Delivered InboxPilot and BoardFlow, two internal AI applications now used in production, from initial data model and workflow design through deployment.</w:t>
      </w:r>
    </w:p>
    <w:p>
      <w:pPr>
        <w:numPr>
          <w:ilvl w:val="0"/>
          <w:numId w:val="4"/>
        </w:numPr>
        <w:keepNext w:val="0"/>
        <w:widowControl/>
        <w:spacing w:before="0" w:after="80" w:line="252" w:lineRule="auto"/>
        <w:ind w:left="360" w:hanging="360"/>
        <w:jc w:val="left"/>
      </w:pPr>
      <w:r>
        <w:rPr>
          <w:rFonts w:ascii="Times New Roman" w:hAnsi="Times New Roman"/>
          <w:color w:val="000000"/>
          <w:sz w:val="22"/>
        </w:rPr>
        <w:t>Built InboxPilot as a channel-agnostic multi-agent triage system that classifies requests, retrieves governed knowledge, scores confidence, and routes each case to an automated reply or human review.</w:t>
      </w:r>
    </w:p>
    <w:p>
      <w:pPr>
        <w:numPr>
          <w:ilvl w:val="0"/>
          <w:numId w:val="4"/>
        </w:numPr>
        <w:keepNext w:val="0"/>
        <w:widowControl/>
        <w:spacing w:before="0" w:after="80" w:line="252" w:lineRule="auto"/>
        <w:ind w:left="360" w:hanging="360"/>
        <w:jc w:val="left"/>
      </w:pPr>
      <w:r>
        <w:rPr>
          <w:rFonts w:ascii="Times New Roman" w:hAnsi="Times New Roman"/>
          <w:color w:val="000000"/>
          <w:sz w:val="22"/>
        </w:rPr>
        <w:t>Designed BoardFlow as an AI-enabled workspace that turns conversations into structured ticket proposals and connects them with Kanban workflows, configurable agents, permissions, and cross-workspace operations.</w:t>
      </w:r>
    </w:p>
    <w:p>
      <w:pPr>
        <w:numPr>
          <w:ilvl w:val="0"/>
          <w:numId w:val="4"/>
        </w:numPr>
        <w:keepNext w:val="0"/>
        <w:widowControl/>
        <w:spacing w:before="0" w:after="80" w:line="252" w:lineRule="auto"/>
        <w:ind w:left="360" w:hanging="360"/>
        <w:jc w:val="left"/>
      </w:pPr>
      <w:r>
        <w:rPr>
          <w:rFonts w:ascii="Times New Roman" w:hAnsi="Times New Roman"/>
          <w:color w:val="000000"/>
          <w:sz w:val="22"/>
        </w:rPr>
        <w:t>Established intentional schemas, dependable persistence, versioned knowledge, and auditable agent decisions so both products can be operated and extended beyond an initial demonstration.</w:t>
      </w:r>
    </w:p>
    <w:p>
      <w:pPr>
        <w:numPr>
          <w:ilvl w:val="0"/>
          <w:numId w:val="4"/>
        </w:numPr>
        <w:keepNext w:val="0"/>
        <w:widowControl/>
        <w:spacing w:before="0" w:after="80" w:line="252" w:lineRule="auto"/>
        <w:ind w:left="360" w:hanging="360"/>
        <w:jc w:val="left"/>
      </w:pPr>
      <w:r>
        <w:rPr>
          <w:rFonts w:ascii="Times New Roman" w:hAnsi="Times New Roman"/>
          <w:color w:val="000000"/>
          <w:sz w:val="22"/>
        </w:rPr>
        <w:t>Developed an internal real-time pose-detection engine with MediaPipe for an internal workflow.</w:t>
      </w:r>
    </w:p>
    <w:p>
      <w:pPr>
        <w:keepNext/>
        <w:widowControl/>
        <w:spacing w:before="100" w:after="60" w:line="252" w:lineRule="auto"/>
      </w:pPr>
      <w:r>
        <w:rPr>
          <w:rFonts w:ascii="Times New Roman" w:hAnsi="Times New Roman"/>
          <w:b/>
          <w:color w:val="000000"/>
          <w:sz w:val="19"/>
        </w:rPr>
        <w:t>INTERNAL KNOWLEDGE SHARING</w:t>
      </w:r>
    </w:p>
    <w:p>
      <w:pPr>
        <w:numPr>
          <w:ilvl w:val="0"/>
          <w:numId w:val="4"/>
        </w:numPr>
        <w:keepNext w:val="0"/>
        <w:widowControl/>
        <w:spacing w:before="0" w:after="100" w:line="252" w:lineRule="auto"/>
        <w:ind w:left="360" w:hanging="360"/>
        <w:jc w:val="left"/>
      </w:pPr>
      <w:r>
        <w:rPr>
          <w:rFonts w:ascii="Times New Roman" w:hAnsi="Times New Roman"/>
          <w:color w:val="000000"/>
          <w:sz w:val="22"/>
        </w:rPr>
        <w:t>Presented an internal Databricks brown-bag session on Genie agents and Genie Code, sharing how internal teams use them to shorten the path from governed data to useful insights.</w:t>
      </w:r>
    </w:p>
    <w:p>
      <w:pPr>
        <w:numPr>
          <w:ilvl w:val="0"/>
          <w:numId w:val="4"/>
        </w:numPr>
        <w:keepNext w:val="0"/>
        <w:widowControl/>
        <w:spacing w:before="0" w:after="100" w:line="252" w:lineRule="auto"/>
        <w:ind w:left="360" w:hanging="360"/>
        <w:jc w:val="left"/>
      </w:pPr>
      <w:r>
        <w:rPr>
          <w:rFonts w:ascii="Times New Roman" w:hAnsi="Times New Roman"/>
          <w:color w:val="000000"/>
          <w:sz w:val="22"/>
        </w:rPr>
        <w:t>Participated in internal speaking forums and hackathons to exchange practical AI delivery patterns and test new product ideas with colleagues.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848"/>
        <w:gridCol w:w="2621"/>
      </w:tblGrid>
      <w:tr>
        <w:tc>
          <w:tcPr>
            <w:tcW w:type="dxa" w:w="5233"/>
            <w:tcMar>
              <w:top w:w="0" w:type="dxa"/>
              <w:left w:w="0" w:type="dxa"/>
              <w:bottom w:w="0" w:type="dxa"/>
              <w:right w:w="0" w:type="dxa"/>
            </w:tcMar>
            <w:vAlign w:val="bottom"/>
          </w:tcPr>
          <w:p>
            <w:pPr>
              <w:keepNext/>
              <w:widowControl/>
              <w:spacing w:before="220" w:after="60" w:line="252" w:lineRule="auto"/>
            </w:pPr>
            <w:r>
              <w:rPr>
                <w:rFonts w:ascii="Times New Roman" w:hAnsi="Times New Roman"/>
                <w:b/>
                <w:color w:val="000000"/>
                <w:sz w:val="22"/>
              </w:rPr>
              <w:t>Micron Technology  |  Data Science Engineer</w:t>
            </w:r>
          </w:p>
        </w:tc>
        <w:tc>
          <w:tcPr>
            <w:tcW w:type="dxa" w:w="5233"/>
            <w:tcMar>
              <w:top w:w="0" w:type="dxa"/>
              <w:left w:w="0" w:type="dxa"/>
              <w:bottom w:w="0" w:type="dxa"/>
              <w:right w:w="0" w:type="dxa"/>
            </w:tcMar>
            <w:vAlign w:val="bottom"/>
          </w:tcPr>
          <w:p>
            <w:pPr>
              <w:keepNext/>
              <w:widowControl/>
              <w:spacing w:before="220" w:after="60" w:line="252" w:lineRule="auto"/>
              <w:jc w:val="right"/>
            </w:pPr>
            <w:r>
              <w:rPr>
                <w:rFonts w:ascii="Times New Roman" w:hAnsi="Times New Roman"/>
                <w:b/>
                <w:color w:val="000000"/>
                <w:sz w:val="22"/>
              </w:rPr>
              <w:t>Jun 2022 to 2025</w:t>
            </w:r>
          </w:p>
        </w:tc>
      </w:tr>
    </w:tbl>
    <w:p>
      <w:pPr>
        <w:keepNext/>
        <w:widowControl/>
        <w:spacing w:before="60" w:after="60" w:line="252" w:lineRule="auto"/>
      </w:pPr>
      <w:r>
        <w:rPr>
          <w:rFonts w:ascii="Times New Roman" w:hAnsi="Times New Roman"/>
          <w:b/>
          <w:color w:val="000000"/>
          <w:sz w:val="19"/>
        </w:rPr>
        <w:t>OPTIMIZATION AND PLANNING</w:t>
      </w:r>
    </w:p>
    <w:p>
      <w:pPr>
        <w:numPr>
          <w:ilvl w:val="0"/>
          <w:numId w:val="4"/>
        </w:numPr>
        <w:keepNext w:val="0"/>
        <w:widowControl/>
        <w:spacing w:before="0" w:after="80" w:line="252" w:lineRule="auto"/>
        <w:ind w:left="360" w:hanging="360"/>
        <w:jc w:val="left"/>
      </w:pPr>
      <w:r>
        <w:rPr>
          <w:rFonts w:ascii="Times New Roman" w:hAnsi="Times New Roman"/>
          <w:color w:val="000000"/>
          <w:sz w:val="22"/>
        </w:rPr>
        <w:t>Led supply-chain optimization work for tactical planning and planned-order firming, including improvements that delivered an additional 2-5% cost saving for assembly products while preserving order constraints.</w:t>
      </w:r>
    </w:p>
    <w:p>
      <w:pPr>
        <w:numPr>
          <w:ilvl w:val="0"/>
          <w:numId w:val="4"/>
        </w:numPr>
        <w:keepNext w:val="0"/>
        <w:widowControl/>
        <w:spacing w:before="0" w:after="80" w:line="252" w:lineRule="auto"/>
        <w:ind w:left="360" w:hanging="360"/>
        <w:jc w:val="left"/>
      </w:pPr>
      <w:r>
        <w:rPr>
          <w:rFonts w:ascii="Times New Roman" w:hAnsi="Times New Roman"/>
          <w:color w:val="000000"/>
          <w:sz w:val="22"/>
        </w:rPr>
        <w:t>Built raw-material health reports and automated tactical-planning reports to support timely order fulfillment and downstream firming operations.</w:t>
      </w:r>
    </w:p>
    <w:p>
      <w:pPr>
        <w:numPr>
          <w:ilvl w:val="0"/>
          <w:numId w:val="4"/>
        </w:numPr>
        <w:keepNext w:val="0"/>
        <w:widowControl/>
        <w:spacing w:before="0" w:after="80" w:line="252" w:lineRule="auto"/>
        <w:ind w:left="360" w:hanging="360"/>
        <w:jc w:val="left"/>
      </w:pPr>
      <w:r>
        <w:rPr>
          <w:rFonts w:ascii="Times New Roman" w:hAnsi="Times New Roman"/>
          <w:color w:val="000000"/>
          <w:sz w:val="22"/>
        </w:rPr>
        <w:t>Led equipment performance-to-model tracking by comparing actual and modelled equipment time, then coordinated data engineers to establish trusted sources for accuracy analysis.</w:t>
      </w:r>
    </w:p>
    <w:p>
      <w:pPr>
        <w:keepNext/>
        <w:widowControl/>
        <w:spacing w:before="100" w:after="60" w:line="252" w:lineRule="auto"/>
      </w:pPr>
      <w:r>
        <w:rPr>
          <w:rFonts w:ascii="Times New Roman" w:hAnsi="Times New Roman"/>
          <w:b/>
          <w:color w:val="000000"/>
          <w:sz w:val="19"/>
        </w:rPr>
        <w:t>DATA PLATFORMS AND AUTOMATION</w:t>
      </w:r>
    </w:p>
    <w:p>
      <w:pPr>
        <w:numPr>
          <w:ilvl w:val="0"/>
          <w:numId w:val="4"/>
        </w:numPr>
        <w:keepNext w:val="0"/>
        <w:widowControl/>
        <w:spacing w:before="0" w:after="80" w:line="252" w:lineRule="auto"/>
        <w:ind w:left="360" w:hanging="360"/>
        <w:jc w:val="left"/>
      </w:pPr>
      <w:r>
        <w:rPr>
          <w:rFonts w:ascii="Times New Roman" w:hAnsi="Times New Roman"/>
          <w:color w:val="000000"/>
          <w:sz w:val="22"/>
        </w:rPr>
        <w:t>Built and maintained more than 40 data pipelines and automation flows, together with more than 60 trusted tables for optimization, planning reports, and raw-material health analysis.</w:t>
      </w:r>
    </w:p>
    <w:p>
      <w:pPr>
        <w:numPr>
          <w:ilvl w:val="0"/>
          <w:numId w:val="4"/>
        </w:numPr>
        <w:keepNext w:val="0"/>
        <w:widowControl/>
        <w:spacing w:before="0" w:after="80" w:line="252" w:lineRule="auto"/>
        <w:ind w:left="360" w:hanging="360"/>
        <w:jc w:val="left"/>
      </w:pPr>
      <w:r>
        <w:rPr>
          <w:rFonts w:ascii="Times New Roman" w:hAnsi="Times New Roman"/>
          <w:color w:val="000000"/>
          <w:sz w:val="22"/>
        </w:rPr>
        <w:t>Led the Planned Order Firming migration to Snowflake and automated the end-to-end workflow, saving more than 80 hours each week.</w:t>
      </w:r>
    </w:p>
    <w:p>
      <w:pPr>
        <w:numPr>
          <w:ilvl w:val="0"/>
          <w:numId w:val="4"/>
        </w:numPr>
        <w:keepNext w:val="0"/>
        <w:widowControl/>
        <w:spacing w:before="0" w:after="80" w:line="252" w:lineRule="auto"/>
        <w:ind w:left="360" w:hanging="360"/>
        <w:jc w:val="left"/>
      </w:pPr>
      <w:r>
        <w:rPr>
          <w:rFonts w:ascii="Times New Roman" w:hAnsi="Times New Roman"/>
          <w:color w:val="000000"/>
          <w:sz w:val="22"/>
        </w:rPr>
        <w:t>Scaled product-assembly re-entrance reporting across product groups, contributing a further 20 hours of weekly time savings.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848"/>
        <w:gridCol w:w="2621"/>
      </w:tblGrid>
      <w:tr>
        <w:tc>
          <w:tcPr>
            <w:tcW w:type="dxa" w:w="5233"/>
            <w:tcMar>
              <w:top w:w="0" w:type="dxa"/>
              <w:left w:w="0" w:type="dxa"/>
              <w:bottom w:w="0" w:type="dxa"/>
              <w:right w:w="0" w:type="dxa"/>
            </w:tcMar>
            <w:vAlign w:val="bottom"/>
          </w:tcPr>
          <w:p>
            <w:pPr>
              <w:keepNext/>
              <w:widowControl/>
              <w:spacing w:before="220" w:after="60" w:line="252" w:lineRule="auto"/>
            </w:pPr>
            <w:r>
              <w:rPr>
                <w:rFonts w:ascii="Times New Roman" w:hAnsi="Times New Roman"/>
                <w:b/>
                <w:color w:val="000000"/>
                <w:sz w:val="22"/>
              </w:rPr>
              <w:t>National University of Singapore  |  Research Intern</w:t>
            </w:r>
          </w:p>
        </w:tc>
        <w:tc>
          <w:tcPr>
            <w:tcW w:type="dxa" w:w="5233"/>
            <w:tcMar>
              <w:top w:w="0" w:type="dxa"/>
              <w:left w:w="0" w:type="dxa"/>
              <w:bottom w:w="0" w:type="dxa"/>
              <w:right w:w="0" w:type="dxa"/>
            </w:tcMar>
            <w:vAlign w:val="bottom"/>
          </w:tcPr>
          <w:p>
            <w:pPr>
              <w:keepNext/>
              <w:widowControl/>
              <w:spacing w:before="220" w:after="60" w:line="252" w:lineRule="auto"/>
              <w:jc w:val="right"/>
            </w:pPr>
            <w:r>
              <w:rPr>
                <w:rFonts w:ascii="Times New Roman" w:hAnsi="Times New Roman"/>
                <w:b/>
                <w:color w:val="000000"/>
                <w:sz w:val="22"/>
              </w:rPr>
              <w:t>May to Aug 2021</w:t>
            </w:r>
          </w:p>
        </w:tc>
      </w:tr>
    </w:tbl>
    <w:p>
      <w:pPr>
        <w:keepNext/>
        <w:widowControl/>
        <w:spacing w:before="60" w:after="60" w:line="252" w:lineRule="auto"/>
      </w:pPr>
      <w:r>
        <w:rPr>
          <w:rFonts w:ascii="Times New Roman" w:hAnsi="Times New Roman"/>
          <w:b/>
          <w:color w:val="000000"/>
          <w:sz w:val="19"/>
        </w:rPr>
        <w:t>RESEARCH AND SIMULATION</w:t>
      </w:r>
    </w:p>
    <w:p>
      <w:pPr>
        <w:numPr>
          <w:ilvl w:val="0"/>
          <w:numId w:val="4"/>
        </w:numPr>
        <w:keepNext w:val="0"/>
        <w:widowControl/>
        <w:spacing w:before="0" w:after="80" w:line="252" w:lineRule="auto"/>
        <w:ind w:left="360" w:hanging="360"/>
        <w:jc w:val="left"/>
      </w:pPr>
      <w:r>
        <w:rPr>
          <w:rFonts w:ascii="Times New Roman" w:hAnsi="Times New Roman"/>
          <w:color w:val="000000"/>
          <w:sz w:val="22"/>
        </w:rPr>
        <w:t>Conducted a technology scan of PSA's operating context and assessed technologies with potential strategic value.</w:t>
      </w:r>
    </w:p>
    <w:p>
      <w:pPr>
        <w:numPr>
          <w:ilvl w:val="0"/>
          <w:numId w:val="4"/>
        </w:numPr>
        <w:keepNext w:val="0"/>
        <w:widowControl/>
        <w:spacing w:before="0" w:after="80" w:line="252" w:lineRule="auto"/>
        <w:ind w:left="360" w:hanging="360"/>
        <w:jc w:val="left"/>
      </w:pPr>
      <w:r>
        <w:rPr>
          <w:rFonts w:ascii="Times New Roman" w:hAnsi="Times New Roman"/>
          <w:color w:val="000000"/>
          <w:sz w:val="22"/>
        </w:rPr>
        <w:t>Supported a Huawei warehouse-simulation project by refining entity-flow diagrams and defining grid-based path-mover behaviour.</w:t>
      </w:r>
    </w:p>
    <w:p>
      <w:pPr>
        <w:numPr>
          <w:ilvl w:val="0"/>
          <w:numId w:val="4"/>
        </w:numPr>
        <w:keepNext w:val="0"/>
        <w:widowControl/>
        <w:spacing w:before="0" w:after="80" w:line="252" w:lineRule="auto"/>
        <w:ind w:left="360" w:hanging="360"/>
        <w:jc w:val="left"/>
      </w:pPr>
      <w:r>
        <w:rPr>
          <w:rFonts w:ascii="Times New Roman" w:hAnsi="Times New Roman"/>
          <w:color w:val="000000"/>
          <w:sz w:val="22"/>
        </w:rPr>
        <w:t>Implemented the XML backbone that translated warehouse process flows into the simulation model.</w:t>
      </w:r>
    </w:p>
    <w:p>
      <w:pPr>
        <w:keepNext/>
        <w:spacing w:before="280" w:after="140" w:line="252" w:lineRule="auto"/>
      </w:pPr>
      <w:r>
        <w:rPr>
          <w:rFonts w:ascii="Times New Roman" w:hAnsi="Times New Roman"/>
          <w:b/>
          <w:color w:val="000000"/>
          <w:sz w:val="23"/>
          <w:u w:val="single"/>
        </w:rPr>
        <w:t>CERTIFICATIONS</w:t>
      </w:r>
    </w:p>
    <w:p>
      <w:pPr>
        <w:numPr>
          <w:ilvl w:val="0"/>
          <w:numId w:val="4"/>
        </w:numPr>
        <w:keepNext w:val="0"/>
        <w:widowControl/>
        <w:spacing w:before="0" w:after="70" w:line="252" w:lineRule="auto"/>
        <w:ind w:left="360" w:hanging="360"/>
        <w:jc w:val="left"/>
      </w:pPr>
      <w:r>
        <w:rPr>
          <w:rFonts w:ascii="Times New Roman" w:hAnsi="Times New Roman"/>
          <w:color w:val="000000"/>
          <w:sz w:val="22"/>
        </w:rPr>
        <w:t>Databricks Certified Data Engineer Associate</w:t>
      </w:r>
    </w:p>
    <w:p>
      <w:pPr>
        <w:numPr>
          <w:ilvl w:val="0"/>
          <w:numId w:val="4"/>
        </w:numPr>
        <w:keepNext w:val="0"/>
        <w:widowControl/>
        <w:spacing w:before="0" w:after="70" w:line="252" w:lineRule="auto"/>
        <w:ind w:left="360" w:hanging="360"/>
        <w:jc w:val="left"/>
      </w:pPr>
      <w:r>
        <w:rPr>
          <w:rFonts w:ascii="Times New Roman" w:hAnsi="Times New Roman"/>
          <w:color w:val="000000"/>
          <w:sz w:val="22"/>
        </w:rPr>
        <w:t>DART AI for Cybersecurity Practitioners</w:t>
      </w:r>
    </w:p>
    <w:p>
      <w:pPr>
        <w:numPr>
          <w:ilvl w:val="0"/>
          <w:numId w:val="4"/>
        </w:numPr>
        <w:keepNext w:val="0"/>
        <w:widowControl/>
        <w:spacing w:before="0" w:after="70" w:line="252" w:lineRule="auto"/>
        <w:ind w:left="360" w:hanging="360"/>
        <w:jc w:val="left"/>
      </w:pPr>
      <w:r>
        <w:rPr>
          <w:rFonts w:ascii="Times New Roman" w:hAnsi="Times New Roman"/>
          <w:color w:val="000000"/>
          <w:sz w:val="22"/>
        </w:rPr>
        <w:t>AI Singapore AI for Industry® Literacy in AI</w:t>
      </w:r>
    </w:p>
    <w:p>
      <w:pPr>
        <w:keepNext/>
        <w:spacing w:before="280" w:after="140" w:line="252" w:lineRule="auto"/>
      </w:pPr>
      <w:r>
        <w:rPr>
          <w:rFonts w:ascii="Times New Roman" w:hAnsi="Times New Roman"/>
          <w:b/>
          <w:color w:val="000000"/>
          <w:sz w:val="23"/>
          <w:u w:val="single"/>
        </w:rPr>
        <w:t>SKILLS</w:t>
      </w:r>
    </w:p>
    <w:p>
      <w:pPr>
        <w:numPr>
          <w:ilvl w:val="0"/>
          <w:numId w:val="4"/>
        </w:numPr>
        <w:keepNext w:val="0"/>
        <w:widowControl/>
        <w:spacing w:before="0" w:after="70" w:line="252" w:lineRule="auto"/>
        <w:ind w:left="360" w:hanging="360"/>
        <w:jc w:val="left"/>
      </w:pPr>
      <w:r>
        <w:rPr>
          <w:rFonts w:ascii="Times New Roman" w:hAnsi="Times New Roman"/>
          <w:b/>
          <w:color w:val="000000"/>
          <w:sz w:val="22"/>
        </w:rPr>
        <w:t xml:space="preserve">AI systems: </w:t>
      </w:r>
      <w:r>
        <w:rPr>
          <w:rFonts w:ascii="Times New Roman" w:hAnsi="Times New Roman"/>
          <w:color w:val="000000"/>
          <w:sz w:val="22"/>
        </w:rPr>
        <w:t>LLM orchestration, multi-agent systems, retrieval-augmented generation, and AI agents</w:t>
      </w:r>
    </w:p>
    <w:p>
      <w:pPr>
        <w:numPr>
          <w:ilvl w:val="0"/>
          <w:numId w:val="4"/>
        </w:numPr>
        <w:keepNext w:val="0"/>
        <w:widowControl/>
        <w:spacing w:before="0" w:after="70" w:line="252" w:lineRule="auto"/>
        <w:ind w:left="360" w:hanging="360"/>
        <w:jc w:val="left"/>
      </w:pPr>
      <w:r>
        <w:rPr>
          <w:rFonts w:ascii="Times New Roman" w:hAnsi="Times New Roman"/>
          <w:b/>
          <w:color w:val="000000"/>
          <w:sz w:val="22"/>
        </w:rPr>
        <w:t xml:space="preserve">Data platforms: </w:t>
      </w:r>
      <w:r>
        <w:rPr>
          <w:rFonts w:ascii="Times New Roman" w:hAnsi="Times New Roman"/>
          <w:color w:val="000000"/>
          <w:sz w:val="22"/>
        </w:rPr>
        <w:t>Databricks, Snowflake, PostgreSQL, NiFi, SQL, and ETL</w:t>
      </w:r>
    </w:p>
    <w:p>
      <w:pPr>
        <w:numPr>
          <w:ilvl w:val="0"/>
          <w:numId w:val="4"/>
        </w:numPr>
        <w:keepNext w:val="0"/>
        <w:widowControl/>
        <w:spacing w:before="0" w:after="70" w:line="252" w:lineRule="auto"/>
        <w:ind w:left="360" w:hanging="360"/>
        <w:jc w:val="left"/>
      </w:pPr>
      <w:r>
        <w:rPr>
          <w:rFonts w:ascii="Times New Roman" w:hAnsi="Times New Roman"/>
          <w:b/>
          <w:color w:val="000000"/>
          <w:sz w:val="22"/>
        </w:rPr>
        <w:t xml:space="preserve">Product engineering: </w:t>
      </w:r>
      <w:r>
        <w:rPr>
          <w:rFonts w:ascii="Times New Roman" w:hAnsi="Times New Roman"/>
          <w:color w:val="000000"/>
          <w:sz w:val="22"/>
        </w:rPr>
        <w:t>TypeScript, React, Next.js, Node.js, and Docker</w:t>
      </w:r>
    </w:p>
    <w:p>
      <w:pPr>
        <w:numPr>
          <w:ilvl w:val="0"/>
          <w:numId w:val="4"/>
        </w:numPr>
        <w:keepNext w:val="0"/>
        <w:widowControl/>
        <w:spacing w:before="0" w:after="70" w:line="252" w:lineRule="auto"/>
        <w:ind w:left="360" w:hanging="360"/>
        <w:jc w:val="left"/>
      </w:pPr>
      <w:r>
        <w:rPr>
          <w:rFonts w:ascii="Times New Roman" w:hAnsi="Times New Roman"/>
          <w:b/>
          <w:color w:val="000000"/>
          <w:sz w:val="22"/>
        </w:rPr>
        <w:t xml:space="preserve">Analytics: </w:t>
      </w:r>
      <w:r>
        <w:rPr>
          <w:rFonts w:ascii="Times New Roman" w:hAnsi="Times New Roman"/>
          <w:color w:val="000000"/>
          <w:sz w:val="22"/>
        </w:rPr>
        <w:t>Python, Tableau, R, optimization, and simulation</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720" w:top="720" w:left="720" w:right="720" w:header="22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zhishengkerk@gmail.com" TargetMode="External"/><Relationship Id="rId15" Type="http://schemas.openxmlformats.org/officeDocument/2006/relationships/hyperlink" Target="https://kerk-builds.verc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xT+EOiINZ4fNAJoXJzcBw4qO+g==">CgMxLjA4AHIhMTk5TXRfM1RVZ1ZJTWwybTZjemplbmcxNTlfT1ZQUFo5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