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3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3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b w:val="1"/>
        </w:rPr>
      </w:pPr>
      <w:r w:rsidDel="00000000" w:rsidR="00000000" w:rsidRPr="00000000">
        <w:rPr>
          <w:rFonts w:ascii="Arial" w:cs="Arial" w:eastAsia="Arial" w:hAnsi="Arial"/>
          <w:b w:val="1"/>
          <w:sz w:val="32"/>
          <w:szCs w:val="32"/>
          <w:rtl w:val="0"/>
        </w:rPr>
        <w:t xml:space="preserve">K</w:t>
      </w:r>
      <w:r w:rsidDel="00000000" w:rsidR="00000000" w:rsidRPr="00000000">
        <w:rPr>
          <w:b w:val="1"/>
          <w:sz w:val="32"/>
          <w:szCs w:val="32"/>
          <w:rtl w:val="0"/>
        </w:rPr>
        <w:t xml:space="preserve">erk Zhi Sheng</w:t>
      </w:r>
      <w:r w:rsidDel="00000000" w:rsidR="00000000" w:rsidRPr="00000000">
        <w:rPr>
          <w:rFonts w:ascii="Calibri" w:cs="Calibri" w:eastAsia="Calibri" w:hAnsi="Calibri"/>
        </w:rPr>
        <mc:AlternateContent>
          <mc:Choice Requires="wpg">
            <w:drawing>
              <wp:inline distB="0" distT="0" distL="0" distR="0">
                <wp:extent cx="6426200" cy="38100"/>
                <wp:effectExtent b="0" l="0" r="0" t="0"/>
                <wp:docPr id="2" name=""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2145600" y="3780000"/>
                          <a:ext cx="6400800" cy="0"/>
                        </a:xfrm>
                        <a:prstGeom prst="straightConnector1">
                          <a:avLst/>
                        </a:prstGeom>
                        <a:noFill/>
                        <a:ln cap="flat" cmpd="sng" w="25400">
                          <a:solidFill>
                            <a:schemeClr val="dk1"/>
                          </a:solidFill>
                          <a:prstDash val="solid"/>
                          <a:miter lim="800000"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426200" cy="38100"/>
                <wp:effectExtent b="0" l="0" r="0" t="0"/>
                <wp:docPr id="2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426200" cy="381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tabs>
          <w:tab w:pos="4320" w:val="left"/>
        </w:tabs>
        <w:spacing w:after="60"/>
        <w:rPr/>
      </w:pPr>
      <w:r>
        <w:rPr>
          <w:rFonts w:ascii="Times New Roman" w:hAnsi="Times New Roman"/>
          <w:color w:val="000000"/>
          <w:sz w:val="22"/>
        </w:rPr>
        <w:t>Email: zhishengkerk@gmail.com</w:t>
        <w:tab/>
        <w:t>Mobile: +65 8188 7419</w:t>
      </w:r>
    </w:p>
    <w:p w:rsidR="00000000" w:rsidDel="00000000" w:rsidP="00000000" w:rsidRDefault="00000000" w:rsidRPr="00000000" w14:paraId="00000003">
      <w:pPr>
        <w:rPr>
          <w:b w:val="1"/>
          <w:color w:val="ff0000"/>
        </w:rPr>
      </w:pPr>
      <w:r w:rsidDel="00000000" w:rsidR="00000000" w:rsidRPr="00000000">
        <w:rPr>
          <w:rtl w:val="0"/>
        </w:rPr>
      </w:r>
    </w:p>
    <w:p>
      <w:pPr>
        <w:keepNext/>
        <w:spacing w:before="280" w:after="140" w:line="252" w:lineRule="auto"/>
      </w:pPr>
      <w:r>
        <w:rPr>
          <w:rFonts w:ascii="Times New Roman" w:hAnsi="Times New Roman"/>
          <w:b/>
          <w:color w:val="000000"/>
          <w:sz w:val="23"/>
          <w:u w:val="single"/>
        </w:rPr>
        <w:t>EDUCATION</w:t>
      </w:r>
    </w:p>
    <w:p>
      <w:pPr>
        <w:keepNext/>
        <w:widowControl/>
        <w:tabs>
          <w:tab w:pos="10296" w:val="right"/>
        </w:tabs>
        <w:spacing w:before="140" w:after="60" w:line="252" w:lineRule="auto"/>
      </w:pPr>
      <w:r>
        <w:rPr>
          <w:rFonts w:ascii="Times New Roman" w:hAnsi="Times New Roman"/>
          <w:b/>
          <w:color w:val="000000"/>
          <w:sz w:val="22"/>
        </w:rPr>
        <w:t>National University of Singapore (NUS)</w:t>
      </w:r>
      <w:r>
        <w:tab/>
      </w:r>
      <w:r>
        <w:rPr>
          <w:rFonts w:ascii="Times New Roman" w:hAnsi="Times New Roman"/>
          <w:b/>
          <w:color w:val="000000"/>
          <w:sz w:val="22"/>
        </w:rPr>
        <w:t>Aug 2018 to May 2022</w:t>
      </w:r>
    </w:p>
    <w:p>
      <w:pPr>
        <w:numPr>
          <w:ilvl w:val="0"/>
          <w:numId w:val="4"/>
        </w:numPr>
        <w:keepNext w:val="0"/>
        <w:widowControl/>
        <w:spacing w:before="0" w:after="70" w:line="252" w:lineRule="auto"/>
        <w:ind w:left="360" w:hanging="360"/>
        <w:jc w:val="left"/>
      </w:pPr>
      <w:r>
        <w:rPr>
          <w:rFonts w:ascii="Times New Roman" w:hAnsi="Times New Roman"/>
          <w:color w:val="000000"/>
          <w:sz w:val="22"/>
        </w:rPr>
        <w:t>Bachelor of Engineering, Industrial and Systems Engineering</w:t>
      </w:r>
    </w:p>
    <w:p>
      <w:pPr>
        <w:keepNext/>
        <w:spacing w:before="280" w:after="140" w:line="252" w:lineRule="auto"/>
      </w:pPr>
      <w:r>
        <w:rPr>
          <w:rFonts w:ascii="Times New Roman" w:hAnsi="Times New Roman"/>
          <w:b/>
          <w:color w:val="000000"/>
          <w:sz w:val="23"/>
          <w:u w:val="single"/>
        </w:rPr>
        <w:t>PROFESSIONAL EXPERIENCE</w:t>
      </w:r>
    </w:p>
    <w:p>
      <w:pPr>
        <w:keepNext/>
        <w:widowControl/>
        <w:tabs>
          <w:tab w:pos="10296" w:val="right"/>
        </w:tabs>
        <w:spacing w:before="40" w:after="60" w:line="252" w:lineRule="auto"/>
      </w:pPr>
      <w:r>
        <w:rPr>
          <w:rFonts w:ascii="Times New Roman" w:hAnsi="Times New Roman"/>
          <w:b/>
          <w:color w:val="000000"/>
          <w:sz w:val="22"/>
        </w:rPr>
        <w:t>GovTech  |  Data and AI Engineer</w:t>
      </w:r>
      <w:r>
        <w:tab/>
      </w:r>
      <w:r>
        <w:rPr>
          <w:rFonts w:ascii="Times New Roman" w:hAnsi="Times New Roman"/>
          <w:b/>
          <w:color w:val="000000"/>
          <w:sz w:val="22"/>
        </w:rPr>
        <w:t>2024 to Present</w:t>
      </w:r>
    </w:p>
    <w:p>
      <w:pPr>
        <w:keepNext w:val="0"/>
        <w:widowControl/>
        <w:spacing w:before="0" w:after="100" w:line="252" w:lineRule="auto"/>
        <w:jc w:val="both"/>
      </w:pPr>
      <w:r>
        <w:rPr>
          <w:rFonts w:ascii="Times New Roman" w:hAnsi="Times New Roman"/>
          <w:color w:val="000000"/>
          <w:sz w:val="22"/>
        </w:rPr>
        <w:t>My core scope covers data engineering across five internal projects, including dashboard development, data pipeline delivery and maintenance, optimization, and operational monitoring. I also design and ship internal AI products on top of this foundation.</w:t>
      </w:r>
    </w:p>
    <w:p>
      <w:pPr>
        <w:keepNext/>
        <w:widowControl/>
        <w:spacing w:before="60" w:after="60" w:line="252" w:lineRule="auto"/>
      </w:pPr>
      <w:r>
        <w:rPr>
          <w:rFonts w:ascii="Times New Roman" w:hAnsi="Times New Roman"/>
          <w:b/>
          <w:color w:val="000000"/>
          <w:sz w:val="19"/>
        </w:rPr>
        <w:t>CORE DATA ENGINEERING</w:t>
      </w:r>
    </w:p>
    <w:p>
      <w:pPr>
        <w:numPr>
          <w:ilvl w:val="0"/>
          <w:numId w:val="4"/>
        </w:numPr>
        <w:keepNext w:val="0"/>
        <w:widowControl/>
        <w:spacing w:before="0" w:after="80" w:line="252" w:lineRule="auto"/>
        <w:ind w:left="360" w:hanging="360"/>
        <w:jc w:val="left"/>
      </w:pPr>
      <w:r>
        <w:rPr>
          <w:rFonts w:ascii="Times New Roman" w:hAnsi="Times New Roman"/>
          <w:color w:val="000000"/>
          <w:sz w:val="22"/>
        </w:rPr>
        <w:t>Worked across five internal projects, developing operational dashboards and building, maintaining, and improving data pipelines used by internal teams.</w:t>
      </w:r>
    </w:p>
    <w:p>
      <w:pPr>
        <w:numPr>
          <w:ilvl w:val="0"/>
          <w:numId w:val="4"/>
        </w:numPr>
        <w:keepNext w:val="0"/>
        <w:widowControl/>
        <w:spacing w:before="0" w:after="80" w:line="252" w:lineRule="auto"/>
        <w:ind w:left="360" w:hanging="360"/>
        <w:jc w:val="left"/>
      </w:pPr>
      <w:r>
        <w:rPr>
          <w:rFonts w:ascii="Times New Roman" w:hAnsi="Times New Roman"/>
          <w:color w:val="000000"/>
          <w:sz w:val="22"/>
        </w:rPr>
        <w:t>Developed optimization and monitoring solutions, including pipeline skip detection and volume analysis to surface skipped runs and unexpected processing patterns.</w:t>
      </w:r>
    </w:p>
    <w:p>
      <w:pPr>
        <w:keepNext/>
        <w:widowControl/>
        <w:spacing w:before="100" w:after="60" w:line="252" w:lineRule="auto"/>
      </w:pPr>
      <w:r>
        <w:rPr>
          <w:rFonts w:ascii="Times New Roman" w:hAnsi="Times New Roman"/>
          <w:b/>
          <w:color w:val="000000"/>
          <w:sz w:val="19"/>
        </w:rPr>
        <w:t>AI PRODUCT ENGINEERING</w:t>
      </w:r>
    </w:p>
    <w:p>
      <w:pPr>
        <w:numPr>
          <w:ilvl w:val="0"/>
          <w:numId w:val="4"/>
        </w:numPr>
        <w:keepNext w:val="0"/>
        <w:widowControl/>
        <w:spacing w:before="0" w:after="80" w:line="252" w:lineRule="auto"/>
        <w:ind w:left="360" w:hanging="360"/>
        <w:jc w:val="left"/>
      </w:pPr>
      <w:r>
        <w:rPr>
          <w:rFonts w:ascii="Times New Roman" w:hAnsi="Times New Roman"/>
          <w:color w:val="000000"/>
          <w:sz w:val="22"/>
        </w:rPr>
        <w:t>Built a channel-agnostic multi-agent triage platform with configurable pipelines, knowledge-base matching, confidence thresholds, automated replies, human escalation, and auditable state.</w:t>
      </w:r>
    </w:p>
    <w:p>
      <w:pPr>
        <w:numPr>
          <w:ilvl w:val="0"/>
          <w:numId w:val="4"/>
        </w:numPr>
        <w:keepNext w:val="0"/>
        <w:widowControl/>
        <w:spacing w:before="0" w:after="80" w:line="252" w:lineRule="auto"/>
        <w:ind w:left="360" w:hanging="360"/>
        <w:jc w:val="left"/>
      </w:pPr>
      <w:r>
        <w:rPr>
          <w:rFonts w:ascii="Times New Roman" w:hAnsi="Times New Roman"/>
          <w:color w:val="000000"/>
          <w:sz w:val="22"/>
        </w:rPr>
        <w:t>Designed an AI-enabled workspace that combines ticket proposals, Kanban workflows, configurable agent profiles, permission boundaries, and cross-workspace operations.</w:t>
      </w:r>
    </w:p>
    <w:p>
      <w:pPr>
        <w:numPr>
          <w:ilvl w:val="0"/>
          <w:numId w:val="4"/>
        </w:numPr>
        <w:keepNext w:val="0"/>
        <w:widowControl/>
        <w:spacing w:before="0" w:after="80" w:line="252" w:lineRule="auto"/>
        <w:ind w:left="360" w:hanging="360"/>
        <w:jc w:val="left"/>
      </w:pPr>
      <w:r>
        <w:rPr>
          <w:rFonts w:ascii="Times New Roman" w:hAnsi="Times New Roman"/>
          <w:color w:val="000000"/>
          <w:sz w:val="22"/>
        </w:rPr>
        <w:t>Applied data engineering principles to AI production readiness through intentional schemas, dependable persistence, traceable agent decisions, and maintainable integration boundaries.</w:t>
      </w:r>
    </w:p>
    <w:p>
      <w:pPr>
        <w:numPr>
          <w:ilvl w:val="0"/>
          <w:numId w:val="4"/>
        </w:numPr>
        <w:keepNext w:val="0"/>
        <w:widowControl/>
        <w:spacing w:before="0" w:after="80" w:line="252" w:lineRule="auto"/>
        <w:ind w:left="360" w:hanging="360"/>
        <w:jc w:val="left"/>
      </w:pPr>
      <w:r>
        <w:rPr>
          <w:rFonts w:ascii="Times New Roman" w:hAnsi="Times New Roman"/>
          <w:color w:val="000000"/>
          <w:sz w:val="22"/>
        </w:rPr>
        <w:t>Developed an internal real-time pose-detection engine with MediaPipe for an internal workflow.</w:t>
      </w:r>
    </w:p>
    <w:p>
      <w:pPr>
        <w:keepNext/>
        <w:widowControl/>
        <w:spacing w:before="100" w:after="60" w:line="252" w:lineRule="auto"/>
      </w:pPr>
      <w:r>
        <w:rPr>
          <w:rFonts w:ascii="Times New Roman" w:hAnsi="Times New Roman"/>
          <w:b/>
          <w:color w:val="000000"/>
          <w:sz w:val="19"/>
        </w:rPr>
        <w:t>INTERNAL KNOWLEDGE SHARING</w:t>
      </w:r>
    </w:p>
    <w:p>
      <w:pPr>
        <w:numPr>
          <w:ilvl w:val="0"/>
          <w:numId w:val="4"/>
        </w:numPr>
        <w:keepNext w:val="0"/>
        <w:widowControl/>
        <w:spacing w:before="0" w:after="100" w:line="252" w:lineRule="auto"/>
        <w:ind w:left="360" w:hanging="360"/>
        <w:jc w:val="left"/>
      </w:pPr>
      <w:r>
        <w:rPr>
          <w:rFonts w:ascii="Times New Roman" w:hAnsi="Times New Roman"/>
          <w:color w:val="000000"/>
          <w:sz w:val="22"/>
        </w:rPr>
        <w:t>Presented an internal Databricks brown-bag session on Genie agents and Genie Code, and participated in internal forums and hackathons to share practical AI adoption patterns.</w:t>
      </w:r>
    </w:p>
    <w:p>
      <w:pPr>
        <w:keepNext/>
        <w:widowControl/>
        <w:tabs>
          <w:tab w:pos="10296" w:val="right"/>
        </w:tabs>
        <w:spacing w:before="220" w:after="60" w:line="252" w:lineRule="auto"/>
      </w:pPr>
      <w:r>
        <w:rPr>
          <w:rFonts w:ascii="Times New Roman" w:hAnsi="Times New Roman"/>
          <w:b/>
          <w:color w:val="000000"/>
          <w:sz w:val="22"/>
        </w:rPr>
        <w:t>Micron Technology  |  Data Science Engineer</w:t>
      </w:r>
      <w:r>
        <w:tab/>
      </w:r>
      <w:r>
        <w:rPr>
          <w:rFonts w:ascii="Times New Roman" w:hAnsi="Times New Roman"/>
          <w:b/>
          <w:color w:val="000000"/>
          <w:sz w:val="22"/>
        </w:rPr>
        <w:t>Jun 2022 to 2025</w:t>
      </w:r>
    </w:p>
    <w:p>
      <w:pPr>
        <w:keepNext/>
        <w:widowControl/>
        <w:spacing w:before="60" w:after="60" w:line="252" w:lineRule="auto"/>
      </w:pPr>
      <w:r>
        <w:rPr>
          <w:rFonts w:ascii="Times New Roman" w:hAnsi="Times New Roman"/>
          <w:b/>
          <w:color w:val="000000"/>
          <w:sz w:val="19"/>
        </w:rPr>
        <w:t>OPTIMIZATION AND PLANNING</w:t>
      </w:r>
    </w:p>
    <w:p>
      <w:pPr>
        <w:numPr>
          <w:ilvl w:val="0"/>
          <w:numId w:val="4"/>
        </w:numPr>
        <w:keepNext w:val="0"/>
        <w:widowControl/>
        <w:spacing w:before="0" w:after="80" w:line="252" w:lineRule="auto"/>
        <w:ind w:left="360" w:hanging="360"/>
        <w:jc w:val="left"/>
      </w:pPr>
      <w:r>
        <w:rPr>
          <w:rFonts w:ascii="Times New Roman" w:hAnsi="Times New Roman"/>
          <w:color w:val="000000"/>
          <w:sz w:val="22"/>
        </w:rPr>
        <w:t>Led supply-chain optimization work for tactical planning and planned-order firming, including improvements that delivered an additional 2-5% cost saving for assembly products while preserving order constraints.</w:t>
      </w:r>
    </w:p>
    <w:p>
      <w:pPr>
        <w:numPr>
          <w:ilvl w:val="0"/>
          <w:numId w:val="4"/>
        </w:numPr>
        <w:keepNext w:val="0"/>
        <w:widowControl/>
        <w:spacing w:before="0" w:after="80" w:line="252" w:lineRule="auto"/>
        <w:ind w:left="360" w:hanging="360"/>
        <w:jc w:val="left"/>
      </w:pPr>
      <w:r>
        <w:rPr>
          <w:rFonts w:ascii="Times New Roman" w:hAnsi="Times New Roman"/>
          <w:color w:val="000000"/>
          <w:sz w:val="22"/>
        </w:rPr>
        <w:t>Directed equipment performance-to-model tracking and coordinated data engineers building reliable sources for model-accuracy analysis.</w:t>
      </w:r>
    </w:p>
    <w:p>
      <w:pPr>
        <w:keepNext/>
        <w:widowControl/>
        <w:spacing w:before="100" w:after="60" w:line="252" w:lineRule="auto"/>
      </w:pPr>
      <w:r>
        <w:rPr>
          <w:rFonts w:ascii="Times New Roman" w:hAnsi="Times New Roman"/>
          <w:b/>
          <w:color w:val="000000"/>
          <w:sz w:val="19"/>
        </w:rPr>
        <w:t>DATA PLATFORMS AND AUTOMATION</w:t>
      </w:r>
    </w:p>
    <w:p>
      <w:pPr>
        <w:numPr>
          <w:ilvl w:val="0"/>
          <w:numId w:val="4"/>
        </w:numPr>
        <w:keepNext w:val="0"/>
        <w:widowControl/>
        <w:spacing w:before="0" w:after="80" w:line="252" w:lineRule="auto"/>
        <w:ind w:left="360" w:hanging="360"/>
        <w:jc w:val="left"/>
      </w:pPr>
      <w:r>
        <w:rPr>
          <w:rFonts w:ascii="Times New Roman" w:hAnsi="Times New Roman"/>
          <w:color w:val="000000"/>
          <w:sz w:val="22"/>
        </w:rPr>
        <w:t>Built and maintained more than 40 data pipelines and automation flows, together with more than 60 trusted tables for optimization, planning reports, and raw-material health analysis.</w:t>
      </w:r>
    </w:p>
    <w:p>
      <w:pPr>
        <w:numPr>
          <w:ilvl w:val="0"/>
          <w:numId w:val="4"/>
        </w:numPr>
        <w:keepNext w:val="0"/>
        <w:widowControl/>
        <w:spacing w:before="0" w:after="80" w:line="252" w:lineRule="auto"/>
        <w:ind w:left="360" w:hanging="360"/>
        <w:jc w:val="left"/>
      </w:pPr>
      <w:r>
        <w:rPr>
          <w:rFonts w:ascii="Times New Roman" w:hAnsi="Times New Roman"/>
          <w:color w:val="000000"/>
          <w:sz w:val="22"/>
        </w:rPr>
        <w:t>Led the Planned Order Firming migration to Snowflake and automated the end-to-end workflow, saving more than 80 hours each week.</w:t>
      </w:r>
    </w:p>
    <w:p>
      <w:pPr>
        <w:numPr>
          <w:ilvl w:val="0"/>
          <w:numId w:val="4"/>
        </w:numPr>
        <w:keepNext w:val="0"/>
        <w:widowControl/>
        <w:spacing w:before="0" w:after="80" w:line="252" w:lineRule="auto"/>
        <w:ind w:left="360" w:hanging="360"/>
        <w:jc w:val="left"/>
      </w:pPr>
      <w:r>
        <w:rPr>
          <w:rFonts w:ascii="Times New Roman" w:hAnsi="Times New Roman"/>
          <w:color w:val="000000"/>
          <w:sz w:val="22"/>
        </w:rPr>
        <w:t>Scaled product-assembly re-entrance reporting across product groups, contributing a further 20 hours of weekly time savings.</w:t>
      </w:r>
    </w:p>
    <w:p>
      <w:pPr>
        <w:keepNext/>
        <w:widowControl/>
        <w:tabs>
          <w:tab w:pos="10296" w:val="right"/>
        </w:tabs>
        <w:spacing w:before="220" w:after="60" w:line="252" w:lineRule="auto"/>
      </w:pPr>
      <w:r>
        <w:rPr>
          <w:rFonts w:ascii="Times New Roman" w:hAnsi="Times New Roman"/>
          <w:b/>
          <w:color w:val="000000"/>
          <w:sz w:val="22"/>
        </w:rPr>
        <w:t>National University of Singapore  |  Research Intern</w:t>
      </w:r>
      <w:r>
        <w:tab/>
      </w:r>
      <w:r>
        <w:rPr>
          <w:rFonts w:ascii="Times New Roman" w:hAnsi="Times New Roman"/>
          <w:b/>
          <w:color w:val="000000"/>
          <w:sz w:val="22"/>
        </w:rPr>
        <w:t>May to Aug 2021</w:t>
      </w:r>
    </w:p>
    <w:p>
      <w:pPr>
        <w:keepNext/>
        <w:widowControl/>
        <w:spacing w:before="60" w:after="60" w:line="252" w:lineRule="auto"/>
      </w:pPr>
      <w:r>
        <w:rPr>
          <w:rFonts w:ascii="Times New Roman" w:hAnsi="Times New Roman"/>
          <w:b/>
          <w:color w:val="000000"/>
          <w:sz w:val="19"/>
        </w:rPr>
        <w:t>RESEARCH AND SIMULATION</w:t>
      </w:r>
    </w:p>
    <w:p>
      <w:pPr>
        <w:numPr>
          <w:ilvl w:val="0"/>
          <w:numId w:val="4"/>
        </w:numPr>
        <w:keepNext w:val="0"/>
        <w:widowControl/>
        <w:spacing w:before="0" w:after="80" w:line="252" w:lineRule="auto"/>
        <w:ind w:left="360" w:hanging="360"/>
        <w:jc w:val="left"/>
      </w:pPr>
      <w:r>
        <w:rPr>
          <w:rFonts w:ascii="Times New Roman" w:hAnsi="Times New Roman"/>
          <w:color w:val="000000"/>
          <w:sz w:val="22"/>
        </w:rPr>
        <w:t>Conducted a technology scan of PSA's operating context and assessed technologies with potential strategic value.</w:t>
      </w:r>
    </w:p>
    <w:p>
      <w:pPr>
        <w:numPr>
          <w:ilvl w:val="0"/>
          <w:numId w:val="4"/>
        </w:numPr>
        <w:keepNext w:val="0"/>
        <w:widowControl/>
        <w:spacing w:before="0" w:after="80" w:line="252" w:lineRule="auto"/>
        <w:ind w:left="360" w:hanging="360"/>
        <w:jc w:val="left"/>
      </w:pPr>
      <w:r>
        <w:rPr>
          <w:rFonts w:ascii="Times New Roman" w:hAnsi="Times New Roman"/>
          <w:color w:val="000000"/>
          <w:sz w:val="22"/>
        </w:rPr>
        <w:t>Supported a Huawei warehouse-simulation project by refining entity-flow diagrams and defining grid-based path-mover behaviour.</w:t>
      </w:r>
    </w:p>
    <w:p>
      <w:pPr>
        <w:numPr>
          <w:ilvl w:val="0"/>
          <w:numId w:val="4"/>
        </w:numPr>
        <w:keepNext w:val="0"/>
        <w:widowControl/>
        <w:spacing w:before="0" w:after="80" w:line="252" w:lineRule="auto"/>
        <w:ind w:left="360" w:hanging="360"/>
        <w:jc w:val="left"/>
      </w:pPr>
      <w:r>
        <w:rPr>
          <w:rFonts w:ascii="Times New Roman" w:hAnsi="Times New Roman"/>
          <w:color w:val="000000"/>
          <w:sz w:val="22"/>
        </w:rPr>
        <w:t>Implemented the XML backbone that translated warehouse process flows into the simulation model.</w:t>
      </w:r>
    </w:p>
    <w:p>
      <w:pPr>
        <w:keepNext/>
        <w:spacing w:before="280" w:after="140" w:line="252" w:lineRule="auto"/>
      </w:pPr>
      <w:r>
        <w:rPr>
          <w:rFonts w:ascii="Times New Roman" w:hAnsi="Times New Roman"/>
          <w:b/>
          <w:color w:val="000000"/>
          <w:sz w:val="23"/>
          <w:u w:val="single"/>
        </w:rPr>
        <w:t>SELECTED INTERNAL PRODUCTS</w:t>
      </w:r>
    </w:p>
    <w:p>
      <w:pPr>
        <w:keepNext/>
        <w:widowControl/>
        <w:tabs>
          <w:tab w:pos="10296" w:val="right"/>
        </w:tabs>
        <w:spacing w:before="40" w:after="60" w:line="252" w:lineRule="auto"/>
      </w:pPr>
      <w:r>
        <w:rPr>
          <w:rFonts w:ascii="Times New Roman" w:hAnsi="Times New Roman"/>
          <w:b/>
          <w:color w:val="000000"/>
          <w:sz w:val="22"/>
        </w:rPr>
        <w:t>Multi-agent triage platform</w:t>
      </w:r>
      <w:r>
        <w:tab/>
      </w:r>
      <w:r>
        <w:rPr>
          <w:rFonts w:ascii="Times New Roman" w:hAnsi="Times New Roman"/>
          <w:b/>
          <w:color w:val="000000"/>
          <w:sz w:val="22"/>
        </w:rPr>
        <w:t>Production  |  Internal</w:t>
      </w:r>
    </w:p>
    <w:p>
      <w:pPr>
        <w:numPr>
          <w:ilvl w:val="0"/>
          <w:numId w:val="4"/>
        </w:numPr>
        <w:keepNext w:val="0"/>
        <w:widowControl/>
        <w:spacing w:before="0" w:after="70" w:line="252" w:lineRule="auto"/>
        <w:ind w:left="360" w:hanging="360"/>
        <w:jc w:val="left"/>
      </w:pPr>
      <w:r>
        <w:rPr>
          <w:rFonts w:ascii="Times New Roman" w:hAnsi="Times New Roman"/>
          <w:color w:val="000000"/>
          <w:sz w:val="22"/>
        </w:rPr>
        <w:t>Classifies unstructured requests, retrieves governed knowledge, scores confidence, and routes each case to an automated response or human review. Versioned knowledge and audit records keep decisions explainable and recoverable.</w:t>
      </w:r>
    </w:p>
    <w:p>
      <w:pPr>
        <w:keepNext/>
        <w:widowControl/>
        <w:tabs>
          <w:tab w:pos="10296" w:val="right"/>
        </w:tabs>
        <w:spacing w:before="140" w:after="60" w:line="252" w:lineRule="auto"/>
      </w:pPr>
      <w:r>
        <w:rPr>
          <w:rFonts w:ascii="Times New Roman" w:hAnsi="Times New Roman"/>
          <w:b/>
          <w:color w:val="000000"/>
          <w:sz w:val="22"/>
        </w:rPr>
        <w:t>AI workspace platform</w:t>
      </w:r>
      <w:r>
        <w:tab/>
      </w:r>
      <w:r>
        <w:rPr>
          <w:rFonts w:ascii="Times New Roman" w:hAnsi="Times New Roman"/>
          <w:b/>
          <w:color w:val="000000"/>
          <w:sz w:val="22"/>
        </w:rPr>
        <w:t>Production  |  Internal</w:t>
      </w:r>
    </w:p>
    <w:p>
      <w:pPr>
        <w:numPr>
          <w:ilvl w:val="0"/>
          <w:numId w:val="4"/>
        </w:numPr>
        <w:keepNext w:val="0"/>
        <w:widowControl/>
        <w:spacing w:before="0" w:after="70" w:line="252" w:lineRule="auto"/>
        <w:ind w:left="360" w:hanging="360"/>
        <w:jc w:val="left"/>
      </w:pPr>
      <w:r>
        <w:rPr>
          <w:rFonts w:ascii="Times New Roman" w:hAnsi="Times New Roman"/>
          <w:color w:val="000000"/>
          <w:sz w:val="22"/>
        </w:rPr>
        <w:t>Connects AI-assisted ticket proposals with Kanban operations and configurable agents. A durable relational model for workspaces, permissions, tickets, and events supports controlled growth.</w:t>
      </w:r>
    </w:p>
    <w:p>
      <w:pPr>
        <w:keepNext/>
        <w:spacing w:before="280" w:after="140" w:line="252" w:lineRule="auto"/>
      </w:pPr>
      <w:r>
        <w:rPr>
          <w:rFonts w:ascii="Times New Roman" w:hAnsi="Times New Roman"/>
          <w:b/>
          <w:color w:val="000000"/>
          <w:sz w:val="23"/>
          <w:u w:val="single"/>
        </w:rPr>
        <w:t>CERTIFICATIONS</w:t>
      </w:r>
    </w:p>
    <w:p>
      <w:pPr>
        <w:numPr>
          <w:ilvl w:val="0"/>
          <w:numId w:val="4"/>
        </w:numPr>
        <w:keepNext w:val="0"/>
        <w:widowControl/>
        <w:spacing w:before="0" w:after="70" w:line="252" w:lineRule="auto"/>
        <w:ind w:left="360" w:hanging="360"/>
        <w:jc w:val="left"/>
      </w:pPr>
      <w:r>
        <w:rPr>
          <w:rFonts w:ascii="Times New Roman" w:hAnsi="Times New Roman"/>
          <w:color w:val="000000"/>
          <w:sz w:val="22"/>
        </w:rPr>
        <w:t>Databricks Certified Data Engineer Associate, Credential 166618858, valid Nov 2025 to Nov 2027</w:t>
      </w:r>
    </w:p>
    <w:p>
      <w:pPr>
        <w:numPr>
          <w:ilvl w:val="0"/>
          <w:numId w:val="4"/>
        </w:numPr>
        <w:keepNext w:val="0"/>
        <w:widowControl/>
        <w:spacing w:before="0" w:after="70" w:line="252" w:lineRule="auto"/>
        <w:ind w:left="360" w:hanging="360"/>
        <w:jc w:val="left"/>
      </w:pPr>
      <w:r>
        <w:rPr>
          <w:rFonts w:ascii="Times New Roman" w:hAnsi="Times New Roman"/>
          <w:color w:val="000000"/>
          <w:sz w:val="22"/>
        </w:rPr>
        <w:t>DART AI for Cybersecurity Practitioners, earned 31 Aug 2026</w:t>
      </w:r>
    </w:p>
    <w:p>
      <w:pPr>
        <w:numPr>
          <w:ilvl w:val="0"/>
          <w:numId w:val="4"/>
        </w:numPr>
        <w:keepNext w:val="0"/>
        <w:widowControl/>
        <w:spacing w:before="0" w:after="70" w:line="252" w:lineRule="auto"/>
        <w:ind w:left="360" w:hanging="360"/>
        <w:jc w:val="left"/>
      </w:pPr>
      <w:r>
        <w:rPr>
          <w:rFonts w:ascii="Times New Roman" w:hAnsi="Times New Roman"/>
          <w:color w:val="000000"/>
          <w:sz w:val="22"/>
        </w:rPr>
        <w:t>AI Singapore AI for Industry® Literacy in AI, ID 32518583, earned 16 May 2021</w:t>
      </w:r>
    </w:p>
    <w:p>
      <w:pPr>
        <w:keepNext/>
        <w:spacing w:before="280" w:after="140" w:line="252" w:lineRule="auto"/>
      </w:pPr>
      <w:r>
        <w:rPr>
          <w:rFonts w:ascii="Times New Roman" w:hAnsi="Times New Roman"/>
          <w:b/>
          <w:color w:val="000000"/>
          <w:sz w:val="23"/>
          <w:u w:val="single"/>
        </w:rPr>
        <w:t>SKILLS</w:t>
      </w:r>
    </w:p>
    <w:p>
      <w:pPr>
        <w:numPr>
          <w:ilvl w:val="0"/>
          <w:numId w:val="4"/>
        </w:numPr>
        <w:keepNext w:val="0"/>
        <w:widowControl/>
        <w:spacing w:before="0" w:after="70" w:line="252" w:lineRule="auto"/>
        <w:ind w:left="360" w:hanging="360"/>
        <w:jc w:val="left"/>
      </w:pPr>
      <w:r>
        <w:rPr>
          <w:rFonts w:ascii="Times New Roman" w:hAnsi="Times New Roman"/>
          <w:b/>
          <w:color w:val="000000"/>
          <w:sz w:val="22"/>
        </w:rPr>
        <w:t xml:space="preserve">AI systems: </w:t>
      </w:r>
      <w:r>
        <w:rPr>
          <w:rFonts w:ascii="Times New Roman" w:hAnsi="Times New Roman"/>
          <w:color w:val="000000"/>
          <w:sz w:val="22"/>
        </w:rPr>
        <w:t>LLM orchestration, multi-agent systems, retrieval-augmented generation, and AI agents</w:t>
      </w:r>
    </w:p>
    <w:p>
      <w:pPr>
        <w:numPr>
          <w:ilvl w:val="0"/>
          <w:numId w:val="4"/>
        </w:numPr>
        <w:keepNext w:val="0"/>
        <w:widowControl/>
        <w:spacing w:before="0" w:after="70" w:line="252" w:lineRule="auto"/>
        <w:ind w:left="360" w:hanging="360"/>
        <w:jc w:val="left"/>
      </w:pPr>
      <w:r>
        <w:rPr>
          <w:rFonts w:ascii="Times New Roman" w:hAnsi="Times New Roman"/>
          <w:b/>
          <w:color w:val="000000"/>
          <w:sz w:val="22"/>
        </w:rPr>
        <w:t xml:space="preserve">Data platforms: </w:t>
      </w:r>
      <w:r>
        <w:rPr>
          <w:rFonts w:ascii="Times New Roman" w:hAnsi="Times New Roman"/>
          <w:color w:val="000000"/>
          <w:sz w:val="22"/>
        </w:rPr>
        <w:t>Databricks, Snowflake, PostgreSQL, NiFi, SQL, and ETL</w:t>
      </w:r>
    </w:p>
    <w:p>
      <w:pPr>
        <w:numPr>
          <w:ilvl w:val="0"/>
          <w:numId w:val="4"/>
        </w:numPr>
        <w:keepNext w:val="0"/>
        <w:widowControl/>
        <w:spacing w:before="0" w:after="70" w:line="252" w:lineRule="auto"/>
        <w:ind w:left="360" w:hanging="360"/>
        <w:jc w:val="left"/>
      </w:pPr>
      <w:r>
        <w:rPr>
          <w:rFonts w:ascii="Times New Roman" w:hAnsi="Times New Roman"/>
          <w:b/>
          <w:color w:val="000000"/>
          <w:sz w:val="22"/>
        </w:rPr>
        <w:t xml:space="preserve">Product engineering: </w:t>
      </w:r>
      <w:r>
        <w:rPr>
          <w:rFonts w:ascii="Times New Roman" w:hAnsi="Times New Roman"/>
          <w:color w:val="000000"/>
          <w:sz w:val="22"/>
        </w:rPr>
        <w:t>TypeScript, React, Next.js, Node.js, and Docker</w:t>
      </w:r>
    </w:p>
    <w:p>
      <w:pPr>
        <w:numPr>
          <w:ilvl w:val="0"/>
          <w:numId w:val="4"/>
        </w:numPr>
        <w:keepNext w:val="0"/>
        <w:widowControl/>
        <w:spacing w:before="0" w:after="70" w:line="252" w:lineRule="auto"/>
        <w:ind w:left="360" w:hanging="360"/>
        <w:jc w:val="left"/>
      </w:pPr>
      <w:r>
        <w:rPr>
          <w:rFonts w:ascii="Times New Roman" w:hAnsi="Times New Roman"/>
          <w:b/>
          <w:color w:val="000000"/>
          <w:sz w:val="22"/>
        </w:rPr>
        <w:t xml:space="preserve">Analytics: </w:t>
      </w:r>
      <w:r>
        <w:rPr>
          <w:rFonts w:ascii="Times New Roman" w:hAnsi="Times New Roman"/>
          <w:color w:val="000000"/>
          <w:sz w:val="22"/>
        </w:rPr>
        <w:t>Python, Tableau, R, optimization, and simulation</w:t>
      </w:r>
    </w:p>
    <w:sectPr>
      <w:headerReference r:id="rId9" w:type="default"/>
      <w:headerReference r:id="rId10" w:type="first"/>
      <w:headerReference r:id="rId11" w:type="even"/>
      <w:footerReference r:id="rId12" w:type="default"/>
      <w:footerReference r:id="rId13" w:type="first"/>
      <w:footerReference r:id="rId14" w:type="even"/>
      <w:pgSz w:h="16838" w:w="11906" w:orient="portrait"/>
      <w:pgMar w:bottom="720" w:top="720" w:left="720" w:right="720" w:header="227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Arial"/>
  <w:font w:name="Calibri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B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513"/>
        <w:tab w:val="right" w:leader="none" w:pos="9026"/>
      </w:tabs>
      <w:rPr>
        <w:color w:val="000000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C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513"/>
        <w:tab w:val="right" w:leader="none" w:pos="9026"/>
      </w:tabs>
      <w:rPr>
        <w:color w:val="000000"/>
      </w:rPr>
    </w:pPr>
    <w:r w:rsidDel="00000000" w:rsidR="00000000" w:rsidRPr="00000000">
      <w:rPr>
        <w:rtl w:val="0"/>
      </w:rPr>
    </w:r>
  </w:p>
</w:ftr>
</file>

<file path=word/footer3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D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513"/>
        <w:tab w:val="right" w:leader="none" w:pos="9026"/>
      </w:tabs>
      <w:rPr>
        <w:color w:val="000000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8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513"/>
        <w:tab w:val="right" w:leader="none" w:pos="9026"/>
      </w:tabs>
      <w:rPr>
        <w:color w:val="000000"/>
      </w:rPr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9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513"/>
        <w:tab w:val="right" w:leader="none" w:pos="9026"/>
      </w:tabs>
      <w:rPr>
        <w:color w:val="000000"/>
      </w:rPr>
    </w:pPr>
    <w:r w:rsidDel="00000000" w:rsidR="00000000" w:rsidRPr="00000000">
      <w:rPr>
        <w:rtl w:val="0"/>
      </w:rPr>
    </w:r>
  </w:p>
</w:hdr>
</file>

<file path=word/header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A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513"/>
        <w:tab w:val="right" w:leader="none" w:pos="9026"/>
      </w:tabs>
      <w:rPr>
        <w:color w:val="000000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36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08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18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52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24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39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468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40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12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cs="Noto Sans Symbols" w:eastAsia="Noto Sans Symbols" w:hAnsi="Noto Sans Symbols"/>
      </w:rPr>
    </w:lvl>
  </w:abstractNum>
  <w:abstractNum w:abstractNumId="3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cs="Noto Sans Symbols" w:eastAsia="Noto Sans Symbols" w:hAnsi="Noto Sans Symbols"/>
      </w:rPr>
    </w:lvl>
  </w:abstractNum>
  <w:abstractNum w:abstractNumId="4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eader" Target="header3.xml"/><Relationship Id="rId10" Type="http://schemas.openxmlformats.org/officeDocument/2006/relationships/header" Target="header2.xml"/><Relationship Id="rId13" Type="http://schemas.openxmlformats.org/officeDocument/2006/relationships/footer" Target="footer2.xml"/><Relationship Id="rId12" Type="http://schemas.openxmlformats.org/officeDocument/2006/relationships/footer" Target="footer1.xm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eader" Target="header1.xml"/><Relationship Id="rId14" Type="http://schemas.openxmlformats.org/officeDocument/2006/relationships/footer" Target="footer3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Relationship Id="rId8" Type="http://schemas.openxmlformats.org/officeDocument/2006/relationships/hyperlink" Target="mailto:zhishengkerk@gmail.com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uxT+EOiINZ4fNAJoXJzcBw4qO+g==">CgMxLjA4AHIhMTk5TXRfM1RVZ1ZJTWwybTZjemplbmcxNTlfT1ZQUFo5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