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rFonts w:ascii="Arial" w:cs="Arial" w:eastAsia="Arial" w:hAnsi="Arial"/>
          <w:b w:val="1"/>
          <w:sz w:val="32"/>
          <w:szCs w:val="32"/>
          <w:rtl w:val="0"/>
        </w:rPr>
        <w:t xml:space="preserve">K</w:t>
      </w:r>
      <w:r w:rsidDel="00000000" w:rsidR="00000000" w:rsidRPr="00000000">
        <w:rPr>
          <w:b w:val="1"/>
          <w:sz w:val="32"/>
          <w:szCs w:val="32"/>
          <w:rtl w:val="0"/>
        </w:rPr>
        <w:t xml:space="preserve">erk Zhi Sheng</w:t>
      </w:r>
      <w:r w:rsidDel="00000000" w:rsidR="00000000" w:rsidRPr="00000000">
        <w:rPr>
          <w:rFonts w:ascii="Calibri" w:cs="Calibri" w:eastAsia="Calibri" w:hAnsi="Calibri"/>
        </w:rPr>
        <mc:AlternateContent>
          <mc:Choice Requires="wpg">
            <w:drawing>
              <wp:inline distB="0" distT="0" distL="0" distR="0">
                <wp:extent cx="6426200" cy="3810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145600" y="3780000"/>
                          <a:ext cx="6400800" cy="0"/>
                        </a:xfrm>
                        <a:prstGeom prst="straightConnector1">
                          <a:avLst/>
                        </a:prstGeom>
                        <a:noFill/>
                        <a:ln cap="flat" cmpd="sng" w="25400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426200" cy="38100"/>
                <wp:effectExtent b="0" l="0" r="0" t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2620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pos="4320" w:val="left"/>
        </w:tabs>
        <w:spacing w:after="60"/>
        <w:rPr/>
      </w:pPr>
      <w:r>
        <w:rPr>
          <w:rFonts w:ascii="Times New Roman" w:hAnsi="Times New Roman"/>
          <w:color w:val="000000"/>
          <w:sz w:val="22"/>
        </w:rPr>
        <w:t>Email: zhishengkerk@gmail.com</w:t>
        <w:tab/>
        <w:t>Mobile: +65 8188 7419</w:t>
      </w:r>
    </w:p>
    <w:p w:rsidR="00000000" w:rsidDel="00000000" w:rsidP="00000000" w:rsidRDefault="00000000" w:rsidRPr="00000000" w14:paraId="00000003">
      <w:pPr>
        <w:rPr>
          <w:b w:val="1"/>
          <w:color w:val="ff0000"/>
        </w:rPr>
      </w:pPr>
      <w:r w:rsidDel="00000000" w:rsidR="00000000" w:rsidRPr="00000000">
        <w:rPr>
          <w:rtl w:val="0"/>
        </w:rPr>
      </w:r>
    </w:p>
    <w:p>
      <w:pPr>
        <w:keepNext/>
        <w:spacing w:before="180" w:after="10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EDUCATION</w:t>
      </w:r>
    </w:p>
    <w:p>
      <w:pPr>
        <w:keepNext/>
        <w:widowControl/>
        <w:tabs>
          <w:tab w:pos="10296" w:val="right"/>
        </w:tabs>
        <w:spacing w:before="0" w:after="40" w:line="252" w:lineRule="auto"/>
      </w:pPr>
      <w:r>
        <w:rPr>
          <w:rFonts w:ascii="Times New Roman" w:hAnsi="Times New Roman"/>
          <w:b/>
          <w:color w:val="000000"/>
          <w:sz w:val="22"/>
        </w:rPr>
        <w:t>National University of Singapore (NUS)</w:t>
      </w:r>
      <w:r>
        <w:tab/>
      </w:r>
      <w:r>
        <w:rPr>
          <w:rFonts w:ascii="Times New Roman" w:hAnsi="Times New Roman"/>
          <w:b/>
          <w:color w:val="000000"/>
          <w:sz w:val="22"/>
        </w:rPr>
        <w:t>Aug 2018 to May 2022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Bachelor of Engineering, Industrial and Systems Engineering</w:t>
      </w:r>
    </w:p>
    <w:p>
      <w:pPr>
        <w:keepNext/>
        <w:spacing w:before="180" w:after="10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WORK EXPERIENCE</w:t>
      </w:r>
    </w:p>
    <w:p>
      <w:pPr>
        <w:keepNext/>
        <w:widowControl/>
        <w:tabs>
          <w:tab w:pos="10296" w:val="right"/>
        </w:tabs>
        <w:spacing w:before="0" w:after="40" w:line="252" w:lineRule="auto"/>
      </w:pPr>
      <w:r>
        <w:rPr>
          <w:rFonts w:ascii="Times New Roman" w:hAnsi="Times New Roman"/>
          <w:b/>
          <w:color w:val="000000"/>
          <w:sz w:val="22"/>
        </w:rPr>
        <w:t>GovTech  |  Data and AI Engineer</w:t>
      </w:r>
      <w:r>
        <w:tab/>
      </w:r>
      <w:r>
        <w:rPr>
          <w:rFonts w:ascii="Times New Roman" w:hAnsi="Times New Roman"/>
          <w:b/>
          <w:color w:val="000000"/>
          <w:sz w:val="22"/>
        </w:rPr>
        <w:t>2024 to Present</w:t>
      </w:r>
    </w:p>
    <w:p>
      <w:pPr>
        <w:keepNext w:val="0"/>
        <w:widowControl/>
        <w:spacing w:before="0" w:after="80" w:line="252" w:lineRule="auto"/>
        <w:jc w:val="both"/>
      </w:pPr>
      <w:r>
        <w:rPr>
          <w:rFonts w:ascii="Times New Roman" w:hAnsi="Times New Roman"/>
          <w:color w:val="000000"/>
          <w:sz w:val="22"/>
        </w:rPr>
        <w:t>I design and ship internal AI products from the data model through to the operating workflow. Two applications are in production today, with more progressing through user acceptance testing.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Built a channel-agnostic multi-agent triage platform with configurable pipelines, knowledge-base matching, confidence thresholds, automated replies, human escalation, and auditable state.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Designed an AI-enabled workspace that combines ticket proposals, Kanban workflows, configurable agent profiles, permission boundaries, and cross-workspace operations.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Applied data engineering principles to production readiness through intentional schemas, dependable persistence, traceable agent decisions, and maintainable integration boundaries.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Developed an internal real-time pose-detection engine with MediaPipe, together with operational dashboards and Databricks pipelines for production workflows.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Presented an internal Databricks brown-bag session on Genie agents and Genie Code, and participated in internal forums and hackathons to share practical AI adoption patterns.</w:t>
      </w:r>
    </w:p>
    <w:p>
      <w:pPr>
        <w:keepNext/>
        <w:widowControl/>
        <w:tabs>
          <w:tab w:pos="10296" w:val="right"/>
        </w:tabs>
        <w:spacing w:before="0" w:after="40" w:line="252" w:lineRule="auto"/>
      </w:pPr>
      <w:r>
        <w:rPr>
          <w:rFonts w:ascii="Times New Roman" w:hAnsi="Times New Roman"/>
          <w:b/>
          <w:color w:val="000000"/>
          <w:sz w:val="22"/>
        </w:rPr>
        <w:t>Micron Technology  |  Data Science Engineer</w:t>
      </w:r>
      <w:r>
        <w:tab/>
      </w:r>
      <w:r>
        <w:rPr>
          <w:rFonts w:ascii="Times New Roman" w:hAnsi="Times New Roman"/>
          <w:b/>
          <w:color w:val="000000"/>
          <w:sz w:val="22"/>
        </w:rPr>
        <w:t>Jun 2022 to 2025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Led supply-chain optimization work for tactical planning and planned-order firming, including improvements that delivered an additional 2-5% cost saving for assembly products while preserving order constraints.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Built and maintained more than 40 data pipelines and automation flows, together with more than 60 trusted tables for optimization, planning reports, and raw-material health analysis.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Led the Planned Order Firming migration to Snowflake and automated the end-to-end workflow, saving more than 80 hours each week.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Scaled product-assembly re-entrance reporting across product groups, contributing a further 20 hours of weekly time savings.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Directed equipment performance-to-model tracking and coordinated data engineers building reliable sources for model-accuracy analysis.</w:t>
      </w:r>
    </w:p>
    <w:p>
      <w:pPr>
        <w:keepNext/>
        <w:widowControl/>
        <w:tabs>
          <w:tab w:pos="10296" w:val="right"/>
        </w:tabs>
        <w:spacing w:before="0" w:after="40" w:line="252" w:lineRule="auto"/>
      </w:pPr>
      <w:r>
        <w:rPr>
          <w:rFonts w:ascii="Times New Roman" w:hAnsi="Times New Roman"/>
          <w:b/>
          <w:color w:val="000000"/>
          <w:sz w:val="22"/>
        </w:rPr>
        <w:t>National University of Singapore  |  Research Intern</w:t>
      </w:r>
      <w:r>
        <w:tab/>
      </w:r>
      <w:r>
        <w:rPr>
          <w:rFonts w:ascii="Times New Roman" w:hAnsi="Times New Roman"/>
          <w:b/>
          <w:color w:val="000000"/>
          <w:sz w:val="22"/>
        </w:rPr>
        <w:t>May to Aug 2021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Conducted a technology scan of PSA's operating context and assessed technologies with potential strategic value.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Supported a Huawei warehouse-simulation project by refining entity-flow diagrams and defining grid-based path-mover behaviour.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Implemented the XML backbone that translated warehouse process flows into the simulation model.</w:t>
      </w:r>
    </w:p>
    <w:p>
      <w:pPr>
        <w:keepNext/>
        <w:spacing w:before="180" w:after="10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SELECTED AI AND DATA PRODUCTS</w:t>
      </w:r>
    </w:p>
    <w:p>
      <w:pPr>
        <w:keepNext/>
        <w:widowControl/>
        <w:tabs>
          <w:tab w:pos="10296" w:val="right"/>
        </w:tabs>
        <w:spacing w:before="0" w:after="40" w:line="252" w:lineRule="auto"/>
      </w:pPr>
      <w:r>
        <w:rPr>
          <w:rFonts w:ascii="Times New Roman" w:hAnsi="Times New Roman"/>
          <w:b/>
          <w:color w:val="000000"/>
          <w:sz w:val="22"/>
        </w:rPr>
        <w:t>Multi-agent triage platform</w:t>
      </w:r>
      <w:r>
        <w:tab/>
      </w:r>
      <w:r>
        <w:rPr>
          <w:rFonts w:ascii="Times New Roman" w:hAnsi="Times New Roman"/>
          <w:b/>
          <w:color w:val="000000"/>
          <w:sz w:val="22"/>
        </w:rPr>
        <w:t>Production  |  Internal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Classifies unstructured requests, retrieves governed knowledge, scores confidence, and routes each case to an automated response or human review. Versioned knowledge and audit records keep decisions explainable and recoverable.</w:t>
      </w:r>
    </w:p>
    <w:p>
      <w:pPr>
        <w:keepNext/>
        <w:widowControl/>
        <w:tabs>
          <w:tab w:pos="10296" w:val="right"/>
        </w:tabs>
        <w:spacing w:before="0" w:after="40" w:line="252" w:lineRule="auto"/>
      </w:pPr>
      <w:r>
        <w:rPr>
          <w:rFonts w:ascii="Times New Roman" w:hAnsi="Times New Roman"/>
          <w:b/>
          <w:color w:val="000000"/>
          <w:sz w:val="22"/>
        </w:rPr>
        <w:t>AI workspace platform</w:t>
      </w:r>
      <w:r>
        <w:tab/>
      </w:r>
      <w:r>
        <w:rPr>
          <w:rFonts w:ascii="Times New Roman" w:hAnsi="Times New Roman"/>
          <w:b/>
          <w:color w:val="000000"/>
          <w:sz w:val="22"/>
        </w:rPr>
        <w:t>Production  |  Internal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Connects AI-assisted ticket proposals with Kanban operations and configurable agents. A durable relational model for workspaces, permissions, tickets, and events supports controlled growth.</w:t>
      </w:r>
    </w:p>
    <w:p>
      <w:pPr>
        <w:keepNext/>
        <w:widowControl/>
        <w:tabs>
          <w:tab w:pos="10296" w:val="right"/>
        </w:tabs>
        <w:spacing w:before="0" w:after="40" w:line="252" w:lineRule="auto"/>
      </w:pPr>
      <w:r>
        <w:rPr>
          <w:rFonts w:ascii="Times New Roman" w:hAnsi="Times New Roman"/>
          <w:b/>
          <w:color w:val="000000"/>
          <w:sz w:val="22"/>
        </w:rPr>
        <w:t>AI talent matching</w:t>
      </w:r>
      <w:r>
        <w:tab/>
      </w:r>
      <w:r>
        <w:rPr>
          <w:rFonts w:ascii="Times New Roman" w:hAnsi="Times New Roman"/>
          <w:b/>
          <w:color w:val="000000"/>
          <w:sz w:val="22"/>
        </w:rPr>
        <w:t>UAT  |  Internal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Pairs vector similarity with governed identity and role data so recommendations remain explainable and grounded in trusted records.</w:t>
      </w:r>
    </w:p>
    <w:p>
      <w:pPr>
        <w:keepNext/>
        <w:widowControl/>
        <w:tabs>
          <w:tab w:pos="10296" w:val="right"/>
        </w:tabs>
        <w:spacing w:before="0" w:after="40" w:line="252" w:lineRule="auto"/>
      </w:pPr>
      <w:r>
        <w:rPr>
          <w:rFonts w:ascii="Times New Roman" w:hAnsi="Times New Roman"/>
          <w:b/>
          <w:color w:val="000000"/>
          <w:sz w:val="22"/>
        </w:rPr>
        <w:t>Operational analytics platform</w:t>
      </w:r>
      <w:r>
        <w:tab/>
      </w:r>
      <w:r>
        <w:rPr>
          <w:rFonts w:ascii="Times New Roman" w:hAnsi="Times New Roman"/>
          <w:b/>
          <w:color w:val="000000"/>
          <w:sz w:val="22"/>
        </w:rPr>
        <w:t>UAT  |  Internal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Combines streaming data, anomaly detection, drill-down analysis, and audit trails with freshness checks, lineage, and reproducible transformations.</w:t>
      </w:r>
    </w:p>
    <w:p>
      <w:pPr>
        <w:keepNext/>
        <w:spacing w:before="180" w:after="10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CERTIFICATIONS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Databricks Certified Data Engineer Associate, Credential 166618858, valid Nov 2025 to Nov 2027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DART AI for Cybersecurity Practitioners, earned 31 Aug 2026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color w:val="000000"/>
          <w:sz w:val="22"/>
        </w:rPr>
        <w:t>AI Singapore AI for Industry® Literacy in AI, ID 32518583, earned 16 May 2021</w:t>
      </w:r>
    </w:p>
    <w:p>
      <w:pPr>
        <w:keepNext/>
        <w:spacing w:before="180" w:after="100" w:line="252" w:lineRule="auto"/>
      </w:pPr>
      <w:r>
        <w:rPr>
          <w:rFonts w:ascii="Times New Roman" w:hAnsi="Times New Roman"/>
          <w:b/>
          <w:color w:val="000000"/>
          <w:sz w:val="23"/>
          <w:u w:val="single"/>
        </w:rPr>
        <w:t>SKILLS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AI systems: </w:t>
      </w:r>
      <w:r>
        <w:rPr>
          <w:rFonts w:ascii="Times New Roman" w:hAnsi="Times New Roman"/>
          <w:color w:val="000000"/>
          <w:sz w:val="22"/>
        </w:rPr>
        <w:t>LLM orchestration, multi-agent systems, retrieval-augmented generation, and AI agents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Data platforms: </w:t>
      </w:r>
      <w:r>
        <w:rPr>
          <w:rFonts w:ascii="Times New Roman" w:hAnsi="Times New Roman"/>
          <w:color w:val="000000"/>
          <w:sz w:val="22"/>
        </w:rPr>
        <w:t>Databricks, Snowflake, PostgreSQL, NiFi, SQL, and ETL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Product engineering: </w:t>
      </w:r>
      <w:r>
        <w:rPr>
          <w:rFonts w:ascii="Times New Roman" w:hAnsi="Times New Roman"/>
          <w:color w:val="000000"/>
          <w:sz w:val="22"/>
        </w:rPr>
        <w:t>TypeScript, React, Next.js, Node.js, and Docker</w:t>
      </w:r>
    </w:p>
    <w:p>
      <w:pPr>
        <w:numPr>
          <w:ilvl w:val="0"/>
          <w:numId w:val="4"/>
        </w:numPr>
        <w:keepNext w:val="0"/>
        <w:widowControl/>
        <w:spacing w:before="0" w:after="70" w:line="252" w:lineRule="auto"/>
        <w:ind w:left="360" w:hanging="360"/>
        <w:jc w:val="left"/>
      </w:pPr>
      <w:r>
        <w:rPr>
          <w:rFonts w:ascii="Times New Roman" w:hAnsi="Times New Roman"/>
          <w:b/>
          <w:color w:val="000000"/>
          <w:sz w:val="22"/>
        </w:rPr>
        <w:t xml:space="preserve">Analytics: </w:t>
      </w:r>
      <w:r>
        <w:rPr>
          <w:rFonts w:ascii="Times New Roman" w:hAnsi="Times New Roman"/>
          <w:color w:val="000000"/>
          <w:sz w:val="22"/>
        </w:rPr>
        <w:t>Python, Tableau, R, optimization, and simulation</w:t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6838" w:w="11906" w:orient="portrait"/>
      <w:pgMar w:bottom="720" w:top="720" w:left="720" w:right="720" w:header="22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zhishengkerk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xT+EOiINZ4fNAJoXJzcBw4qO+g==">CgMxLjA4AHIhMTk5TXRfM1RVZ1ZJTWwybTZjemplbmcxNTlfT1ZQUFo5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