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ptos Display" w:hAnsi="Aptos Display"/>
          <w:b/>
          <w:color w:val="18181B"/>
          <w:sz w:val="50"/>
        </w:rPr>
        <w:t>KERK ZHI SHENG</w:t>
      </w:r>
    </w:p>
    <w:p>
      <w:pPr>
        <w:spacing w:after="80"/>
      </w:pPr>
      <w:r>
        <w:rPr>
          <w:rFonts w:ascii="Aptos" w:hAnsi="Aptos"/>
          <w:b/>
          <w:color w:val="0E7490"/>
          <w:sz w:val="18"/>
        </w:rPr>
        <w:t>DATA &amp; AI ENGINEER  ·  PRODUCTION AI PRODUCT BUILDER</w:t>
      </w:r>
    </w:p>
    <w:p>
      <w:pPr>
        <w:spacing w:after="120"/>
        <w:pBdr>
          <w:bottom w:val="single" w:sz="5" w:space="5" w:color="D4D4D8"/>
        </w:pBdr>
      </w:pPr>
      <w:r>
        <w:rPr>
          <w:color w:val="52525B"/>
          <w:sz w:val="16"/>
        </w:rPr>
        <w:t>Singapore  ·  +65 8188 7419  ·  zhishengkerk@gmail.com  ·  kerkzhisheng.com  ·  linkedin.com/in/kerk-zhi-sheng-59060a171</w:t>
      </w:r>
    </w:p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PROFESSIONAL PROFILE</w:t>
      </w:r>
    </w:p>
    <w:p>
      <w:pPr>
        <w:spacing w:after="100" w:line="269" w:lineRule="auto"/>
      </w:pPr>
      <w:r>
        <w:t>Data engineer by training and AI product builder by practice. I turn internal operational problems into dependable systems, combining multi-agent workflows, full-stack delivery, and intentional database design. Two internal AI applications are deployed and used in production, with additional products progressing through UAT. My focus is the layer that often separates a convincing AI demo from a production-ready product: reliable state, governed data, traceable decisions, clear permissions, and maintainable integration boundaries.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4E7"/>
          <w:left w:val="single" w:sz="4" w:color="E4E4E7"/>
          <w:bottom w:val="single" w:sz="4" w:color="E4E4E7"/>
          <w:right w:val="single" w:sz="4" w:color="E4E4E7"/>
          <w:insideH w:val="single" w:sz="4" w:color="E4E4E7"/>
          <w:insideV w:val="single" w:sz="4" w:color="E4E4E7"/>
        </w:tblBorders>
      </w:tblPr>
      <w:tblGrid>
        <w:gridCol w:w="2531"/>
        <w:gridCol w:w="2531"/>
        <w:gridCol w:w="2531"/>
        <w:gridCol w:w="2531"/>
      </w:tblGrid>
      <w:tr>
        <w:tc>
          <w:tcPr>
            <w:tcW w:type="dxa" w:w="2531"/>
            <w:shd w:fill="F4F4F5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/>
            </w:pPr>
            <w:r>
              <w:rPr>
                <w:b/>
                <w:color w:val="18181B"/>
                <w:sz w:val="26"/>
              </w:rPr>
              <w:t>2</w:t>
            </w:r>
            <w:r>
              <w:br/>
            </w:r>
            <w:r>
              <w:rPr>
                <w:color w:val="52525B"/>
                <w:sz w:val="15"/>
              </w:rPr>
              <w:t>internal AI apps live</w:t>
            </w:r>
          </w:p>
        </w:tc>
        <w:tc>
          <w:tcPr>
            <w:tcW w:type="dxa" w:w="2531"/>
            <w:shd w:fill="F4F4F5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/>
            </w:pPr>
            <w:r>
              <w:rPr>
                <w:b/>
                <w:color w:val="18181B"/>
                <w:sz w:val="26"/>
              </w:rPr>
              <w:t>40+</w:t>
            </w:r>
            <w:r>
              <w:br/>
            </w:r>
            <w:r>
              <w:rPr>
                <w:color w:val="52525B"/>
                <w:sz w:val="15"/>
              </w:rPr>
              <w:t>data pipelines built</w:t>
            </w:r>
          </w:p>
        </w:tc>
        <w:tc>
          <w:tcPr>
            <w:tcW w:type="dxa" w:w="2531"/>
            <w:shd w:fill="F4F4F5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/>
            </w:pPr>
            <w:r>
              <w:rPr>
                <w:b/>
                <w:color w:val="18181B"/>
                <w:sz w:val="26"/>
              </w:rPr>
              <w:t>100+</w:t>
            </w:r>
            <w:r>
              <w:br/>
            </w:r>
            <w:r>
              <w:rPr>
                <w:color w:val="52525B"/>
                <w:sz w:val="15"/>
              </w:rPr>
              <w:t>hours saved weekly</w:t>
            </w:r>
          </w:p>
        </w:tc>
        <w:tc>
          <w:tcPr>
            <w:tcW w:type="dxa" w:w="2531"/>
            <w:shd w:fill="F4F4F5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/>
            </w:pPr>
            <w:r>
              <w:rPr>
                <w:b/>
                <w:color w:val="18181B"/>
                <w:sz w:val="26"/>
              </w:rPr>
              <w:t>2–5%</w:t>
            </w:r>
            <w:r>
              <w:br/>
            </w:r>
            <w:r>
              <w:rPr>
                <w:color w:val="52525B"/>
                <w:sz w:val="15"/>
              </w:rPr>
              <w:t>additional cost saving</w:t>
            </w:r>
          </w:p>
        </w:tc>
      </w:tr>
    </w:tbl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064"/>
        <w:gridCol w:w="2088"/>
      </w:tblGrid>
      <w:tr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b/>
                <w:color w:val="18181B"/>
                <w:sz w:val="21"/>
              </w:rPr>
              <w:t>Data &amp; AI Engineer</w:t>
            </w:r>
            <w:r>
              <w:rPr>
                <w:color w:val="52525B"/>
                <w:sz w:val="18"/>
              </w:rPr>
              <w:t xml:space="preserve">  |  GovTech</w:t>
            </w:r>
          </w:p>
        </w:tc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b/>
                <w:color w:val="52525B"/>
                <w:sz w:val="17"/>
              </w:rPr>
              <w:t>2024 — Present</w:t>
            </w:r>
          </w:p>
        </w:tc>
      </w:tr>
    </w:tbl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Ship internal AI products end to end, from data model and workflow design through deployment and adoption; two applications are live in production and additional systems are in UAT.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Built a channel-agnostic multi-agent triage platform with configurable pipelines, knowledge-base matching, confidence thresholds, automated replies, human escalation, and auditable state.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Designed an AI-enabled workspace combining ticket proposals, Kanban workflows, configurable agent profiles, permission boundaries, and cross-workspace operations.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Apply production-readiness principles at the database layer: intentional schemas, dependable persistence, traceable agent decisions, clear ownership, and maintainable integration boundaries.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Developed an internal real-time pose-detection engine with MediaPipe plus operational dashboards and Databricks pipelines for production workflows.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Presented an internal Databricks brown-bag session on Genie agents and Genie Code, and participated in internal forums and hackathons to spread practical AI adoption patterns.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064"/>
        <w:gridCol w:w="2088"/>
      </w:tblGrid>
      <w:tr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b/>
                <w:color w:val="18181B"/>
                <w:sz w:val="21"/>
              </w:rPr>
              <w:t>Data Science Engineer</w:t>
            </w:r>
            <w:r>
              <w:rPr>
                <w:color w:val="52525B"/>
                <w:sz w:val="18"/>
              </w:rPr>
              <w:t xml:space="preserve">  |  Micron Technology</w:t>
            </w:r>
          </w:p>
        </w:tc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b/>
                <w:color w:val="52525B"/>
                <w:sz w:val="17"/>
              </w:rPr>
              <w:t>Jun 2022 — 2024</w:t>
            </w:r>
          </w:p>
        </w:tc>
      </w:tr>
    </w:tbl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Served as technical lead for supply-chain optimization initiatives supporting tactical planning and planned-order firming.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Improved the tactical-planning optimizer to deliver an additional 2–5% cost saving for assembly products while satisfying order and operational constraints.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Built and maintained 40+ data pipelines and automation flows plus 60+ trusted tables for optimization, planning reports, and raw-material health analysis.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Led the Planned Order Firming migration to Snowflake and automated the end-to-end workflow, saving more than 80 hours each week.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Scaled product-assembly re-entrance reporting across product groups, saving a further 20+ hours weekly; also led equipment performance-to-model reporting and model-accuracy data work.</w:t>
      </w:r>
    </w:p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EARLIER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064"/>
        <w:gridCol w:w="2088"/>
      </w:tblGrid>
      <w:tr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b/>
                <w:color w:val="18181B"/>
                <w:sz w:val="21"/>
              </w:rPr>
              <w:t>Research Intern (C4NGP/C4NGL)</w:t>
            </w:r>
            <w:r>
              <w:rPr>
                <w:color w:val="52525B"/>
                <w:sz w:val="18"/>
              </w:rPr>
              <w:t xml:space="preserve">  |  National University of Singapore</w:t>
            </w:r>
          </w:p>
        </w:tc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b/>
                <w:color w:val="52525B"/>
                <w:sz w:val="17"/>
              </w:rPr>
              <w:t>May — Aug 2021</w:t>
            </w:r>
          </w:p>
        </w:tc>
      </w:tr>
    </w:tbl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Conducted a technology scan of PSA’s operating context and assessed technologies with potential strategic value.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Supported a Huawei warehouse-simulation project by refining entity-flow diagrams and defining grid-based path-mover behaviour.</w:t>
      </w:r>
    </w:p>
    <w:p>
      <w:pPr>
        <w:spacing w:after="44" w:line="259" w:lineRule="auto"/>
        <w:ind w:left="230" w:hanging="202"/>
      </w:pPr>
      <w:r>
        <w:rPr>
          <w:color w:val="0E7490"/>
        </w:rPr>
        <w:t xml:space="preserve">• </w:t>
      </w:r>
      <w:r>
        <w:rPr>
          <w:color w:val="52525B"/>
          <w:sz w:val="17"/>
        </w:rPr>
        <w:t>Implemented the XML backbone that translated warehouse process flows into the simulation model.</w:t>
      </w:r>
    </w:p>
    <w:p>
      <w:r>
        <w:br w:type="page"/>
      </w:r>
    </w:p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SELECTED AI &amp; DATA PRODUCTS</w:t>
      </w:r>
    </w:p>
    <w:p>
      <w:pPr>
        <w:keepNext w:val="0"/>
        <w:spacing w:after="60"/>
      </w:pPr>
      <w:r>
        <w:rPr>
          <w:b/>
          <w:color w:val="18181B"/>
          <w:sz w:val="18"/>
        </w:rPr>
        <w:t>Multi-agent triage platform</w:t>
      </w:r>
      <w:r>
        <w:rPr>
          <w:b/>
          <w:color w:val="0E7490"/>
          <w:sz w:val="15"/>
        </w:rPr>
        <w:t xml:space="preserve">  PRODUCTION · INTERNAL  </w:t>
      </w:r>
      <w:r>
        <w:rPr>
          <w:color w:val="52525B"/>
          <w:sz w:val="17"/>
        </w:rPr>
        <w:t>Classifies unstructured requests, retrieves governed knowledge, scores confidence, and routes to automated response or human review; versioned knowledge and audit records make decisions explainable and recoverable.</w:t>
      </w:r>
    </w:p>
    <w:p>
      <w:pPr>
        <w:keepNext w:val="0"/>
        <w:spacing w:after="60"/>
      </w:pPr>
      <w:r>
        <w:rPr>
          <w:b/>
          <w:color w:val="18181B"/>
          <w:sz w:val="18"/>
        </w:rPr>
        <w:t>AI workspace platform</w:t>
      </w:r>
      <w:r>
        <w:rPr>
          <w:b/>
          <w:color w:val="0E7490"/>
          <w:sz w:val="15"/>
        </w:rPr>
        <w:t xml:space="preserve">  PRODUCTION · INTERNAL  </w:t>
      </w:r>
      <w:r>
        <w:rPr>
          <w:color w:val="52525B"/>
          <w:sz w:val="17"/>
        </w:rPr>
        <w:t>Connects AI-assisted ticket proposals with Kanban operations and configurable agents; a durable relational model for workspaces, permissions, tickets, and events supports controlled scale.</w:t>
      </w:r>
    </w:p>
    <w:p>
      <w:pPr>
        <w:keepNext w:val="0"/>
        <w:spacing w:after="60"/>
      </w:pPr>
      <w:r>
        <w:rPr>
          <w:b/>
          <w:color w:val="18181B"/>
          <w:sz w:val="18"/>
        </w:rPr>
        <w:t>Semantic talent matching</w:t>
      </w:r>
      <w:r>
        <w:rPr>
          <w:b/>
          <w:color w:val="0E7490"/>
          <w:sz w:val="15"/>
        </w:rPr>
        <w:t xml:space="preserve">  UAT · INTERNAL  </w:t>
      </w:r>
      <w:r>
        <w:rPr>
          <w:color w:val="52525B"/>
          <w:sz w:val="17"/>
        </w:rPr>
        <w:t>Pairs vector similarity with governed relational identity and role data so recommendations remain explainable and grounded in trusted records.</w:t>
      </w:r>
    </w:p>
    <w:p>
      <w:pPr>
        <w:keepNext w:val="0"/>
        <w:spacing w:after="60"/>
      </w:pPr>
      <w:r>
        <w:rPr>
          <w:b/>
          <w:color w:val="18181B"/>
          <w:sz w:val="18"/>
        </w:rPr>
        <w:t>Operational analytics platform</w:t>
      </w:r>
      <w:r>
        <w:rPr>
          <w:b/>
          <w:color w:val="0E7490"/>
          <w:sz w:val="15"/>
        </w:rPr>
        <w:t xml:space="preserve">  UAT · INTERNAL  </w:t>
      </w:r>
      <w:r>
        <w:rPr>
          <w:color w:val="52525B"/>
          <w:sz w:val="17"/>
        </w:rPr>
        <w:t>Unifies streaming data, anomaly detection, drill-down analysis, and audit trails with freshness checks, lineage, and reproducible transformations.</w:t>
      </w:r>
    </w:p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064"/>
        <w:gridCol w:w="2088"/>
      </w:tblGrid>
      <w:tr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b/>
                <w:color w:val="18181B"/>
                <w:sz w:val="21"/>
              </w:rPr>
              <w:t>Bachelor of Engineering, Industrial and Systems Engineering</w:t>
            </w:r>
            <w:r>
              <w:rPr>
                <w:color w:val="52525B"/>
                <w:sz w:val="18"/>
              </w:rPr>
              <w:t xml:space="preserve">  |  National University of Singapore</w:t>
            </w:r>
          </w:p>
        </w:tc>
        <w:tc>
          <w:tcPr>
            <w:tcW w:type="dxa" w:w="5061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b/>
                <w:color w:val="52525B"/>
                <w:sz w:val="17"/>
              </w:rPr>
              <w:t>2018 — 2022</w:t>
            </w:r>
          </w:p>
        </w:tc>
      </w:tr>
    </w:tbl>
    <w:p>
      <w:pPr>
        <w:spacing w:after="60"/>
      </w:pPr>
      <w:r>
        <w:rPr>
          <w:sz w:val="17"/>
        </w:rPr>
        <w:t>Operations research, stochastic optimization, simulation, machine learning, quality engineering, and product delivery. Academic work included fulfilment network optimization with Gurobi, RNN/LSTM airline analysis, and warehouse/shuttle simulation.</w:t>
      </w:r>
    </w:p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48"/>
        <w:gridCol w:w="2275"/>
      </w:tblGrid>
      <w:tr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r>
              <w:rPr>
                <w:b/>
                <w:sz w:val="16"/>
              </w:rPr>
              <w:t>Databricks Certified Data Engineer Associate  ·  Credential 166618858</w:t>
            </w:r>
          </w:p>
        </w:tc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jc w:val="right"/>
            </w:pPr>
            <w:r>
              <w:rPr>
                <w:color w:val="52525B"/>
                <w:sz w:val="16"/>
              </w:rPr>
              <w:t>Nov 2025 — Nov 2027</w:t>
            </w:r>
          </w:p>
        </w:tc>
      </w:tr>
      <w:tr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r>
              <w:rPr>
                <w:b/>
                <w:sz w:val="16"/>
              </w:rPr>
              <w:t>DART — AI for Cybersecurity Practitioners</w:t>
            </w:r>
          </w:p>
        </w:tc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jc w:val="right"/>
            </w:pPr>
            <w:r>
              <w:rPr>
                <w:color w:val="52525B"/>
                <w:sz w:val="16"/>
              </w:rPr>
              <w:t>Earned 31 Aug 2026</w:t>
            </w:r>
          </w:p>
        </w:tc>
      </w:tr>
      <w:tr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r>
              <w:rPr>
                <w:b/>
                <w:sz w:val="16"/>
              </w:rPr>
              <w:t>AI Singapore — AI for Industry®: Literacy in AI  ·  ID 32518583</w:t>
            </w:r>
          </w:p>
        </w:tc>
        <w:tc>
          <w:tcPr>
            <w:tcW w:type="dxa" w:w="5061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jc w:val="right"/>
            </w:pPr>
            <w:r>
              <w:rPr>
                <w:color w:val="52525B"/>
                <w:sz w:val="16"/>
              </w:rPr>
              <w:t>16 May 2021</w:t>
            </w:r>
          </w:p>
        </w:tc>
      </w:tr>
    </w:tbl>
    <w:p>
      <w:pPr>
        <w:keepNext/>
        <w:spacing w:before="160" w:after="100"/>
        <w:pBdr>
          <w:bottom w:val="single" w:sz="10" w:space="5" w:color="0E7490"/>
        </w:pBdr>
      </w:pPr>
      <w:r>
        <w:rPr>
          <w:rFonts w:ascii="Aptos Display" w:hAnsi="Aptos Display"/>
          <w:b/>
          <w:color w:val="18181B"/>
          <w:sz w:val="23"/>
        </w:rPr>
        <w:t>TECHNICAL CAPABILITIES</w:t>
      </w:r>
    </w:p>
    <w:p>
      <w:pPr>
        <w:spacing w:after="0"/>
      </w:pPr>
      <w:r>
        <w:rPr>
          <w:b/>
          <w:color w:val="18181B"/>
          <w:sz w:val="16"/>
        </w:rPr>
        <w:t xml:space="preserve">AI systems: </w:t>
      </w:r>
      <w:r>
        <w:rPr>
          <w:color w:val="52525B"/>
          <w:sz w:val="16"/>
        </w:rPr>
        <w:t>LLM orchestration, multi-agent systems, RAG, AI agents</w:t>
      </w:r>
      <w:r>
        <w:t xml:space="preserve">   ·   </w:t>
      </w:r>
      <w:r>
        <w:rPr>
          <w:b/>
          <w:color w:val="18181B"/>
          <w:sz w:val="16"/>
        </w:rPr>
        <w:t xml:space="preserve">Data platforms: </w:t>
      </w:r>
      <w:r>
        <w:rPr>
          <w:color w:val="52525B"/>
          <w:sz w:val="16"/>
        </w:rPr>
        <w:t>Databricks, Snowflake, PostgreSQL, NiFi, SQL, ETL</w:t>
      </w:r>
      <w:r>
        <w:t xml:space="preserve">   ·   </w:t>
      </w:r>
      <w:r>
        <w:rPr>
          <w:b/>
          <w:color w:val="18181B"/>
          <w:sz w:val="16"/>
        </w:rPr>
        <w:t xml:space="preserve">Product engineering: </w:t>
      </w:r>
      <w:r>
        <w:rPr>
          <w:color w:val="52525B"/>
          <w:sz w:val="16"/>
        </w:rPr>
        <w:t>TypeScript, React, Next.js, Node.js, Docker</w:t>
      </w:r>
      <w:r>
        <w:t xml:space="preserve">   ·   </w:t>
      </w:r>
      <w:r>
        <w:rPr>
          <w:b/>
          <w:color w:val="18181B"/>
          <w:sz w:val="16"/>
        </w:rPr>
        <w:t xml:space="preserve">Analytics: </w:t>
      </w:r>
      <w:r>
        <w:rPr>
          <w:color w:val="52525B"/>
          <w:sz w:val="16"/>
        </w:rPr>
        <w:t>Python, Tableau, R, optimization, simulation</w:t>
      </w:r>
    </w:p>
    <w:sectPr w:rsidR="00FC693F" w:rsidRPr="0006063C" w:rsidSect="00034616">
      <w:footerReference w:type="default" r:id="rId9"/>
      <w:pgSz w:w="11909" w:h="16834"/>
      <w:pgMar w:top="749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A1A1AA"/>
        <w:sz w:val="14"/>
      </w:rPr>
      <w:t>KERK ZHI SHENG  · 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52525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