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529E" w14:textId="77777777" w:rsidR="00B867CC" w:rsidRPr="00B867CC" w:rsidRDefault="00B867CC" w:rsidP="00B867CC">
      <w:pPr>
        <w:rPr>
          <w:b/>
          <w:bCs/>
          <w:lang w:val="en-DK"/>
        </w:rPr>
      </w:pPr>
      <w:r w:rsidRPr="00B867CC">
        <w:rPr>
          <w:b/>
          <w:bCs/>
          <w:lang w:val="en-DK"/>
        </w:rPr>
        <w:t>Title: [Insert Title]</w:t>
      </w:r>
    </w:p>
    <w:p w14:paraId="4F055F2C" w14:textId="77777777" w:rsidR="00B867CC" w:rsidRPr="00B867CC" w:rsidRDefault="00B867CC" w:rsidP="00B867CC">
      <w:pPr>
        <w:rPr>
          <w:lang w:val="en-DK"/>
        </w:rPr>
      </w:pPr>
      <w:r w:rsidRPr="00B867CC">
        <w:rPr>
          <w:i/>
          <w:iCs/>
          <w:lang w:val="en-DK"/>
        </w:rPr>
        <w:t>(Working idea: The Paradox of the Reformist Turn: Institutional Logics, Fundamental Uncertainty, and the EU's Deep-Tech Scaling Gap)</w:t>
      </w:r>
    </w:p>
    <w:p w14:paraId="1C210AC8" w14:textId="77777777" w:rsidR="00B867CC" w:rsidRPr="00B867CC" w:rsidRDefault="00B867CC" w:rsidP="00B867CC">
      <w:pPr>
        <w:rPr>
          <w:lang w:val="en-DK"/>
        </w:rPr>
      </w:pPr>
      <w:r w:rsidRPr="00B867CC">
        <w:rPr>
          <w:lang w:val="en-DK"/>
        </w:rPr>
        <w:pict w14:anchorId="7223A717">
          <v:rect id="_x0000_i1037" style="width:0;height:1.5pt" o:hralign="center" o:hrstd="t" o:hrnoshade="t" o:hr="t" fillcolor="gray" stroked="f"/>
        </w:pict>
      </w:r>
    </w:p>
    <w:p w14:paraId="3AA74E6F" w14:textId="77777777" w:rsidR="00B867CC" w:rsidRPr="00B867CC" w:rsidRDefault="00B867CC" w:rsidP="00B867CC">
      <w:pPr>
        <w:rPr>
          <w:b/>
          <w:bCs/>
          <w:lang w:val="en-DK"/>
        </w:rPr>
      </w:pPr>
      <w:r w:rsidRPr="00B867CC">
        <w:rPr>
          <w:b/>
          <w:bCs/>
          <w:lang w:val="en-DK"/>
        </w:rPr>
        <w:t>Chapter 1: Introduction (The Hook and the Scope)</w:t>
      </w:r>
    </w:p>
    <w:p w14:paraId="3F78BF82" w14:textId="77777777" w:rsidR="00B867CC" w:rsidRPr="00B867CC" w:rsidRDefault="00B867CC" w:rsidP="00B867CC">
      <w:pPr>
        <w:numPr>
          <w:ilvl w:val="0"/>
          <w:numId w:val="1"/>
        </w:numPr>
        <w:rPr>
          <w:lang w:val="en-DK"/>
        </w:rPr>
      </w:pPr>
      <w:r w:rsidRPr="00B867CC">
        <w:rPr>
          <w:b/>
          <w:bCs/>
          <w:lang w:val="en-DK"/>
        </w:rPr>
        <w:t>The Phenomenon:</w:t>
      </w:r>
      <w:r w:rsidRPr="00B867CC">
        <w:rPr>
          <w:lang w:val="en-DK"/>
        </w:rPr>
        <w:t xml:space="preserve"> The EU’s "productivity gap" and the inability to scale deep-tech compared to the US and China.</w:t>
      </w:r>
    </w:p>
    <w:p w14:paraId="1657A722" w14:textId="77777777" w:rsidR="00B867CC" w:rsidRPr="00B867CC" w:rsidRDefault="00B867CC" w:rsidP="00B867CC">
      <w:pPr>
        <w:numPr>
          <w:ilvl w:val="0"/>
          <w:numId w:val="1"/>
        </w:numPr>
        <w:rPr>
          <w:lang w:val="en-DK"/>
        </w:rPr>
      </w:pPr>
      <w:r w:rsidRPr="00B867CC">
        <w:rPr>
          <w:b/>
          <w:bCs/>
          <w:lang w:val="en-DK"/>
        </w:rPr>
        <w:t>The EU's Response:</w:t>
      </w:r>
      <w:r w:rsidRPr="00B867CC">
        <w:rPr>
          <w:lang w:val="en-DK"/>
        </w:rPr>
        <w:t xml:space="preserve"> The "reformist turn" (moving beyond traditional market-failure corrections).</w:t>
      </w:r>
    </w:p>
    <w:p w14:paraId="3BB39313" w14:textId="77777777" w:rsidR="00B867CC" w:rsidRPr="00B867CC" w:rsidRDefault="00B867CC" w:rsidP="00B867CC">
      <w:pPr>
        <w:numPr>
          <w:ilvl w:val="0"/>
          <w:numId w:val="1"/>
        </w:numPr>
        <w:rPr>
          <w:lang w:val="en-DK"/>
        </w:rPr>
      </w:pPr>
      <w:r w:rsidRPr="00B867CC">
        <w:rPr>
          <w:b/>
          <w:bCs/>
          <w:lang w:val="en-DK"/>
        </w:rPr>
        <w:t>The Problem Statement:</w:t>
      </w:r>
      <w:r w:rsidRPr="00B867CC">
        <w:rPr>
          <w:lang w:val="en-DK"/>
        </w:rPr>
        <w:t xml:space="preserve"> The paradox of attempting to </w:t>
      </w:r>
      <w:proofErr w:type="spellStart"/>
      <w:r w:rsidRPr="00B867CC">
        <w:rPr>
          <w:lang w:val="en-DK"/>
        </w:rPr>
        <w:t>catalyze</w:t>
      </w:r>
      <w:proofErr w:type="spellEnd"/>
      <w:r w:rsidRPr="00B867CC">
        <w:rPr>
          <w:lang w:val="en-DK"/>
        </w:rPr>
        <w:t xml:space="preserve"> radical, high-uncertainty growth using an institutional mandate built for market stability and regulatory neutrality.</w:t>
      </w:r>
    </w:p>
    <w:p w14:paraId="731E23EE" w14:textId="77777777" w:rsidR="00B867CC" w:rsidRPr="00B867CC" w:rsidRDefault="00B867CC" w:rsidP="00B867CC">
      <w:pPr>
        <w:numPr>
          <w:ilvl w:val="0"/>
          <w:numId w:val="1"/>
        </w:numPr>
        <w:rPr>
          <w:lang w:val="en-DK"/>
        </w:rPr>
      </w:pPr>
      <w:r w:rsidRPr="00B867CC">
        <w:rPr>
          <w:b/>
          <w:bCs/>
          <w:lang w:val="en-DK"/>
        </w:rPr>
        <w:t>Research Questions:</w:t>
      </w:r>
      <w:r w:rsidRPr="00B867CC">
        <w:rPr>
          <w:lang w:val="en-DK"/>
        </w:rPr>
        <w:t xml:space="preserve"> Introduce RQ1 and RQ2.</w:t>
      </w:r>
    </w:p>
    <w:p w14:paraId="66554E1B" w14:textId="77777777" w:rsidR="00B867CC" w:rsidRPr="00B867CC" w:rsidRDefault="00B867CC" w:rsidP="00B867CC">
      <w:pPr>
        <w:numPr>
          <w:ilvl w:val="0"/>
          <w:numId w:val="1"/>
        </w:numPr>
        <w:rPr>
          <w:lang w:val="en-DK"/>
        </w:rPr>
      </w:pPr>
      <w:r w:rsidRPr="00B867CC">
        <w:rPr>
          <w:b/>
          <w:bCs/>
          <w:lang w:val="en-DK"/>
        </w:rPr>
        <w:t>Scope and Contribution:</w:t>
      </w:r>
      <w:r w:rsidRPr="00B867CC">
        <w:rPr>
          <w:lang w:val="en-DK"/>
        </w:rPr>
        <w:t xml:space="preserve"> Explicitly state the methodological scope (</w:t>
      </w:r>
      <w:proofErr w:type="spellStart"/>
      <w:r w:rsidRPr="00B867CC">
        <w:rPr>
          <w:lang w:val="en-DK"/>
        </w:rPr>
        <w:t>analyzing</w:t>
      </w:r>
      <w:proofErr w:type="spellEnd"/>
      <w:r w:rsidRPr="00B867CC">
        <w:rPr>
          <w:lang w:val="en-DK"/>
        </w:rPr>
        <w:t xml:space="preserve"> the EIC Pathfinder and STEP instruments via Work Programmes) and the theoretical lens (Institutional Logics).</w:t>
      </w:r>
    </w:p>
    <w:p w14:paraId="71A24A55" w14:textId="77777777" w:rsidR="00B867CC" w:rsidRPr="00B867CC" w:rsidRDefault="00B867CC" w:rsidP="00B867CC">
      <w:pPr>
        <w:rPr>
          <w:b/>
          <w:bCs/>
          <w:lang w:val="en-DK"/>
        </w:rPr>
      </w:pPr>
      <w:r w:rsidRPr="00B867CC">
        <w:rPr>
          <w:b/>
          <w:bCs/>
          <w:lang w:val="en-DK"/>
        </w:rPr>
        <w:t>Chapter 2: Theoretical Framework (Processing the Unknown)</w:t>
      </w:r>
    </w:p>
    <w:p w14:paraId="7A0A87A0" w14:textId="77777777" w:rsidR="00B867CC" w:rsidRPr="00B867CC" w:rsidRDefault="00B867CC" w:rsidP="00B867CC">
      <w:pPr>
        <w:numPr>
          <w:ilvl w:val="0"/>
          <w:numId w:val="2"/>
        </w:numPr>
        <w:rPr>
          <w:lang w:val="en-DK"/>
        </w:rPr>
      </w:pPr>
      <w:r w:rsidRPr="00B867CC">
        <w:rPr>
          <w:b/>
          <w:bCs/>
          <w:lang w:val="en-DK"/>
        </w:rPr>
        <w:t>Introduction to Institutional Theory:</w:t>
      </w:r>
      <w:r w:rsidRPr="00B867CC">
        <w:rPr>
          <w:lang w:val="en-DK"/>
        </w:rPr>
        <w:t xml:space="preserve"> Briefly define Institutional Logics.</w:t>
      </w:r>
    </w:p>
    <w:p w14:paraId="010202EF" w14:textId="77777777" w:rsidR="00B867CC" w:rsidRPr="00B867CC" w:rsidRDefault="00B867CC" w:rsidP="00B867CC">
      <w:pPr>
        <w:numPr>
          <w:ilvl w:val="0"/>
          <w:numId w:val="2"/>
        </w:numPr>
        <w:rPr>
          <w:lang w:val="en-DK"/>
        </w:rPr>
      </w:pPr>
      <w:r w:rsidRPr="00B867CC">
        <w:rPr>
          <w:b/>
          <w:bCs/>
          <w:lang w:val="en-DK"/>
        </w:rPr>
        <w:t>The Core Triad in Innovation Governance:</w:t>
      </w:r>
      <w:r w:rsidRPr="00B867CC">
        <w:rPr>
          <w:lang w:val="en-DK"/>
        </w:rPr>
        <w:t xml:space="preserve"> Define the specific logics at play:</w:t>
      </w:r>
    </w:p>
    <w:p w14:paraId="45373D67" w14:textId="77777777" w:rsidR="00B867CC" w:rsidRPr="00B867CC" w:rsidRDefault="00B867CC" w:rsidP="00B867CC">
      <w:pPr>
        <w:numPr>
          <w:ilvl w:val="1"/>
          <w:numId w:val="2"/>
        </w:numPr>
        <w:rPr>
          <w:lang w:val="en-DK"/>
        </w:rPr>
      </w:pPr>
      <w:r w:rsidRPr="00B867CC">
        <w:rPr>
          <w:i/>
          <w:iCs/>
          <w:lang w:val="en-DK"/>
        </w:rPr>
        <w:t>The State Logic:</w:t>
      </w:r>
      <w:r w:rsidRPr="00B867CC">
        <w:rPr>
          <w:lang w:val="en-DK"/>
        </w:rPr>
        <w:t xml:space="preserve"> Bureaucracy, calculable risk, accountability, competitive neutrality.</w:t>
      </w:r>
    </w:p>
    <w:p w14:paraId="733B6332" w14:textId="77777777" w:rsidR="00B867CC" w:rsidRPr="00B867CC" w:rsidRDefault="00B867CC" w:rsidP="00B867CC">
      <w:pPr>
        <w:numPr>
          <w:ilvl w:val="1"/>
          <w:numId w:val="2"/>
        </w:numPr>
        <w:rPr>
          <w:lang w:val="en-DK"/>
        </w:rPr>
      </w:pPr>
      <w:r w:rsidRPr="00B867CC">
        <w:rPr>
          <w:i/>
          <w:iCs/>
          <w:lang w:val="en-DK"/>
        </w:rPr>
        <w:t>The Market Logic:</w:t>
      </w:r>
      <w:r w:rsidRPr="00B867CC">
        <w:rPr>
          <w:lang w:val="en-DK"/>
        </w:rPr>
        <w:t xml:space="preserve"> Scaling, commercialization, efficiency, risk-reward ratios.</w:t>
      </w:r>
    </w:p>
    <w:p w14:paraId="4859651B" w14:textId="77777777" w:rsidR="00B867CC" w:rsidRPr="00B867CC" w:rsidRDefault="00B867CC" w:rsidP="00B867CC">
      <w:pPr>
        <w:numPr>
          <w:ilvl w:val="1"/>
          <w:numId w:val="2"/>
        </w:numPr>
        <w:rPr>
          <w:lang w:val="en-DK"/>
        </w:rPr>
      </w:pPr>
      <w:r w:rsidRPr="00B867CC">
        <w:rPr>
          <w:i/>
          <w:iCs/>
          <w:lang w:val="en-DK"/>
        </w:rPr>
        <w:t>The Profession Logic:</w:t>
      </w:r>
      <w:r w:rsidRPr="00B867CC">
        <w:rPr>
          <w:lang w:val="en-DK"/>
        </w:rPr>
        <w:t xml:space="preserve"> Scientific excellence, autonomy, peer review.</w:t>
      </w:r>
    </w:p>
    <w:p w14:paraId="2888A509" w14:textId="77777777" w:rsidR="00B867CC" w:rsidRPr="00B867CC" w:rsidRDefault="00B867CC" w:rsidP="00B867CC">
      <w:pPr>
        <w:numPr>
          <w:ilvl w:val="0"/>
          <w:numId w:val="2"/>
        </w:numPr>
        <w:rPr>
          <w:lang w:val="en-DK"/>
        </w:rPr>
      </w:pPr>
      <w:r w:rsidRPr="00B867CC">
        <w:rPr>
          <w:b/>
          <w:bCs/>
          <w:lang w:val="en-DK"/>
        </w:rPr>
        <w:t>Risk vs. Uncertainty:</w:t>
      </w:r>
      <w:r w:rsidRPr="00B867CC">
        <w:rPr>
          <w:lang w:val="en-DK"/>
        </w:rPr>
        <w:t xml:space="preserve"> Conceptually map how these logics process the unknown (e.g., the State requires calculable risk; the Market/Profession can absorb fundamental uncertainty).</w:t>
      </w:r>
    </w:p>
    <w:p w14:paraId="1D301726" w14:textId="77777777" w:rsidR="00B867CC" w:rsidRPr="00B867CC" w:rsidRDefault="00B867CC" w:rsidP="00B867CC">
      <w:pPr>
        <w:rPr>
          <w:b/>
          <w:bCs/>
          <w:lang w:val="en-DK"/>
        </w:rPr>
      </w:pPr>
      <w:r w:rsidRPr="00B867CC">
        <w:rPr>
          <w:b/>
          <w:bCs/>
          <w:lang w:val="en-DK"/>
        </w:rPr>
        <w:t>Chapter 3: The Global Governance of Deep-Tech (Addressing RQ1)</w:t>
      </w:r>
    </w:p>
    <w:p w14:paraId="58F4CE37" w14:textId="77777777" w:rsidR="00B867CC" w:rsidRPr="00B867CC" w:rsidRDefault="00B867CC" w:rsidP="00B867CC">
      <w:pPr>
        <w:numPr>
          <w:ilvl w:val="0"/>
          <w:numId w:val="3"/>
        </w:numPr>
        <w:rPr>
          <w:lang w:val="en-DK"/>
        </w:rPr>
      </w:pPr>
      <w:r w:rsidRPr="00B867CC">
        <w:rPr>
          <w:b/>
          <w:bCs/>
          <w:lang w:val="en-DK"/>
        </w:rPr>
        <w:t>The US Model:</w:t>
      </w:r>
      <w:r w:rsidRPr="00B867CC">
        <w:rPr>
          <w:lang w:val="en-DK"/>
        </w:rPr>
        <w:t xml:space="preserve"> The synthesis of State logic (DARPA/DoD mission direction) and Market logic (Silicon Valley VC scaling).</w:t>
      </w:r>
    </w:p>
    <w:p w14:paraId="429803C6" w14:textId="77777777" w:rsidR="00B867CC" w:rsidRPr="00B867CC" w:rsidRDefault="00B867CC" w:rsidP="00B867CC">
      <w:pPr>
        <w:numPr>
          <w:ilvl w:val="0"/>
          <w:numId w:val="3"/>
        </w:numPr>
        <w:rPr>
          <w:lang w:val="en-DK"/>
        </w:rPr>
      </w:pPr>
      <w:r w:rsidRPr="00B867CC">
        <w:rPr>
          <w:b/>
          <w:bCs/>
          <w:lang w:val="en-DK"/>
        </w:rPr>
        <w:t>The Chinese Model:</w:t>
      </w:r>
      <w:r w:rsidRPr="00B867CC">
        <w:rPr>
          <w:lang w:val="en-DK"/>
        </w:rPr>
        <w:t xml:space="preserve"> The fusion of State and Corporation logics (absorbing massive capital destruction for technological hegemony).</w:t>
      </w:r>
    </w:p>
    <w:p w14:paraId="5CD59D11" w14:textId="77777777" w:rsidR="00B867CC" w:rsidRPr="00B867CC" w:rsidRDefault="00B867CC" w:rsidP="00B867CC">
      <w:pPr>
        <w:numPr>
          <w:ilvl w:val="0"/>
          <w:numId w:val="3"/>
        </w:numPr>
        <w:rPr>
          <w:lang w:val="en-DK"/>
        </w:rPr>
      </w:pPr>
      <w:r w:rsidRPr="00B867CC">
        <w:rPr>
          <w:b/>
          <w:bCs/>
          <w:lang w:val="en-DK"/>
        </w:rPr>
        <w:t>The European Model:</w:t>
      </w:r>
      <w:r w:rsidRPr="00B867CC">
        <w:rPr>
          <w:lang w:val="en-DK"/>
        </w:rPr>
        <w:t xml:space="preserve"> The dominance of the State logic clashing with the Profession logic, while attempting to prematurely enforce Market logic metrics.</w:t>
      </w:r>
    </w:p>
    <w:p w14:paraId="09F782B9" w14:textId="77777777" w:rsidR="00B867CC" w:rsidRPr="00B867CC" w:rsidRDefault="00B867CC" w:rsidP="00B867CC">
      <w:pPr>
        <w:rPr>
          <w:b/>
          <w:bCs/>
          <w:lang w:val="en-DK"/>
        </w:rPr>
      </w:pPr>
      <w:r w:rsidRPr="00B867CC">
        <w:rPr>
          <w:b/>
          <w:bCs/>
          <w:lang w:val="en-DK"/>
        </w:rPr>
        <w:t>Chapter 4: Methodology</w:t>
      </w:r>
    </w:p>
    <w:p w14:paraId="775EBC1C" w14:textId="77777777" w:rsidR="00B867CC" w:rsidRPr="00B867CC" w:rsidRDefault="00B867CC" w:rsidP="00B867CC">
      <w:pPr>
        <w:numPr>
          <w:ilvl w:val="0"/>
          <w:numId w:val="4"/>
        </w:numPr>
        <w:rPr>
          <w:lang w:val="en-DK"/>
        </w:rPr>
      </w:pPr>
      <w:r w:rsidRPr="00B867CC">
        <w:rPr>
          <w:b/>
          <w:bCs/>
          <w:lang w:val="en-DK"/>
        </w:rPr>
        <w:t>Research Design:</w:t>
      </w:r>
      <w:r w:rsidRPr="00B867CC">
        <w:rPr>
          <w:lang w:val="en-DK"/>
        </w:rPr>
        <w:t xml:space="preserve"> Qualitative document analysis.</w:t>
      </w:r>
    </w:p>
    <w:p w14:paraId="08637443" w14:textId="77777777" w:rsidR="00B867CC" w:rsidRPr="00B867CC" w:rsidRDefault="00B867CC" w:rsidP="00B867CC">
      <w:pPr>
        <w:numPr>
          <w:ilvl w:val="0"/>
          <w:numId w:val="4"/>
        </w:numPr>
        <w:rPr>
          <w:lang w:val="en-DK"/>
        </w:rPr>
      </w:pPr>
      <w:r w:rsidRPr="00B867CC">
        <w:rPr>
          <w:b/>
          <w:bCs/>
          <w:lang w:val="en-DK"/>
        </w:rPr>
        <w:lastRenderedPageBreak/>
        <w:t>Data Sources:</w:t>
      </w:r>
      <w:r w:rsidRPr="00B867CC">
        <w:rPr>
          <w:lang w:val="en-DK"/>
        </w:rPr>
        <w:t xml:space="preserve"> Justify the selection of the EIC Work Programmes, specifically isolating the rules governing the EIC Pathfinder and the STEP Scale-Up instrument.</w:t>
      </w:r>
    </w:p>
    <w:p w14:paraId="6A6FEC01" w14:textId="77777777" w:rsidR="00B867CC" w:rsidRPr="00B867CC" w:rsidRDefault="00B867CC" w:rsidP="00B867CC">
      <w:pPr>
        <w:numPr>
          <w:ilvl w:val="0"/>
          <w:numId w:val="4"/>
        </w:numPr>
        <w:rPr>
          <w:lang w:val="en-DK"/>
        </w:rPr>
      </w:pPr>
      <w:r w:rsidRPr="00B867CC">
        <w:rPr>
          <w:b/>
          <w:bCs/>
          <w:lang w:val="en-DK"/>
        </w:rPr>
        <w:t>Analytical Strategy:</w:t>
      </w:r>
      <w:r w:rsidRPr="00B867CC">
        <w:rPr>
          <w:lang w:val="en-DK"/>
        </w:rPr>
        <w:t xml:space="preserve"> Detail your coding rubric. Explain how you will search for institutional markers (e.g., vocabulary, evaluation criteria, administrative gatekeeping) to identify when State, Market, or Profession logics are invoked or clash.</w:t>
      </w:r>
    </w:p>
    <w:p w14:paraId="62BDCF02" w14:textId="77777777" w:rsidR="00B867CC" w:rsidRPr="00B867CC" w:rsidRDefault="00B867CC" w:rsidP="00B867CC">
      <w:pPr>
        <w:rPr>
          <w:b/>
          <w:bCs/>
          <w:lang w:val="en-DK"/>
        </w:rPr>
      </w:pPr>
      <w:r w:rsidRPr="00B867CC">
        <w:rPr>
          <w:b/>
          <w:bCs/>
          <w:lang w:val="en-DK"/>
        </w:rPr>
        <w:t>Chapter 5: Analysis Part I - The EIC Pathfinder (The Profession-Market Collision)</w:t>
      </w:r>
    </w:p>
    <w:p w14:paraId="26BB681B" w14:textId="77777777" w:rsidR="00B867CC" w:rsidRPr="00B867CC" w:rsidRDefault="00B867CC" w:rsidP="00B867CC">
      <w:pPr>
        <w:numPr>
          <w:ilvl w:val="0"/>
          <w:numId w:val="5"/>
        </w:numPr>
        <w:rPr>
          <w:lang w:val="en-DK"/>
        </w:rPr>
      </w:pPr>
      <w:r w:rsidRPr="00B867CC">
        <w:rPr>
          <w:b/>
          <w:bCs/>
          <w:lang w:val="en-DK"/>
        </w:rPr>
        <w:t>The Mandate:</w:t>
      </w:r>
      <w:r w:rsidRPr="00B867CC">
        <w:rPr>
          <w:lang w:val="en-DK"/>
        </w:rPr>
        <w:t xml:space="preserve"> Exploring the genesis of deep-tech innovation.</w:t>
      </w:r>
    </w:p>
    <w:p w14:paraId="7E958841" w14:textId="77777777" w:rsidR="00B867CC" w:rsidRPr="00B867CC" w:rsidRDefault="00B867CC" w:rsidP="00B867CC">
      <w:pPr>
        <w:numPr>
          <w:ilvl w:val="0"/>
          <w:numId w:val="5"/>
        </w:numPr>
        <w:rPr>
          <w:lang w:val="en-DK"/>
        </w:rPr>
      </w:pPr>
      <w:r w:rsidRPr="00B867CC">
        <w:rPr>
          <w:b/>
          <w:bCs/>
          <w:lang w:val="en-DK"/>
        </w:rPr>
        <w:t>Coding the Work Programme:</w:t>
      </w:r>
      <w:r w:rsidRPr="00B867CC">
        <w:rPr>
          <w:lang w:val="en-DK"/>
        </w:rPr>
        <w:t xml:space="preserve"> </w:t>
      </w:r>
      <w:proofErr w:type="spellStart"/>
      <w:r w:rsidRPr="00B867CC">
        <w:rPr>
          <w:lang w:val="en-DK"/>
        </w:rPr>
        <w:t>Analyze</w:t>
      </w:r>
      <w:proofErr w:type="spellEnd"/>
      <w:r w:rsidRPr="00B867CC">
        <w:rPr>
          <w:lang w:val="en-DK"/>
        </w:rPr>
        <w:t xml:space="preserve"> the evaluation criteria and administrative rules.</w:t>
      </w:r>
    </w:p>
    <w:p w14:paraId="49992B83" w14:textId="77777777" w:rsidR="00B867CC" w:rsidRPr="00B867CC" w:rsidRDefault="00B867CC" w:rsidP="00B867CC">
      <w:pPr>
        <w:numPr>
          <w:ilvl w:val="0"/>
          <w:numId w:val="5"/>
        </w:numPr>
        <w:rPr>
          <w:lang w:val="en-DK"/>
        </w:rPr>
      </w:pPr>
      <w:r w:rsidRPr="00B867CC">
        <w:rPr>
          <w:b/>
          <w:bCs/>
          <w:lang w:val="en-DK"/>
        </w:rPr>
        <w:t>The Friction:</w:t>
      </w:r>
      <w:r w:rsidRPr="00B867CC">
        <w:rPr>
          <w:lang w:val="en-DK"/>
        </w:rPr>
        <w:t xml:space="preserve"> How the EU imposes calculable market trajectories (commercialization pathways, "new market opportunities") onto research that is still operating under fundamental scientific uncertainty (Profession logic).</w:t>
      </w:r>
    </w:p>
    <w:p w14:paraId="14270AD9" w14:textId="77777777" w:rsidR="00B867CC" w:rsidRPr="00B867CC" w:rsidRDefault="00B867CC" w:rsidP="00B867CC">
      <w:pPr>
        <w:rPr>
          <w:b/>
          <w:bCs/>
          <w:lang w:val="en-DK"/>
        </w:rPr>
      </w:pPr>
      <w:r w:rsidRPr="00B867CC">
        <w:rPr>
          <w:b/>
          <w:bCs/>
          <w:lang w:val="en-DK"/>
        </w:rPr>
        <w:t>Chapter 6: Analysis Part II - STEP and the Accelerator (The State Override)</w:t>
      </w:r>
    </w:p>
    <w:p w14:paraId="38D7DA89" w14:textId="77777777" w:rsidR="00B867CC" w:rsidRPr="00B867CC" w:rsidRDefault="00B867CC" w:rsidP="00B867CC">
      <w:pPr>
        <w:numPr>
          <w:ilvl w:val="0"/>
          <w:numId w:val="6"/>
        </w:numPr>
        <w:rPr>
          <w:lang w:val="en-DK"/>
        </w:rPr>
      </w:pPr>
      <w:r w:rsidRPr="00B867CC">
        <w:rPr>
          <w:b/>
          <w:bCs/>
          <w:lang w:val="en-DK"/>
        </w:rPr>
        <w:t>The Mandate:</w:t>
      </w:r>
      <w:r w:rsidRPr="00B867CC">
        <w:rPr>
          <w:lang w:val="en-DK"/>
        </w:rPr>
        <w:t xml:space="preserve"> Strategic autonomy and the funding of critical technologies.</w:t>
      </w:r>
    </w:p>
    <w:p w14:paraId="4BE779FC" w14:textId="77777777" w:rsidR="00B867CC" w:rsidRPr="00B867CC" w:rsidRDefault="00B867CC" w:rsidP="00B867CC">
      <w:pPr>
        <w:numPr>
          <w:ilvl w:val="0"/>
          <w:numId w:val="6"/>
        </w:numPr>
        <w:rPr>
          <w:lang w:val="en-DK"/>
        </w:rPr>
      </w:pPr>
      <w:r w:rsidRPr="00B867CC">
        <w:rPr>
          <w:b/>
          <w:bCs/>
          <w:lang w:val="en-DK"/>
        </w:rPr>
        <w:t>Coding the Work Programme:</w:t>
      </w:r>
      <w:r w:rsidRPr="00B867CC">
        <w:rPr>
          <w:lang w:val="en-DK"/>
        </w:rPr>
        <w:t xml:space="preserve"> </w:t>
      </w:r>
      <w:proofErr w:type="spellStart"/>
      <w:r w:rsidRPr="00B867CC">
        <w:rPr>
          <w:lang w:val="en-DK"/>
        </w:rPr>
        <w:t>Analyze</w:t>
      </w:r>
      <w:proofErr w:type="spellEnd"/>
      <w:r w:rsidRPr="00B867CC">
        <w:rPr>
          <w:lang w:val="en-DK"/>
        </w:rPr>
        <w:t xml:space="preserve"> the definitions of "non-bankable" and "critical technologies."</w:t>
      </w:r>
    </w:p>
    <w:p w14:paraId="0A3F8594" w14:textId="77777777" w:rsidR="00B867CC" w:rsidRPr="00B867CC" w:rsidRDefault="00B867CC" w:rsidP="00B867CC">
      <w:pPr>
        <w:numPr>
          <w:ilvl w:val="0"/>
          <w:numId w:val="6"/>
        </w:numPr>
        <w:rPr>
          <w:lang w:val="en-DK"/>
        </w:rPr>
      </w:pPr>
      <w:r w:rsidRPr="00B867CC">
        <w:rPr>
          <w:b/>
          <w:bCs/>
          <w:lang w:val="en-DK"/>
        </w:rPr>
        <w:t>The Friction:</w:t>
      </w:r>
      <w:r w:rsidRPr="00B867CC">
        <w:rPr>
          <w:lang w:val="en-DK"/>
        </w:rPr>
        <w:t xml:space="preserve"> The radical institutional shift where the State logic (geopolitical sovereignty) temporarily overrides the Market logic (suspending the need for "crowding-in" private investors).</w:t>
      </w:r>
    </w:p>
    <w:p w14:paraId="41F427C0" w14:textId="77777777" w:rsidR="00B867CC" w:rsidRPr="00B867CC" w:rsidRDefault="00B867CC" w:rsidP="00B867CC">
      <w:pPr>
        <w:rPr>
          <w:b/>
          <w:bCs/>
          <w:lang w:val="en-DK"/>
        </w:rPr>
      </w:pPr>
      <w:r w:rsidRPr="00B867CC">
        <w:rPr>
          <w:b/>
          <w:bCs/>
          <w:lang w:val="en-DK"/>
        </w:rPr>
        <w:t>Chapter 7: Discussion &amp; Synthesis (Addressing RQ2)</w:t>
      </w:r>
    </w:p>
    <w:p w14:paraId="4EA5D84D" w14:textId="77777777" w:rsidR="00B867CC" w:rsidRPr="00B867CC" w:rsidRDefault="00B867CC" w:rsidP="00B867CC">
      <w:pPr>
        <w:numPr>
          <w:ilvl w:val="0"/>
          <w:numId w:val="7"/>
        </w:numPr>
        <w:rPr>
          <w:lang w:val="en-DK"/>
        </w:rPr>
      </w:pPr>
      <w:r w:rsidRPr="00B867CC">
        <w:rPr>
          <w:b/>
          <w:bCs/>
          <w:lang w:val="en-DK"/>
        </w:rPr>
        <w:t>The Bureaucratization of Missions:</w:t>
      </w:r>
      <w:r w:rsidRPr="00B867CC">
        <w:rPr>
          <w:lang w:val="en-DK"/>
        </w:rPr>
        <w:t xml:space="preserve"> Synthesize findings to answer how "mission-oriented" innovation is translated into EU administrative instruments.</w:t>
      </w:r>
    </w:p>
    <w:p w14:paraId="4B67DCDC" w14:textId="77777777" w:rsidR="00B867CC" w:rsidRPr="00B867CC" w:rsidRDefault="00B867CC" w:rsidP="00B867CC">
      <w:pPr>
        <w:numPr>
          <w:ilvl w:val="0"/>
          <w:numId w:val="7"/>
        </w:numPr>
        <w:rPr>
          <w:lang w:val="en-DK"/>
        </w:rPr>
      </w:pPr>
      <w:r w:rsidRPr="00B867CC">
        <w:rPr>
          <w:b/>
          <w:bCs/>
          <w:lang w:val="en-DK"/>
        </w:rPr>
        <w:t>De-risking over Directionality:</w:t>
      </w:r>
      <w:r w:rsidRPr="00B867CC">
        <w:rPr>
          <w:lang w:val="en-DK"/>
        </w:rPr>
        <w:t xml:space="preserve"> Argue that despite the "reformist turn," the translation inherently emphasizes regulatory and financial de-risking over true technological scale.</w:t>
      </w:r>
    </w:p>
    <w:p w14:paraId="6A90CA6C" w14:textId="77777777" w:rsidR="00B867CC" w:rsidRPr="00B867CC" w:rsidRDefault="00B867CC" w:rsidP="00B867CC">
      <w:pPr>
        <w:numPr>
          <w:ilvl w:val="0"/>
          <w:numId w:val="7"/>
        </w:numPr>
        <w:rPr>
          <w:lang w:val="en-DK"/>
        </w:rPr>
      </w:pPr>
      <w:r w:rsidRPr="00B867CC">
        <w:rPr>
          <w:b/>
          <w:bCs/>
          <w:lang w:val="en-DK"/>
        </w:rPr>
        <w:t>The Paradox Confirmed:</w:t>
      </w:r>
      <w:r w:rsidRPr="00B867CC">
        <w:rPr>
          <w:lang w:val="en-DK"/>
        </w:rPr>
        <w:t xml:space="preserve"> The EU's institutional DNA actively resists the absorption of fundamental uncertainty required to build deep-tech giants.</w:t>
      </w:r>
    </w:p>
    <w:p w14:paraId="4FB27DA8" w14:textId="77777777" w:rsidR="00B867CC" w:rsidRPr="00B867CC" w:rsidRDefault="00B867CC" w:rsidP="00B867CC">
      <w:pPr>
        <w:rPr>
          <w:b/>
          <w:bCs/>
          <w:lang w:val="en-DK"/>
        </w:rPr>
      </w:pPr>
      <w:r w:rsidRPr="00B867CC">
        <w:rPr>
          <w:b/>
          <w:bCs/>
          <w:lang w:val="en-DK"/>
        </w:rPr>
        <w:t>Chapter 8: Conclusion</w:t>
      </w:r>
    </w:p>
    <w:p w14:paraId="0D8B6981" w14:textId="77777777" w:rsidR="00B867CC" w:rsidRPr="00B867CC" w:rsidRDefault="00B867CC" w:rsidP="00B867CC">
      <w:pPr>
        <w:numPr>
          <w:ilvl w:val="0"/>
          <w:numId w:val="8"/>
        </w:numPr>
        <w:rPr>
          <w:lang w:val="en-DK"/>
        </w:rPr>
      </w:pPr>
      <w:r w:rsidRPr="00B867CC">
        <w:rPr>
          <w:b/>
          <w:bCs/>
          <w:lang w:val="en-DK"/>
        </w:rPr>
        <w:t>Summary of Findings:</w:t>
      </w:r>
      <w:r w:rsidRPr="00B867CC">
        <w:rPr>
          <w:lang w:val="en-DK"/>
        </w:rPr>
        <w:t xml:space="preserve"> A concise recap of how institutional logics explain the EU's deep-tech scaling issues.</w:t>
      </w:r>
    </w:p>
    <w:p w14:paraId="385B3AAD" w14:textId="77777777" w:rsidR="00B867CC" w:rsidRPr="00B867CC" w:rsidRDefault="00B867CC" w:rsidP="00B867CC">
      <w:pPr>
        <w:numPr>
          <w:ilvl w:val="0"/>
          <w:numId w:val="8"/>
        </w:numPr>
        <w:rPr>
          <w:lang w:val="en-DK"/>
        </w:rPr>
      </w:pPr>
      <w:r w:rsidRPr="00B867CC">
        <w:rPr>
          <w:b/>
          <w:bCs/>
          <w:lang w:val="en-DK"/>
        </w:rPr>
        <w:t>Policy Implications:</w:t>
      </w:r>
      <w:r w:rsidRPr="00B867CC">
        <w:rPr>
          <w:lang w:val="en-DK"/>
        </w:rPr>
        <w:t xml:space="preserve"> What must change if the EU is to succeed? (e.g., creating instruments structurally insulated from traditional State logic bureaucracy).</w:t>
      </w:r>
    </w:p>
    <w:p w14:paraId="6F9D5078" w14:textId="5F8F8041" w:rsidR="00934722" w:rsidRPr="00B867CC" w:rsidRDefault="00B867CC" w:rsidP="00B867CC">
      <w:pPr>
        <w:numPr>
          <w:ilvl w:val="0"/>
          <w:numId w:val="8"/>
        </w:numPr>
        <w:rPr>
          <w:lang w:val="en-DK"/>
        </w:rPr>
      </w:pPr>
      <w:r w:rsidRPr="00B867CC">
        <w:rPr>
          <w:b/>
          <w:bCs/>
          <w:lang w:val="en-DK"/>
        </w:rPr>
        <w:t>Limitations and Future Research.</w:t>
      </w:r>
    </w:p>
    <w:sectPr w:rsidR="00934722" w:rsidRPr="00B86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2C4"/>
    <w:multiLevelType w:val="multilevel"/>
    <w:tmpl w:val="93C6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B6659"/>
    <w:multiLevelType w:val="multilevel"/>
    <w:tmpl w:val="886C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60EF1"/>
    <w:multiLevelType w:val="multilevel"/>
    <w:tmpl w:val="B96E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3307E"/>
    <w:multiLevelType w:val="multilevel"/>
    <w:tmpl w:val="4290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D719A"/>
    <w:multiLevelType w:val="multilevel"/>
    <w:tmpl w:val="C9C4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C3AF6"/>
    <w:multiLevelType w:val="multilevel"/>
    <w:tmpl w:val="74A0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10C24"/>
    <w:multiLevelType w:val="multilevel"/>
    <w:tmpl w:val="D91E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E7592"/>
    <w:multiLevelType w:val="multilevel"/>
    <w:tmpl w:val="5F62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461673">
    <w:abstractNumId w:val="5"/>
  </w:num>
  <w:num w:numId="2" w16cid:durableId="1814908781">
    <w:abstractNumId w:val="1"/>
  </w:num>
  <w:num w:numId="3" w16cid:durableId="1809396797">
    <w:abstractNumId w:val="6"/>
  </w:num>
  <w:num w:numId="4" w16cid:durableId="144973261">
    <w:abstractNumId w:val="4"/>
  </w:num>
  <w:num w:numId="5" w16cid:durableId="332495810">
    <w:abstractNumId w:val="0"/>
  </w:num>
  <w:num w:numId="6" w16cid:durableId="1778018804">
    <w:abstractNumId w:val="2"/>
  </w:num>
  <w:num w:numId="7" w16cid:durableId="958754640">
    <w:abstractNumId w:val="7"/>
  </w:num>
  <w:num w:numId="8" w16cid:durableId="2021347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CC"/>
    <w:rsid w:val="002461EE"/>
    <w:rsid w:val="0089678A"/>
    <w:rsid w:val="00934722"/>
    <w:rsid w:val="00B15BE6"/>
    <w:rsid w:val="00B867CC"/>
    <w:rsid w:val="00BC6136"/>
    <w:rsid w:val="00BD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A3C08C"/>
  <w15:chartTrackingRefBased/>
  <w15:docId w15:val="{E94DB49F-0F1E-4659-B496-CFB8C198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Kirch</dc:creator>
  <cp:keywords/>
  <dc:description/>
  <cp:lastModifiedBy>Kristian Kirch</cp:lastModifiedBy>
  <cp:revision>1</cp:revision>
  <dcterms:created xsi:type="dcterms:W3CDTF">2026-04-08T09:05:00Z</dcterms:created>
  <dcterms:modified xsi:type="dcterms:W3CDTF">2026-04-08T09:06:00Z</dcterms:modified>
</cp:coreProperties>
</file>