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C56B" w14:textId="77777777" w:rsidR="00934722" w:rsidRDefault="00934722">
      <w:pPr>
        <w:rPr>
          <w:lang w:val="en-GB"/>
        </w:rPr>
      </w:pPr>
    </w:p>
    <w:p w14:paraId="3AC9385F" w14:textId="77777777" w:rsidR="00E46780" w:rsidRPr="00E46780" w:rsidRDefault="00E46780" w:rsidP="00E46780">
      <w:pPr>
        <w:rPr>
          <w:b/>
          <w:bCs/>
          <w:lang w:val="en-DK"/>
        </w:rPr>
      </w:pPr>
      <w:r w:rsidRPr="00E46780">
        <w:rPr>
          <w:b/>
          <w:bCs/>
          <w:lang w:val="en-DK"/>
        </w:rPr>
        <w:t>The Sovereignty Paradox: A Comparative Analysis of Institutional Logics in Deep Tech Governance.</w:t>
      </w:r>
    </w:p>
    <w:p w14:paraId="548461C3" w14:textId="77777777" w:rsidR="00E46780" w:rsidRPr="00E46780" w:rsidRDefault="00E46780" w:rsidP="00E46780">
      <w:pPr>
        <w:rPr>
          <w:lang w:val="en-DK"/>
        </w:rPr>
      </w:pPr>
      <w:r w:rsidRPr="00E46780">
        <w:rPr>
          <w:lang w:val="en-DK"/>
        </w:rPr>
        <w:t xml:space="preserve">The European Union’s deep tech scale-up gap is examined as a structural consequence of the </w:t>
      </w:r>
      <w:r w:rsidRPr="00E46780">
        <w:rPr>
          <w:b/>
          <w:bCs/>
          <w:lang w:val="en-DK"/>
        </w:rPr>
        <w:t>institutional translation</w:t>
      </w:r>
      <w:r w:rsidRPr="00E46780">
        <w:rPr>
          <w:lang w:val="en-DK"/>
        </w:rPr>
        <w:t xml:space="preserve"> of innovation theory. While the US successfully integrates </w:t>
      </w:r>
      <w:r w:rsidRPr="00E46780">
        <w:rPr>
          <w:b/>
          <w:bCs/>
          <w:lang w:val="en-DK"/>
        </w:rPr>
        <w:t>Neo-Schumpeterian selection</w:t>
      </w:r>
      <w:r w:rsidRPr="00E46780">
        <w:rPr>
          <w:lang w:val="en-DK"/>
        </w:rPr>
        <w:t xml:space="preserve"> with </w:t>
      </w:r>
      <w:r w:rsidRPr="00E46780">
        <w:rPr>
          <w:b/>
          <w:bCs/>
          <w:lang w:val="en-DK"/>
        </w:rPr>
        <w:t>Mission-Oriented risk-taking</w:t>
      </w:r>
      <w:r w:rsidRPr="00E46780">
        <w:rPr>
          <w:lang w:val="en-DK"/>
        </w:rPr>
        <w:t xml:space="preserve"> (e.g., DARPA), and China employs a </w:t>
      </w:r>
      <w:r w:rsidRPr="00E46780">
        <w:rPr>
          <w:b/>
          <w:bCs/>
          <w:lang w:val="en-DK"/>
        </w:rPr>
        <w:t>State-Led Strategic Logic</w:t>
      </w:r>
      <w:r w:rsidRPr="00E46780">
        <w:rPr>
          <w:lang w:val="en-DK"/>
        </w:rPr>
        <w:t xml:space="preserve">, the EU’s approach is characterized by a reliance on </w:t>
      </w:r>
      <w:r w:rsidRPr="00E46780">
        <w:rPr>
          <w:b/>
          <w:bCs/>
          <w:lang w:val="en-DK"/>
        </w:rPr>
        <w:t>financial de-risking</w:t>
      </w:r>
      <w:r w:rsidRPr="00E46780">
        <w:rPr>
          <w:lang w:val="en-DK"/>
        </w:rPr>
        <w:t>.</w:t>
      </w:r>
    </w:p>
    <w:p w14:paraId="75A75A17" w14:textId="77777777" w:rsidR="00E46780" w:rsidRPr="00E46780" w:rsidRDefault="00E46780" w:rsidP="00E46780">
      <w:pPr>
        <w:rPr>
          <w:lang w:val="en-DK"/>
        </w:rPr>
      </w:pPr>
      <w:r w:rsidRPr="00E46780">
        <w:rPr>
          <w:lang w:val="en-DK"/>
        </w:rPr>
        <w:t xml:space="preserve">This thesis argues that the EU’s operationalization of the "Entrepreneurial State" is constrained by a fundamental tension between the logic of </w:t>
      </w:r>
      <w:r w:rsidRPr="00E46780">
        <w:rPr>
          <w:b/>
          <w:bCs/>
          <w:lang w:val="en-DK"/>
        </w:rPr>
        <w:t>disruptive innovation</w:t>
      </w:r>
      <w:r w:rsidRPr="00E46780">
        <w:rPr>
          <w:lang w:val="en-DK"/>
        </w:rPr>
        <w:t xml:space="preserve"> and the supranational principles of </w:t>
      </w:r>
      <w:r w:rsidRPr="00E46780">
        <w:rPr>
          <w:b/>
          <w:bCs/>
          <w:lang w:val="en-DK"/>
        </w:rPr>
        <w:t>State Aid</w:t>
      </w:r>
      <w:r w:rsidRPr="00E46780">
        <w:rPr>
          <w:lang w:val="en-DK"/>
        </w:rPr>
        <w:t xml:space="preserve"> and </w:t>
      </w:r>
      <w:r w:rsidRPr="00E46780">
        <w:rPr>
          <w:b/>
          <w:bCs/>
          <w:lang w:val="en-DK"/>
        </w:rPr>
        <w:t>Cohesion</w:t>
      </w:r>
      <w:r w:rsidRPr="00E46780">
        <w:rPr>
          <w:lang w:val="en-DK"/>
        </w:rPr>
        <w:t xml:space="preserve">. By substituting </w:t>
      </w:r>
      <w:r w:rsidRPr="00E46780">
        <w:rPr>
          <w:b/>
          <w:bCs/>
          <w:lang w:val="en-DK"/>
        </w:rPr>
        <w:t>technical risk-absorption</w:t>
      </w:r>
      <w:r w:rsidRPr="00E46780">
        <w:rPr>
          <w:lang w:val="en-DK"/>
        </w:rPr>
        <w:t xml:space="preserve"> (Knightian Uncertainty) with </w:t>
      </w:r>
      <w:r w:rsidRPr="00E46780">
        <w:rPr>
          <w:b/>
          <w:bCs/>
          <w:lang w:val="en-DK"/>
        </w:rPr>
        <w:t>financial mitigation</w:t>
      </w:r>
      <w:r w:rsidRPr="00E46780">
        <w:rPr>
          <w:lang w:val="en-DK"/>
        </w:rPr>
        <w:t xml:space="preserve"> (Actuarial Risk), the EU’s institutional framework inadvertently prioritizes market stability over market leadership, thereby creating a structural barrier to the realization of technological sovereignty.</w:t>
      </w:r>
    </w:p>
    <w:p w14:paraId="303825E8" w14:textId="77777777" w:rsidR="00E46780" w:rsidRPr="00E46780" w:rsidRDefault="00E46780" w:rsidP="00E46780">
      <w:pPr>
        <w:rPr>
          <w:lang w:val="en-DK"/>
        </w:rPr>
      </w:pPr>
      <w:r w:rsidRPr="00E46780">
        <w:rPr>
          <w:lang w:val="en-DK"/>
        </w:rPr>
        <w:pict w14:anchorId="6C956825">
          <v:rect id="_x0000_i1031" style="width:0;height:1.5pt" o:hralign="center" o:hrstd="t" o:hr="t" fillcolor="#a0a0a0" stroked="f"/>
        </w:pict>
      </w:r>
    </w:p>
    <w:p w14:paraId="7513115D" w14:textId="77777777" w:rsidR="00E46780" w:rsidRPr="00E46780" w:rsidRDefault="00E46780" w:rsidP="00E46780">
      <w:pPr>
        <w:rPr>
          <w:b/>
          <w:bCs/>
          <w:lang w:val="en-DK"/>
        </w:rPr>
      </w:pPr>
      <w:r w:rsidRPr="00E46780">
        <w:rPr>
          <w:b/>
          <w:bCs/>
          <w:lang w:val="en-DK"/>
        </w:rPr>
        <w:t>Research Questions (RQs)</w:t>
      </w:r>
    </w:p>
    <w:p w14:paraId="778E260D" w14:textId="77777777" w:rsidR="00E46780" w:rsidRPr="00E46780" w:rsidRDefault="00E46780" w:rsidP="00E46780">
      <w:pPr>
        <w:rPr>
          <w:b/>
          <w:bCs/>
          <w:lang w:val="en-DK"/>
        </w:rPr>
      </w:pPr>
      <w:r w:rsidRPr="00E46780">
        <w:rPr>
          <w:b/>
          <w:bCs/>
          <w:lang w:val="en-DK"/>
        </w:rPr>
        <w:t>RQ1: The Macro-Institutional Architecture</w:t>
      </w:r>
    </w:p>
    <w:p w14:paraId="2356B7F0" w14:textId="77777777" w:rsidR="00E46780" w:rsidRPr="00E46780" w:rsidRDefault="00E46780" w:rsidP="00E46780">
      <w:pPr>
        <w:rPr>
          <w:lang w:val="en-DK"/>
        </w:rPr>
      </w:pPr>
      <w:r w:rsidRPr="00E46780">
        <w:rPr>
          <w:lang w:val="en-DK"/>
        </w:rPr>
        <w:t xml:space="preserve">How do the institutional logics of the US, China, and the EU diverge in their treatment of </w:t>
      </w:r>
      <w:r w:rsidRPr="00E46780">
        <w:rPr>
          <w:b/>
          <w:bCs/>
          <w:lang w:val="en-DK"/>
        </w:rPr>
        <w:t>Knightian Uncertainty</w:t>
      </w:r>
      <w:r w:rsidRPr="00E46780">
        <w:rPr>
          <w:lang w:val="en-DK"/>
        </w:rPr>
        <w:t xml:space="preserve"> versus </w:t>
      </w:r>
      <w:r w:rsidRPr="00E46780">
        <w:rPr>
          <w:b/>
          <w:bCs/>
          <w:lang w:val="en-DK"/>
        </w:rPr>
        <w:t>Actuarial Risk</w:t>
      </w:r>
      <w:r w:rsidRPr="00E46780">
        <w:rPr>
          <w:lang w:val="en-DK"/>
        </w:rPr>
        <w:t xml:space="preserve"> within deep tech financing and governance?</w:t>
      </w:r>
    </w:p>
    <w:p w14:paraId="50DB255D" w14:textId="77777777" w:rsidR="00E46780" w:rsidRPr="00E46780" w:rsidRDefault="00E46780" w:rsidP="00E46780">
      <w:pPr>
        <w:rPr>
          <w:b/>
          <w:bCs/>
          <w:lang w:val="en-DK"/>
        </w:rPr>
      </w:pPr>
      <w:r w:rsidRPr="00E46780">
        <w:rPr>
          <w:b/>
          <w:bCs/>
          <w:lang w:val="en-DK"/>
        </w:rPr>
        <w:t>RQ2: The Schumpeterian-Mazzucato Friction</w:t>
      </w:r>
    </w:p>
    <w:p w14:paraId="02353CF3" w14:textId="77777777" w:rsidR="00E46780" w:rsidRPr="00E46780" w:rsidRDefault="00E46780" w:rsidP="00E46780">
      <w:pPr>
        <w:rPr>
          <w:lang w:val="en-DK"/>
        </w:rPr>
      </w:pPr>
      <w:r w:rsidRPr="00E46780">
        <w:rPr>
          <w:lang w:val="en-DK"/>
        </w:rPr>
        <w:t xml:space="preserve">To what extent is the Neo-Schumpeterian mechanism of </w:t>
      </w:r>
      <w:r w:rsidRPr="00E46780">
        <w:rPr>
          <w:b/>
          <w:bCs/>
          <w:lang w:val="en-DK"/>
        </w:rPr>
        <w:t>Creative Destruction</w:t>
      </w:r>
      <w:r w:rsidRPr="00E46780">
        <w:rPr>
          <w:lang w:val="en-DK"/>
        </w:rPr>
        <w:t xml:space="preserve"> theoretically compatible with the EU’s administrative mandates for </w:t>
      </w:r>
      <w:r w:rsidRPr="00E46780">
        <w:rPr>
          <w:b/>
          <w:bCs/>
          <w:lang w:val="en-DK"/>
        </w:rPr>
        <w:t>Market Neutrality</w:t>
      </w:r>
      <w:r w:rsidRPr="00E46780">
        <w:rPr>
          <w:lang w:val="en-DK"/>
        </w:rPr>
        <w:t xml:space="preserve"> and </w:t>
      </w:r>
      <w:r w:rsidRPr="00E46780">
        <w:rPr>
          <w:b/>
          <w:bCs/>
          <w:lang w:val="en-DK"/>
        </w:rPr>
        <w:t>Regional Cohesion</w:t>
      </w:r>
      <w:r w:rsidRPr="00E46780">
        <w:rPr>
          <w:lang w:val="en-DK"/>
        </w:rPr>
        <w:t>?</w:t>
      </w:r>
    </w:p>
    <w:p w14:paraId="4F6FF9CA" w14:textId="77777777" w:rsidR="00E46780" w:rsidRPr="00E46780" w:rsidRDefault="00E46780" w:rsidP="00E46780">
      <w:pPr>
        <w:rPr>
          <w:b/>
          <w:bCs/>
          <w:lang w:val="en-DK"/>
        </w:rPr>
      </w:pPr>
      <w:r w:rsidRPr="00E46780">
        <w:rPr>
          <w:b/>
          <w:bCs/>
          <w:lang w:val="en-DK"/>
        </w:rPr>
        <w:t>RQ3: The Logic of Translation</w:t>
      </w:r>
    </w:p>
    <w:p w14:paraId="15CE871D" w14:textId="77777777" w:rsidR="00E46780" w:rsidRPr="00E46780" w:rsidRDefault="00E46780" w:rsidP="00E46780">
      <w:pPr>
        <w:rPr>
          <w:lang w:val="en-DK"/>
        </w:rPr>
      </w:pPr>
      <w:r w:rsidRPr="00E46780">
        <w:rPr>
          <w:lang w:val="en-DK"/>
        </w:rPr>
        <w:t xml:space="preserve">How does the translation of "Mission-Oriented" policy into EU administrative instruments (e.g., EIC/STEP) prioritize </w:t>
      </w:r>
      <w:r w:rsidRPr="00E46780">
        <w:rPr>
          <w:b/>
          <w:bCs/>
          <w:lang w:val="en-DK"/>
        </w:rPr>
        <w:t>regulatory and financial de-risking</w:t>
      </w:r>
      <w:r w:rsidRPr="00E46780">
        <w:rPr>
          <w:lang w:val="en-DK"/>
        </w:rPr>
        <w:t xml:space="preserve"> over </w:t>
      </w:r>
      <w:r w:rsidRPr="00E46780">
        <w:rPr>
          <w:b/>
          <w:bCs/>
          <w:lang w:val="en-DK"/>
        </w:rPr>
        <w:t>technological directionality</w:t>
      </w:r>
      <w:r w:rsidRPr="00E46780">
        <w:rPr>
          <w:lang w:val="en-DK"/>
        </w:rPr>
        <w:t>, and what are the theoretical implications for deep tech scaling?</w:t>
      </w:r>
    </w:p>
    <w:p w14:paraId="3CED9128" w14:textId="77777777" w:rsidR="00E46780" w:rsidRPr="00E46780" w:rsidRDefault="00E46780">
      <w:pPr>
        <w:rPr>
          <w:lang w:val="en-GB"/>
        </w:rPr>
      </w:pPr>
    </w:p>
    <w:sectPr w:rsidR="00E46780" w:rsidRPr="00E46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80"/>
    <w:rsid w:val="0089678A"/>
    <w:rsid w:val="00934722"/>
    <w:rsid w:val="00AE4F57"/>
    <w:rsid w:val="00B15BE6"/>
    <w:rsid w:val="00BC6136"/>
    <w:rsid w:val="00BD384C"/>
    <w:rsid w:val="00E16A9C"/>
    <w:rsid w:val="00E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F0D6B"/>
  <w15:chartTrackingRefBased/>
  <w15:docId w15:val="{09134D79-A940-4D13-8CF9-815F9D36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Kirch</dc:creator>
  <cp:keywords/>
  <dc:description/>
  <cp:lastModifiedBy>Kristian Kirch</cp:lastModifiedBy>
  <cp:revision>1</cp:revision>
  <dcterms:created xsi:type="dcterms:W3CDTF">2026-01-27T13:55:00Z</dcterms:created>
  <dcterms:modified xsi:type="dcterms:W3CDTF">2026-01-27T14:29:00Z</dcterms:modified>
</cp:coreProperties>
</file>