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Практична робота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“Створення моделей сценаріїв з використанням нотації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IDEF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”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-01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Круть Катерина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варіант </w:t>
      </w: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</w:rPr>
        <w:t>2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Мета роботи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Вивчити методи побудови моделей сценаріїв у нотації </w:t>
      </w:r>
      <w:r>
        <w:rPr>
          <w:rFonts w:ascii="Times New Roman" w:hAnsi="Times New Roman"/>
          <w:sz w:val="24"/>
          <w:szCs w:val="24"/>
          <w:rtl w:val="0"/>
          <w:lang w:val="en-US"/>
        </w:rPr>
        <w:t>IDEF</w:t>
      </w:r>
      <w:r>
        <w:rPr>
          <w:rFonts w:ascii="Times New Roman" w:hAnsi="Times New Roman"/>
          <w:sz w:val="24"/>
          <w:szCs w:val="24"/>
          <w:rtl w:val="0"/>
          <w:lang w:val="ru-RU"/>
        </w:rPr>
        <w:t>3</w:t>
      </w:r>
    </w:p>
    <w:p>
      <w:pPr>
        <w:pStyle w:val="Normal.0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ru-RU"/>
        </w:rPr>
        <w:t xml:space="preserve">БП «Придбання </w:t>
      </w:r>
      <w:r>
        <w:rPr>
          <w:b w:val="1"/>
          <w:bCs w:val="1"/>
          <w:i w:val="1"/>
          <w:iCs w:val="1"/>
          <w:u w:val="single"/>
          <w:rtl w:val="0"/>
        </w:rPr>
        <w:t>квартири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 xml:space="preserve"> у кредит»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2837687</wp:posOffset>
            </wp:positionH>
            <wp:positionV relativeFrom="line">
              <wp:posOffset>522459</wp:posOffset>
            </wp:positionV>
            <wp:extent cx="1868424" cy="11551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486"/>
                <wp:lineTo x="0" y="21486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24" cy="11551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</w:pPr>
      <w:r>
        <w:rPr>
          <w:sz w:val="24"/>
          <w:szCs w:val="24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Побудова контекстної діаграми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both"/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Декомпозиція контекстної діаграми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660935</wp:posOffset>
            </wp:positionH>
            <wp:positionV relativeFrom="line">
              <wp:posOffset>200797</wp:posOffset>
            </wp:positionV>
            <wp:extent cx="6656966" cy="37910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66" cy="3791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Опис одиниці робіт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Unit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Work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rtl w:val="0"/>
          <w:lang w:val="en-US"/>
        </w:rPr>
        <w:t>UOW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БП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Придбання квартири в кредит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9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50"/>
        <w:gridCol w:w="1844"/>
        <w:gridCol w:w="3319"/>
        <w:gridCol w:w="1337"/>
        <w:gridCol w:w="2050"/>
      </w:tblGrid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UOW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Ім’я одиниці роботи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дії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UOW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Стислий опис роботи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Об’єкти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Objects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Обмеження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Constraints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1.1.2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Пошук та вибір агенства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Пошук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перегляд варіантів та обирання фізичною особою ріелторського агентства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1.1.3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Звернення в агентство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Звернення до обраного агентства з бажанням знайти квартиру для купівлі в кредит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1.1.4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Вибір квартири 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Вибір підходящої квартири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Квартира повинна відповідати вимогам та побажанням фізичної особи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1.1.5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Підготовка документів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Підготовка документів необхідних для отримання кредиту та підписання угоди купівлі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продажу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1.1.6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Перевірка документів та платоспро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можності 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Перевірка корретності документів та платоспроможності фізичної особи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Банк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Документи мають відповідати законам та вимогам банку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1.1.7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Страхування 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Оформлення страхового полісу необхідного для отримання кредитуваня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Страхова компанія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Страхування повинно відповідати законам та вимогам кредитного договору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1.1.8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Підписання договору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Підписання договору про куплівлю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продаж квартири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  <w:jc w:val="center"/>
        <w:rPr>
          <w:rFonts w:ascii="Arial Unicode MS" w:cs="Arial Unicode MS" w:hAnsi="Arial Unicode MS" w:eastAsia="Arial Unicode MS"/>
          <w:sz w:val="24"/>
          <w:szCs w:val="24"/>
        </w:rPr>
      </w:pP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Сценаріїї викнонання дій БП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Придбання квартири в кредит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</w:p>
    <w:tbl>
      <w:tblPr>
        <w:tblW w:w="934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5"/>
        <w:gridCol w:w="2693"/>
        <w:gridCol w:w="5097"/>
      </w:tblGrid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№ сценарію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Номери блоків дій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що входять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Характеристика сценарію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2.3.4.5.(6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&amp;7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Вдалий хід робіт по купівлі квартири в кредит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2.3.4.2.5.(6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&amp;7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вдалий хід робіт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 проблемами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 виборі квартири та повторному зверненні в агетнство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Декомпозиція </w:t>
      </w:r>
      <w:r>
        <w:rPr>
          <w:rFonts w:ascii="Times New Roman" w:hAnsi="Times New Roman"/>
          <w:sz w:val="24"/>
          <w:szCs w:val="24"/>
          <w:rtl w:val="0"/>
          <w:lang w:val="en-US"/>
        </w:rPr>
        <w:t>UOW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Вибір квартири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375285</wp:posOffset>
            </wp:positionH>
            <wp:positionV relativeFrom="line">
              <wp:posOffset>437405</wp:posOffset>
            </wp:positionV>
            <wp:extent cx="6942684" cy="26421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568"/>
                <wp:lineTo x="0" y="21568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84" cy="2642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Виконаємо декомпозицію </w:t>
      </w:r>
      <w:r>
        <w:rPr>
          <w:rFonts w:ascii="Times New Roman" w:hAnsi="Times New Roman"/>
          <w:sz w:val="24"/>
          <w:szCs w:val="24"/>
          <w:rtl w:val="0"/>
          <w:lang w:val="en-US"/>
        </w:rPr>
        <w:t>UOW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“Оцінка фінансового стану”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121960</wp:posOffset>
            </wp:positionH>
            <wp:positionV relativeFrom="line">
              <wp:posOffset>339283</wp:posOffset>
            </wp:positionV>
            <wp:extent cx="7175492" cy="26818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564"/>
                <wp:lineTo x="0" y="21564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92" cy="26818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Продекомпозуємо повторно контекстну діаграму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318860</wp:posOffset>
            </wp:positionH>
            <wp:positionV relativeFrom="line">
              <wp:posOffset>259993</wp:posOffset>
            </wp:positionV>
            <wp:extent cx="6809055" cy="43250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00" y="21588"/>
                <wp:lineTo x="0" y="21588"/>
                <wp:lineTo x="0" y="0"/>
              </wp:wrapPolygon>
            </wp:wrapThrough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055" cy="4325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Опис одиниці робіт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Unit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Work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rtl w:val="0"/>
          <w:lang w:val="en-US"/>
        </w:rPr>
        <w:t>UOW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БП ”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Придбання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квартири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 кредит ”</w:t>
      </w:r>
    </w:p>
    <w:tbl>
      <w:tblPr>
        <w:tblW w:w="933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49"/>
        <w:gridCol w:w="1541"/>
        <w:gridCol w:w="2806"/>
        <w:gridCol w:w="1955"/>
        <w:gridCol w:w="2088"/>
      </w:tblGrid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UOW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Ім’я одиниці роботи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дії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UOW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Стислий опис роботи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Об’єкти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Objects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Обмеження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Constraints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1.2.2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Пошук квартири 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Пошук підходящої квартири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Квартира повинна відповідати вимогам та побажанням фізичної особи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.22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Вибір квартири 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Вибір підходящої квартири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1.2.23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Оформле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ння розстрочки 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Оформлення розстрочки у забудовника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Забудовник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Умови розстрочки повинні відповідати законам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.24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Страхування 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Оформлення страхового полісу необхідного для отримання кредитуваня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Страхова компанія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Страхування повинно відповідати законам та вимогам кредитного договору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1.2.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Отримання квартири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Передання у власність фізичній особі куплену квартиру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Сценаріїї викнонання дій БП ”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Придбання </w:t>
      </w:r>
      <w:r>
        <w:rPr>
          <w:rFonts w:ascii="Times New Roman" w:hAnsi="Times New Roman" w:hint="default"/>
          <w:sz w:val="24"/>
          <w:szCs w:val="24"/>
          <w:rtl w:val="0"/>
        </w:rPr>
        <w:t>квартири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 кредит ”</w:t>
      </w:r>
    </w:p>
    <w:tbl>
      <w:tblPr>
        <w:tblW w:w="934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5"/>
        <w:gridCol w:w="2693"/>
        <w:gridCol w:w="5097"/>
      </w:tblGrid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№ сценарію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Номери блоків дій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що входять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Характеристика сценарію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21.22.23.24.25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Вдалий хід робіт купівлі квартири в кредит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center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