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4CFA23CA"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176</w:t>
            </w:r>
            <w:r w:rsidR="00722308">
              <w:rPr>
                <w:sz w:val="22"/>
                <w:szCs w:val="22"/>
              </w:rPr>
              <w:t xml:space="preserve"> </w:t>
            </w:r>
            <w:r w:rsidRPr="00694CB2">
              <w:rPr>
                <w:sz w:val="22"/>
                <w:szCs w:val="22"/>
              </w:rPr>
              <w:t>75</w:t>
            </w:r>
            <w:r w:rsidR="00722308">
              <w:rPr>
                <w:sz w:val="22"/>
                <w:szCs w:val="22"/>
              </w:rPr>
              <w:t xml:space="preserve"> </w:t>
            </w:r>
            <w:r w:rsidRPr="00694CB2">
              <w:rPr>
                <w:sz w:val="22"/>
                <w:szCs w:val="22"/>
              </w:rPr>
              <w:t>494</w:t>
            </w:r>
            <w:r w:rsidR="00722308">
              <w:rPr>
                <w:sz w:val="22"/>
                <w:szCs w:val="22"/>
              </w:rPr>
              <w:t xml:space="preserve"> </w:t>
            </w:r>
            <w:r w:rsidRPr="00694CB2">
              <w:rPr>
                <w:sz w:val="22"/>
                <w:szCs w:val="22"/>
              </w:rPr>
              <w:t>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722308" w14:paraId="13797CB0" w14:textId="77777777" w:rsidTr="00103671">
        <w:tc>
          <w:tcPr>
            <w:tcW w:w="2065" w:type="dxa"/>
          </w:tcPr>
          <w:p w14:paraId="45F0BD1A" w14:textId="28698388" w:rsidR="00722308" w:rsidRPr="00CE7635" w:rsidRDefault="00722308" w:rsidP="00103671">
            <w:pPr>
              <w:rPr>
                <w:sz w:val="22"/>
                <w:szCs w:val="22"/>
              </w:rPr>
            </w:pPr>
            <w:r>
              <w:rPr>
                <w:sz w:val="22"/>
                <w:szCs w:val="22"/>
              </w:rPr>
              <w:t>Start New Job Time:</w:t>
            </w:r>
          </w:p>
        </w:tc>
        <w:tc>
          <w:tcPr>
            <w:tcW w:w="7285" w:type="dxa"/>
          </w:tcPr>
          <w:p w14:paraId="3F935D92" w14:textId="1EDE5B2E" w:rsidR="00722308" w:rsidRPr="001E7F72" w:rsidRDefault="00722308" w:rsidP="00103671">
            <w:pPr>
              <w:rPr>
                <w:sz w:val="22"/>
                <w:szCs w:val="22"/>
              </w:rPr>
            </w:pPr>
            <w:r>
              <w:rPr>
                <w:sz w:val="22"/>
                <w:szCs w:val="22"/>
              </w:rPr>
              <w:t>Since January 2026, after current contract completion.</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1819B5" w:rsidRDefault="003D2184" w:rsidP="003D2184">
      <w:pPr>
        <w:pStyle w:val="Heading2"/>
      </w:pPr>
      <w:r w:rsidRPr="001819B5">
        <w:t xml:space="preserve">05.2024 – 12.2025 </w:t>
      </w:r>
      <w:r w:rsidRPr="001819B5">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6DC205E8" w14:textId="08DF9371" w:rsidR="00D4736C" w:rsidRPr="00D4736C" w:rsidRDefault="00D4736C" w:rsidP="003D2184">
      <w:pPr>
        <w:rPr>
          <w:rStyle w:val="Hyperlink"/>
        </w:rPr>
      </w:pPr>
      <w:r w:rsidRPr="008A0EC6">
        <w:t>The description of this project can be seen here:</w:t>
      </w:r>
      <w:r w:rsidRPr="008A0EC6">
        <w:br/>
      </w:r>
      <w:hyperlink r:id="rId15" w:history="1">
        <w:r w:rsidRPr="00D4736C">
          <w:rPr>
            <w:rStyle w:val="Hyperlink"/>
          </w:rPr>
          <w:t>https://github.com/K-S-K/CV/blob/main/Articles/36_Gaia</w:t>
        </w:r>
        <w:r w:rsidRPr="00D4736C">
          <w:rPr>
            <w:rStyle w:val="Hyperlink"/>
          </w:rPr>
          <w:t>S</w:t>
        </w:r>
        <w:r w:rsidRPr="00D4736C">
          <w:rPr>
            <w:rStyle w:val="Hyperlink"/>
          </w:rPr>
          <w:t>DT/Article.md</w:t>
        </w:r>
      </w:hyperlink>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w:t>
      </w:r>
      <w:proofErr w:type="gramStart"/>
      <w:r w:rsidRPr="00DB166F">
        <w:t>a time period</w:t>
      </w:r>
      <w:proofErr w:type="gramEnd"/>
      <w:r w:rsidRPr="00DB166F">
        <w:t xml:space="preserve">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8"/>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F7418" w14:textId="77777777" w:rsidR="00AF378A" w:rsidRDefault="00AF378A" w:rsidP="00D813A1">
      <w:pPr>
        <w:spacing w:before="0" w:after="0" w:line="240" w:lineRule="auto"/>
      </w:pPr>
      <w:r>
        <w:separator/>
      </w:r>
    </w:p>
  </w:endnote>
  <w:endnote w:type="continuationSeparator" w:id="0">
    <w:p w14:paraId="16FA7814" w14:textId="77777777" w:rsidR="00AF378A" w:rsidRDefault="00AF378A"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46FE5" w14:textId="77777777" w:rsidR="00AF378A" w:rsidRDefault="00AF378A" w:rsidP="00D813A1">
      <w:pPr>
        <w:spacing w:before="0" w:after="0" w:line="240" w:lineRule="auto"/>
      </w:pPr>
      <w:r>
        <w:separator/>
      </w:r>
    </w:p>
  </w:footnote>
  <w:footnote w:type="continuationSeparator" w:id="0">
    <w:p w14:paraId="490C3DD5" w14:textId="77777777" w:rsidR="00AF378A" w:rsidRDefault="00AF378A"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819B5"/>
    <w:rsid w:val="00190B8E"/>
    <w:rsid w:val="00194113"/>
    <w:rsid w:val="00196A71"/>
    <w:rsid w:val="001E7F72"/>
    <w:rsid w:val="00233722"/>
    <w:rsid w:val="002362D2"/>
    <w:rsid w:val="0026291B"/>
    <w:rsid w:val="00272DEC"/>
    <w:rsid w:val="00275291"/>
    <w:rsid w:val="002B7D2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63693"/>
    <w:rsid w:val="0067503A"/>
    <w:rsid w:val="00683CD4"/>
    <w:rsid w:val="006B3A02"/>
    <w:rsid w:val="006C0826"/>
    <w:rsid w:val="006C6694"/>
    <w:rsid w:val="006F05C6"/>
    <w:rsid w:val="006F5D71"/>
    <w:rsid w:val="00706385"/>
    <w:rsid w:val="007106E3"/>
    <w:rsid w:val="0071571C"/>
    <w:rsid w:val="00722308"/>
    <w:rsid w:val="0074192E"/>
    <w:rsid w:val="007972E7"/>
    <w:rsid w:val="007C0C75"/>
    <w:rsid w:val="007C0F65"/>
    <w:rsid w:val="007C5513"/>
    <w:rsid w:val="007E709D"/>
    <w:rsid w:val="007F50EE"/>
    <w:rsid w:val="00820595"/>
    <w:rsid w:val="00830AB3"/>
    <w:rsid w:val="00836F27"/>
    <w:rsid w:val="00853257"/>
    <w:rsid w:val="00885ECD"/>
    <w:rsid w:val="00896C62"/>
    <w:rsid w:val="008A0EC6"/>
    <w:rsid w:val="008E067D"/>
    <w:rsid w:val="008E4696"/>
    <w:rsid w:val="009040AB"/>
    <w:rsid w:val="0092518F"/>
    <w:rsid w:val="009327B9"/>
    <w:rsid w:val="009863F6"/>
    <w:rsid w:val="0098792E"/>
    <w:rsid w:val="009B2812"/>
    <w:rsid w:val="009C3C74"/>
    <w:rsid w:val="009C59FF"/>
    <w:rsid w:val="009D2E80"/>
    <w:rsid w:val="009E562F"/>
    <w:rsid w:val="00A21072"/>
    <w:rsid w:val="00A6069A"/>
    <w:rsid w:val="00A8743E"/>
    <w:rsid w:val="00A96DDE"/>
    <w:rsid w:val="00AD1AEF"/>
    <w:rsid w:val="00AE31E1"/>
    <w:rsid w:val="00AF22D4"/>
    <w:rsid w:val="00AF378A"/>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4736C"/>
    <w:rsid w:val="00D66D6C"/>
    <w:rsid w:val="00D761BC"/>
    <w:rsid w:val="00D813A1"/>
    <w:rsid w:val="00D92D78"/>
    <w:rsid w:val="00DB166F"/>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34B3B"/>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7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36_GaiaSDT/Article.md" TargetMode="External"/><Relationship Id="rId10" Type="http://schemas.openxmlformats.org/officeDocument/2006/relationships/hyperlink" Target="https://github.com/K-S-K/CV/blob/main/Articles/03_ESphere/Articl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6</cp:revision>
  <cp:lastPrinted>2025-08-09T17:52:00Z</cp:lastPrinted>
  <dcterms:created xsi:type="dcterms:W3CDTF">2025-08-09T17:52:00Z</dcterms:created>
  <dcterms:modified xsi:type="dcterms:W3CDTF">2025-08-11T18:45:00Z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