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A365D"/>
          <w:sz w:val="44"/>
        </w:rPr>
        <w:t>Jane Doe</w:t>
      </w:r>
    </w:p>
    <w:p>
      <w:pPr>
        <w:spacing w:after="80"/>
        <w:jc w:val="center"/>
      </w:pPr>
      <w:r>
        <w:rPr>
          <w:rFonts w:ascii="Calibri" w:hAnsi="Calibri"/>
          <w:b/>
          <w:color w:val="4A5568"/>
          <w:sz w:val="26"/>
        </w:rPr>
        <w:t>AI/ML Engineer</w:t>
      </w:r>
    </w:p>
    <w:p>
      <w:pPr>
        <w:spacing w:after="240"/>
        <w:jc w:val="center"/>
      </w:pPr>
      <w:r>
        <w:rPr>
          <w:rFonts w:ascii="Calibri" w:hAnsi="Calibri"/>
          <w:color w:val="4A5568"/>
          <w:sz w:val="19"/>
        </w:rPr>
        <w:t>jane.doe@email.com | +44 7700 900077 | London, UK | linkedin.com/in/janedoe | github.com/janedoe</w:t>
      </w:r>
    </w:p>
    <w:p>
      <w:pPr>
        <w:keepNext/>
        <w:spacing w:before="280" w:after="60"/>
      </w:pPr>
      <w:r>
        <w:rPr>
          <w:rFonts w:ascii="Calibri" w:hAnsi="Calibri"/>
          <w:b/>
          <w:color w:val="1A365D"/>
          <w:sz w:val="23"/>
        </w:rPr>
        <w:t>PROFESSIONAL SUMMARY</w:t>
      </w:r>
    </w:p>
    <w:p>
      <w:pPr>
        <w:spacing w:after="120" w:line="276" w:lineRule="auto"/>
      </w:pPr>
      <w:r>
        <w:rPr>
          <w:rFonts w:ascii="Calibri" w:hAnsi="Calibri"/>
          <w:color w:val="2D3748"/>
          <w:sz w:val="20"/>
        </w:rPr>
        <w:t>AI Engineer with 3 years of experience designing, developing, and deploying machine learning and generative AI solutions, leveraging expertise in Python, deep learning, NLP, MLOps, and cloud platforms to drive production-grade AI systems.</w:t>
      </w:r>
    </w:p>
    <w:p>
      <w:pPr>
        <w:keepNext/>
        <w:spacing w:before="280" w:after="60"/>
      </w:pPr>
      <w:r>
        <w:rPr>
          <w:rFonts w:ascii="Calibri" w:hAnsi="Calibri"/>
          <w:b/>
          <w:color w:val="1A365D"/>
          <w:sz w:val="23"/>
        </w:rPr>
        <w:t>TECHNICAL SKILLS</w:t>
      </w:r>
    </w:p>
    <w:p>
      <w:pPr>
        <w:spacing w:after="80" w:line="276" w:lineRule="auto"/>
      </w:pPr>
      <w:r>
        <w:rPr>
          <w:rFonts w:ascii="Calibri" w:hAnsi="Calibri"/>
          <w:b/>
          <w:color w:val="2D3748"/>
          <w:sz w:val="20"/>
        </w:rPr>
        <w:t xml:space="preserve">Programming: </w:t>
      </w:r>
      <w:r>
        <w:rPr>
          <w:rFonts w:ascii="Calibri" w:hAnsi="Calibri"/>
          <w:color w:val="2D3748"/>
          <w:sz w:val="20"/>
        </w:rPr>
        <w:t>Python, Java, SQL</w:t>
      </w:r>
    </w:p>
    <w:p>
      <w:pPr>
        <w:spacing w:after="80" w:line="276" w:lineRule="auto"/>
      </w:pPr>
      <w:r>
        <w:rPr>
          <w:rFonts w:ascii="Calibri" w:hAnsi="Calibri"/>
          <w:b/>
          <w:color w:val="2D3748"/>
          <w:sz w:val="20"/>
        </w:rPr>
        <w:t xml:space="preserve">Machine Learning: </w:t>
      </w:r>
      <w:r>
        <w:rPr>
          <w:rFonts w:ascii="Calibri" w:hAnsi="Calibri"/>
          <w:color w:val="2D3748"/>
          <w:sz w:val="20"/>
        </w:rPr>
        <w:t>Scikit-learn, TensorFlow, PyTorch</w:t>
      </w:r>
    </w:p>
    <w:p>
      <w:pPr>
        <w:spacing w:after="80" w:line="276" w:lineRule="auto"/>
      </w:pPr>
      <w:r>
        <w:rPr>
          <w:rFonts w:ascii="Calibri" w:hAnsi="Calibri"/>
          <w:b/>
          <w:color w:val="2D3748"/>
          <w:sz w:val="20"/>
        </w:rPr>
        <w:t xml:space="preserve">Generative AI: </w:t>
      </w:r>
      <w:r>
        <w:rPr>
          <w:rFonts w:ascii="Calibri" w:hAnsi="Calibri"/>
          <w:color w:val="2D3748"/>
          <w:sz w:val="20"/>
        </w:rPr>
        <w:t>LLMs, RAG, Prompt Engineering, Vector Databases</w:t>
      </w:r>
    </w:p>
    <w:p>
      <w:pPr>
        <w:spacing w:after="80" w:line="276" w:lineRule="auto"/>
      </w:pPr>
      <w:r>
        <w:rPr>
          <w:rFonts w:ascii="Calibri" w:hAnsi="Calibri"/>
          <w:b/>
          <w:color w:val="2D3748"/>
          <w:sz w:val="20"/>
        </w:rPr>
        <w:t xml:space="preserve">Cloud &amp; MLOps: </w:t>
      </w:r>
      <w:r>
        <w:rPr>
          <w:rFonts w:ascii="Calibri" w:hAnsi="Calibri"/>
          <w:color w:val="2D3748"/>
          <w:sz w:val="20"/>
        </w:rPr>
        <w:t>AWS, Docker, Kubernetes, CI/CD, MLflow</w:t>
      </w:r>
    </w:p>
    <w:p>
      <w:pPr>
        <w:spacing w:after="80" w:line="276" w:lineRule="auto"/>
      </w:pPr>
      <w:r>
        <w:rPr>
          <w:rFonts w:ascii="Calibri" w:hAnsi="Calibri"/>
          <w:b/>
          <w:color w:val="2D3748"/>
          <w:sz w:val="20"/>
        </w:rPr>
        <w:t xml:space="preserve">Data: </w:t>
      </w:r>
      <w:r>
        <w:rPr>
          <w:rFonts w:ascii="Calibri" w:hAnsi="Calibri"/>
          <w:color w:val="2D3748"/>
          <w:sz w:val="20"/>
        </w:rPr>
        <w:t>Pandas, NumPy, Spark</w:t>
      </w:r>
    </w:p>
    <w:p>
      <w:pPr>
        <w:keepNext/>
        <w:spacing w:before="280" w:after="60"/>
      </w:pPr>
      <w:r>
        <w:rPr>
          <w:rFonts w:ascii="Calibri" w:hAnsi="Calibri"/>
          <w:b/>
          <w:color w:val="1A365D"/>
          <w:sz w:val="23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488"/>
        <w:gridCol w:w="2592"/>
      </w:tblGrid>
      <w:tr>
        <w:tc>
          <w:tcPr>
            <w:tcW w:type="dxa" w:w="5040"/>
            <w:tcMar>
              <w:top w:w="60" w:type="dxa"/>
              <w:bottom w:w="60" w:type="dxa"/>
              <w:left w:w="0" w:type="dxa"/>
              <w:right w:w="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2D3748"/>
                <w:sz w:val="22"/>
              </w:rPr>
              <w:t>AI Engineer</w:t>
            </w:r>
            <w:r>
              <w:rPr>
                <w:rFonts w:ascii="Calibri" w:hAnsi="Calibri"/>
                <w:color w:val="4A5568"/>
                <w:sz w:val="22"/>
              </w:rPr>
              <w:t xml:space="preserve"> – </w:t>
            </w:r>
            <w:r>
              <w:rPr>
                <w:rFonts w:ascii="Calibri" w:hAnsi="Calibri"/>
                <w:b/>
                <w:color w:val="4A5568"/>
                <w:sz w:val="22"/>
              </w:rPr>
              <w:t>InnovateAI Solutions</w:t>
            </w:r>
          </w:p>
        </w:tc>
        <w:tc>
          <w:tcPr>
            <w:tcW w:type="dxa" w:w="5040"/>
            <w:tcMar>
              <w:top w:w="60" w:type="dxa"/>
              <w:bottom w:w="60" w:type="dxa"/>
              <w:left w:w="0" w:type="dxa"/>
              <w:right w:w="0" w:type="dxa"/>
            </w:tcMar>
          </w:tcPr>
          <w:p>
            <w:pPr>
              <w:spacing w:after="40"/>
              <w:jc w:val="right"/>
            </w:pPr>
            <w:r>
              <w:rPr>
                <w:rFonts w:ascii="Calibri" w:hAnsi="Calibri"/>
                <w:b/>
                <w:color w:val="4A5568"/>
                <w:sz w:val="20"/>
              </w:rPr>
              <w:t>Jul 2024 – Present</w:t>
            </w:r>
          </w:p>
        </w:tc>
      </w:tr>
    </w:tbl>
    <w:p>
      <w:pPr>
        <w:pStyle w:val="ListBullet"/>
        <w:spacing w:after="60" w:line="276" w:lineRule="auto"/>
      </w:pPr>
      <w:r>
        <w:rPr>
          <w:rFonts w:ascii="Calibri" w:hAnsi="Calibri"/>
          <w:color w:val="2D3748"/>
          <w:sz w:val="20"/>
        </w:rPr>
        <w:t>Developed and deployed LLM-powered applications for enterprise clients, leveraging expertise in Python and cloud platforms.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2D3748"/>
          <w:sz w:val="20"/>
        </w:rPr>
        <w:t>Built RAG pipelines using vector databases and embedding models, optimizing model inference performance by 30%.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2D3748"/>
          <w:sz w:val="20"/>
        </w:rPr>
        <w:t>Collaborated with product and engineering teams to integrate AI services into production systems, ensuring seamless model consumption.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2D3748"/>
          <w:sz w:val="20"/>
        </w:rPr>
        <w:t>Improved model performance through optimization techniques, driving production-grade AI systems.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488"/>
        <w:gridCol w:w="2592"/>
      </w:tblGrid>
      <w:tr>
        <w:tc>
          <w:tcPr>
            <w:tcW w:type="dxa" w:w="5040"/>
            <w:tcMar>
              <w:top w:w="60" w:type="dxa"/>
              <w:bottom w:w="60" w:type="dxa"/>
              <w:left w:w="0" w:type="dxa"/>
              <w:right w:w="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2D3748"/>
                <w:sz w:val="22"/>
              </w:rPr>
              <w:t>Machine Learning Engineer</w:t>
            </w:r>
            <w:r>
              <w:rPr>
                <w:rFonts w:ascii="Calibri" w:hAnsi="Calibri"/>
                <w:color w:val="4A5568"/>
                <w:sz w:val="22"/>
              </w:rPr>
              <w:t xml:space="preserve"> – </w:t>
            </w:r>
            <w:r>
              <w:rPr>
                <w:rFonts w:ascii="Calibri" w:hAnsi="Calibri"/>
                <w:b/>
                <w:color w:val="4A5568"/>
                <w:sz w:val="22"/>
              </w:rPr>
              <w:t>DataVision Technologies</w:t>
            </w:r>
          </w:p>
        </w:tc>
        <w:tc>
          <w:tcPr>
            <w:tcW w:type="dxa" w:w="5040"/>
            <w:tcMar>
              <w:top w:w="60" w:type="dxa"/>
              <w:bottom w:w="60" w:type="dxa"/>
              <w:left w:w="0" w:type="dxa"/>
              <w:right w:w="0" w:type="dxa"/>
            </w:tcMar>
          </w:tcPr>
          <w:p>
            <w:pPr>
              <w:spacing w:after="40"/>
              <w:jc w:val="right"/>
            </w:pPr>
            <w:r>
              <w:rPr>
                <w:rFonts w:ascii="Calibri" w:hAnsi="Calibri"/>
                <w:b/>
                <w:color w:val="4A5568"/>
                <w:sz w:val="20"/>
              </w:rPr>
              <w:t>Jul 2023 – Jun 2024</w:t>
            </w:r>
          </w:p>
        </w:tc>
      </w:tr>
    </w:tbl>
    <w:p>
      <w:pPr>
        <w:pStyle w:val="ListBullet"/>
        <w:spacing w:after="60" w:line="276" w:lineRule="auto"/>
      </w:pPr>
      <w:r>
        <w:rPr>
          <w:rFonts w:ascii="Calibri" w:hAnsi="Calibri"/>
          <w:color w:val="2D3748"/>
          <w:sz w:val="20"/>
        </w:rPr>
        <w:t>Designed predictive analytics models for customer behavior forecasting, implementing end-to-end ML pipelines using Python and cloud infrastructure.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2D3748"/>
          <w:sz w:val="20"/>
        </w:rPr>
        <w:t>Automated model monitoring and retraining workflows, reducing model deployment time by 40% through CI/CD improvements.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2D3748"/>
          <w:sz w:val="20"/>
        </w:rPr>
        <w:t>Implemented inference systems for content optimization, fine-tuning and deploying multimodal AI systems using MLOps best practices.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2D3748"/>
          <w:sz w:val="20"/>
        </w:rPr>
        <w:t>Collaborated with data science teams to transition research models into production-ready systems, driving business outcomes and user experiences.</w:t>
      </w:r>
    </w:p>
    <w:p>
      <w:pPr>
        <w:keepNext/>
        <w:spacing w:before="280" w:after="60"/>
      </w:pPr>
      <w:r>
        <w:rPr>
          <w:rFonts w:ascii="Calibri" w:hAnsi="Calibri"/>
          <w:b/>
          <w:color w:val="1A365D"/>
          <w:sz w:val="23"/>
        </w:rPr>
        <w:t>SELECTED PROJECTS</w:t>
      </w:r>
    </w:p>
    <w:p>
      <w:pPr>
        <w:keepNext/>
        <w:spacing w:before="80" w:after="40"/>
      </w:pPr>
      <w:r>
        <w:rPr>
          <w:rFonts w:ascii="Calibri" w:hAnsi="Calibri"/>
          <w:b/>
          <w:color w:val="2D3748"/>
          <w:sz w:val="21"/>
        </w:rPr>
        <w:t>Enterprise Knowledge Assistant using Retrieval-Augmented Generation (RAG)</w:t>
      </w:r>
    </w:p>
    <w:p>
      <w:pPr>
        <w:spacing w:after="80" w:line="276" w:lineRule="auto"/>
      </w:pPr>
      <w:r>
        <w:rPr>
          <w:rFonts w:ascii="Calibri" w:hAnsi="Calibri"/>
          <w:color w:val="2D3748"/>
          <w:sz w:val="20"/>
        </w:rPr>
        <w:t>Developed an enterprise knowledge assistant using RAG, leveraging vector databases and embedding models to drive production-grade AI systems.</w:t>
      </w:r>
    </w:p>
    <w:p>
      <w:pPr>
        <w:keepNext/>
        <w:spacing w:before="80" w:after="40"/>
      </w:pPr>
      <w:r>
        <w:rPr>
          <w:rFonts w:ascii="Calibri" w:hAnsi="Calibri"/>
          <w:b/>
          <w:color w:val="2D3748"/>
          <w:sz w:val="21"/>
        </w:rPr>
        <w:t>Customer Churn Prediction Platform</w:t>
      </w:r>
    </w:p>
    <w:p>
      <w:pPr>
        <w:spacing w:after="80" w:line="276" w:lineRule="auto"/>
      </w:pPr>
      <w:r>
        <w:rPr>
          <w:rFonts w:ascii="Calibri" w:hAnsi="Calibri"/>
          <w:color w:val="2D3748"/>
          <w:sz w:val="20"/>
        </w:rPr>
        <w:t>Designed a predictive analytics platform for customer behavior forecasting, implementing end-to-end ML pipelines using Python and cloud infrastructure.</w:t>
      </w:r>
    </w:p>
    <w:p>
      <w:pPr>
        <w:keepNext/>
        <w:spacing w:before="80" w:after="40"/>
      </w:pPr>
      <w:r>
        <w:rPr>
          <w:rFonts w:ascii="Calibri" w:hAnsi="Calibri"/>
          <w:b/>
          <w:color w:val="2D3748"/>
          <w:sz w:val="21"/>
        </w:rPr>
        <w:t>Automated Document Processing pipeline</w:t>
      </w:r>
    </w:p>
    <w:p>
      <w:pPr>
        <w:spacing w:after="80" w:line="276" w:lineRule="auto"/>
      </w:pPr>
      <w:r>
        <w:rPr>
          <w:rFonts w:ascii="Calibri" w:hAnsi="Calibri"/>
          <w:color w:val="2D3748"/>
          <w:sz w:val="20"/>
        </w:rPr>
        <w:t>Built an automated document processing pipeline using NLP and OCR technologies, optimizing model performance and driving business outcomes.</w:t>
      </w:r>
    </w:p>
    <w:p>
      <w:pPr>
        <w:keepNext/>
        <w:spacing w:before="280" w:after="60"/>
      </w:pPr>
      <w:r>
        <w:rPr>
          <w:rFonts w:ascii="Calibri" w:hAnsi="Calibri"/>
          <w:b/>
          <w:color w:val="1A365D"/>
          <w:sz w:val="23"/>
        </w:rPr>
        <w:t>EDUCATION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488"/>
        <w:gridCol w:w="2592"/>
      </w:tblGrid>
      <w:tr>
        <w:tc>
          <w:tcPr>
            <w:tcW w:type="dxa" w:w="5040"/>
            <w:tcMar>
              <w:top w:w="60" w:type="dxa"/>
              <w:bottom w:w="60" w:type="dxa"/>
              <w:left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2D3748"/>
                <w:sz w:val="21"/>
              </w:rPr>
              <w:t>Bachelor of Science (B.Sc.) in Software Engineering</w:t>
            </w:r>
            <w:r>
              <w:rPr>
                <w:rFonts w:ascii="Calibri" w:hAnsi="Calibri"/>
                <w:color w:val="4A5568"/>
                <w:sz w:val="21"/>
              </w:rPr>
              <w:t xml:space="preserve"> – </w:t>
            </w:r>
            <w:r>
              <w:rPr>
                <w:rFonts w:ascii="Calibri" w:hAnsi="Calibri"/>
                <w:color w:val="4A5568"/>
                <w:sz w:val="20"/>
              </w:rPr>
              <w:t>Tech Valley University</w:t>
            </w:r>
          </w:p>
        </w:tc>
        <w:tc>
          <w:tcPr>
            <w:tcW w:type="dxa" w:w="5040"/>
            <w:tcMar>
              <w:top w:w="60" w:type="dxa"/>
              <w:bottom w:w="60" w:type="dxa"/>
              <w:left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color w:val="4A5568"/>
                <w:sz w:val="20"/>
              </w:rPr>
              <w:t>Graduated: 2023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