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 w:eastAsia="en-US"/>
        </w:rPr>
        <w:id w:val="198911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389429" w14:textId="48FF51B2" w:rsidR="00F515F4" w:rsidRDefault="00F515F4">
          <w:pPr>
            <w:pStyle w:val="Nadpisobsahu"/>
          </w:pPr>
          <w:r>
            <w:rPr>
              <w:lang w:val="cs-CZ"/>
            </w:rPr>
            <w:t>Obsah</w:t>
          </w:r>
        </w:p>
        <w:p w14:paraId="5B562014" w14:textId="11A7C09E" w:rsidR="00F515F4" w:rsidRDefault="00F515F4">
          <w:pPr>
            <w:pStyle w:val="Obsah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90540" w:history="1">
            <w:r w:rsidRPr="00E84E7C">
              <w:rPr>
                <w:rStyle w:val="Hypertextovodkaz"/>
                <w:b/>
                <w:bCs/>
                <w:noProof/>
              </w:rPr>
              <w:t>Kyberkriminalita a elektronické důkazy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8C5D" w14:textId="1A4B5679" w:rsidR="00F515F4" w:rsidRDefault="009C3336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61990541" w:history="1">
            <w:r w:rsidR="00F515F4" w:rsidRPr="00E84E7C">
              <w:rPr>
                <w:rStyle w:val="Hypertextovodkaz"/>
                <w:b/>
                <w:bCs/>
                <w:noProof/>
              </w:rPr>
              <w:t>Kybernetická bezpečnost</w:t>
            </w:r>
            <w:r w:rsidR="00F515F4">
              <w:rPr>
                <w:noProof/>
                <w:webHidden/>
              </w:rPr>
              <w:tab/>
            </w:r>
            <w:r w:rsidR="00F515F4">
              <w:rPr>
                <w:noProof/>
                <w:webHidden/>
              </w:rPr>
              <w:fldChar w:fldCharType="begin"/>
            </w:r>
            <w:r w:rsidR="00F515F4">
              <w:rPr>
                <w:noProof/>
                <w:webHidden/>
              </w:rPr>
              <w:instrText xml:space="preserve"> PAGEREF _Toc61990541 \h </w:instrText>
            </w:r>
            <w:r w:rsidR="00F515F4">
              <w:rPr>
                <w:noProof/>
                <w:webHidden/>
              </w:rPr>
            </w:r>
            <w:r w:rsidR="00F515F4">
              <w:rPr>
                <w:noProof/>
                <w:webHidden/>
              </w:rPr>
              <w:fldChar w:fldCharType="separate"/>
            </w:r>
            <w:r w:rsidR="00F515F4">
              <w:rPr>
                <w:noProof/>
                <w:webHidden/>
              </w:rPr>
              <w:t>3</w:t>
            </w:r>
            <w:r w:rsidR="00F515F4">
              <w:rPr>
                <w:noProof/>
                <w:webHidden/>
              </w:rPr>
              <w:fldChar w:fldCharType="end"/>
            </w:r>
          </w:hyperlink>
        </w:p>
        <w:p w14:paraId="792A913E" w14:textId="6B935404" w:rsidR="00F515F4" w:rsidRDefault="009C3336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61990542" w:history="1">
            <w:r w:rsidR="00F515F4" w:rsidRPr="00E84E7C">
              <w:rPr>
                <w:rStyle w:val="Hypertextovodkaz"/>
                <w:b/>
                <w:bCs/>
                <w:noProof/>
              </w:rPr>
              <w:t>Identifikace, autentizace a datové schránky</w:t>
            </w:r>
            <w:r w:rsidR="00F515F4">
              <w:rPr>
                <w:noProof/>
                <w:webHidden/>
              </w:rPr>
              <w:tab/>
            </w:r>
            <w:r w:rsidR="00F515F4">
              <w:rPr>
                <w:noProof/>
                <w:webHidden/>
              </w:rPr>
              <w:fldChar w:fldCharType="begin"/>
            </w:r>
            <w:r w:rsidR="00F515F4">
              <w:rPr>
                <w:noProof/>
                <w:webHidden/>
              </w:rPr>
              <w:instrText xml:space="preserve"> PAGEREF _Toc61990542 \h </w:instrText>
            </w:r>
            <w:r w:rsidR="00F515F4">
              <w:rPr>
                <w:noProof/>
                <w:webHidden/>
              </w:rPr>
            </w:r>
            <w:r w:rsidR="00F515F4">
              <w:rPr>
                <w:noProof/>
                <w:webHidden/>
              </w:rPr>
              <w:fldChar w:fldCharType="separate"/>
            </w:r>
            <w:r w:rsidR="00F515F4">
              <w:rPr>
                <w:noProof/>
                <w:webHidden/>
              </w:rPr>
              <w:t>5</w:t>
            </w:r>
            <w:r w:rsidR="00F515F4">
              <w:rPr>
                <w:noProof/>
                <w:webHidden/>
              </w:rPr>
              <w:fldChar w:fldCharType="end"/>
            </w:r>
          </w:hyperlink>
        </w:p>
        <w:p w14:paraId="7112DFF9" w14:textId="3FD50095" w:rsidR="00F515F4" w:rsidRDefault="009C3336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61990543" w:history="1">
            <w:r w:rsidR="00F515F4" w:rsidRPr="00E84E7C">
              <w:rPr>
                <w:rStyle w:val="Hypertextovodkaz"/>
                <w:b/>
                <w:bCs/>
                <w:noProof/>
              </w:rPr>
              <w:t>Ochrana duševního vlastnictví</w:t>
            </w:r>
            <w:r w:rsidR="00F515F4">
              <w:rPr>
                <w:noProof/>
                <w:webHidden/>
              </w:rPr>
              <w:tab/>
            </w:r>
            <w:r w:rsidR="00F515F4">
              <w:rPr>
                <w:noProof/>
                <w:webHidden/>
              </w:rPr>
              <w:fldChar w:fldCharType="begin"/>
            </w:r>
            <w:r w:rsidR="00F515F4">
              <w:rPr>
                <w:noProof/>
                <w:webHidden/>
              </w:rPr>
              <w:instrText xml:space="preserve"> PAGEREF _Toc61990543 \h </w:instrText>
            </w:r>
            <w:r w:rsidR="00F515F4">
              <w:rPr>
                <w:noProof/>
                <w:webHidden/>
              </w:rPr>
            </w:r>
            <w:r w:rsidR="00F515F4">
              <w:rPr>
                <w:noProof/>
                <w:webHidden/>
              </w:rPr>
              <w:fldChar w:fldCharType="separate"/>
            </w:r>
            <w:r w:rsidR="00F515F4">
              <w:rPr>
                <w:noProof/>
                <w:webHidden/>
              </w:rPr>
              <w:t>7</w:t>
            </w:r>
            <w:r w:rsidR="00F515F4">
              <w:rPr>
                <w:noProof/>
                <w:webHidden/>
              </w:rPr>
              <w:fldChar w:fldCharType="end"/>
            </w:r>
          </w:hyperlink>
        </w:p>
        <w:p w14:paraId="7C273563" w14:textId="5B97B9D8" w:rsidR="00F515F4" w:rsidRDefault="009C3336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61990544" w:history="1">
            <w:r w:rsidR="00F515F4" w:rsidRPr="00E84E7C">
              <w:rPr>
                <w:rStyle w:val="Hypertextovodkaz"/>
                <w:b/>
                <w:bCs/>
                <w:noProof/>
              </w:rPr>
              <w:t>Ochrana osobních údajů</w:t>
            </w:r>
            <w:r w:rsidR="00F515F4">
              <w:rPr>
                <w:noProof/>
                <w:webHidden/>
              </w:rPr>
              <w:tab/>
            </w:r>
            <w:r w:rsidR="00F515F4">
              <w:rPr>
                <w:noProof/>
                <w:webHidden/>
              </w:rPr>
              <w:fldChar w:fldCharType="begin"/>
            </w:r>
            <w:r w:rsidR="00F515F4">
              <w:rPr>
                <w:noProof/>
                <w:webHidden/>
              </w:rPr>
              <w:instrText xml:space="preserve"> PAGEREF _Toc61990544 \h </w:instrText>
            </w:r>
            <w:r w:rsidR="00F515F4">
              <w:rPr>
                <w:noProof/>
                <w:webHidden/>
              </w:rPr>
            </w:r>
            <w:r w:rsidR="00F515F4">
              <w:rPr>
                <w:noProof/>
                <w:webHidden/>
              </w:rPr>
              <w:fldChar w:fldCharType="separate"/>
            </w:r>
            <w:r w:rsidR="00F515F4">
              <w:rPr>
                <w:noProof/>
                <w:webHidden/>
              </w:rPr>
              <w:t>9</w:t>
            </w:r>
            <w:r w:rsidR="00F515F4">
              <w:rPr>
                <w:noProof/>
                <w:webHidden/>
              </w:rPr>
              <w:fldChar w:fldCharType="end"/>
            </w:r>
          </w:hyperlink>
        </w:p>
        <w:p w14:paraId="07380065" w14:textId="66537996" w:rsidR="00F515F4" w:rsidRDefault="009C3336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61990545" w:history="1">
            <w:r w:rsidR="00F515F4" w:rsidRPr="00E84E7C">
              <w:rPr>
                <w:rStyle w:val="Hypertextovodkaz"/>
                <w:b/>
                <w:bCs/>
                <w:noProof/>
              </w:rPr>
              <w:t>Informace veřejného sektoru a Otevřená data</w:t>
            </w:r>
            <w:r w:rsidR="00F515F4">
              <w:rPr>
                <w:noProof/>
                <w:webHidden/>
              </w:rPr>
              <w:tab/>
            </w:r>
            <w:r w:rsidR="00F515F4">
              <w:rPr>
                <w:noProof/>
                <w:webHidden/>
              </w:rPr>
              <w:fldChar w:fldCharType="begin"/>
            </w:r>
            <w:r w:rsidR="00F515F4">
              <w:rPr>
                <w:noProof/>
                <w:webHidden/>
              </w:rPr>
              <w:instrText xml:space="preserve"> PAGEREF _Toc61990545 \h </w:instrText>
            </w:r>
            <w:r w:rsidR="00F515F4">
              <w:rPr>
                <w:noProof/>
                <w:webHidden/>
              </w:rPr>
            </w:r>
            <w:r w:rsidR="00F515F4">
              <w:rPr>
                <w:noProof/>
                <w:webHidden/>
              </w:rPr>
              <w:fldChar w:fldCharType="separate"/>
            </w:r>
            <w:r w:rsidR="00F515F4">
              <w:rPr>
                <w:noProof/>
                <w:webHidden/>
              </w:rPr>
              <w:t>12</w:t>
            </w:r>
            <w:r w:rsidR="00F515F4">
              <w:rPr>
                <w:noProof/>
                <w:webHidden/>
              </w:rPr>
              <w:fldChar w:fldCharType="end"/>
            </w:r>
          </w:hyperlink>
        </w:p>
        <w:p w14:paraId="0A73C5B0" w14:textId="2A7C8ABB" w:rsidR="00F515F4" w:rsidRDefault="009C3336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61990546" w:history="1">
            <w:r w:rsidR="00F515F4" w:rsidRPr="00E84E7C">
              <w:rPr>
                <w:rStyle w:val="Hypertextovodkaz"/>
                <w:b/>
                <w:bCs/>
                <w:noProof/>
              </w:rPr>
              <w:t>Výběr z přednášek</w:t>
            </w:r>
            <w:r w:rsidR="00F515F4">
              <w:rPr>
                <w:noProof/>
                <w:webHidden/>
              </w:rPr>
              <w:tab/>
            </w:r>
            <w:r w:rsidR="00F515F4">
              <w:rPr>
                <w:noProof/>
                <w:webHidden/>
              </w:rPr>
              <w:fldChar w:fldCharType="begin"/>
            </w:r>
            <w:r w:rsidR="00F515F4">
              <w:rPr>
                <w:noProof/>
                <w:webHidden/>
              </w:rPr>
              <w:instrText xml:space="preserve"> PAGEREF _Toc61990546 \h </w:instrText>
            </w:r>
            <w:r w:rsidR="00F515F4">
              <w:rPr>
                <w:noProof/>
                <w:webHidden/>
              </w:rPr>
            </w:r>
            <w:r w:rsidR="00F515F4">
              <w:rPr>
                <w:noProof/>
                <w:webHidden/>
              </w:rPr>
              <w:fldChar w:fldCharType="separate"/>
            </w:r>
            <w:r w:rsidR="00F515F4">
              <w:rPr>
                <w:noProof/>
                <w:webHidden/>
              </w:rPr>
              <w:t>14</w:t>
            </w:r>
            <w:r w:rsidR="00F515F4">
              <w:rPr>
                <w:noProof/>
                <w:webHidden/>
              </w:rPr>
              <w:fldChar w:fldCharType="end"/>
            </w:r>
          </w:hyperlink>
        </w:p>
        <w:p w14:paraId="4998BC5D" w14:textId="06E2E1DB" w:rsidR="00F515F4" w:rsidRDefault="00F515F4">
          <w:r>
            <w:rPr>
              <w:b/>
              <w:bCs/>
            </w:rPr>
            <w:fldChar w:fldCharType="end"/>
          </w:r>
        </w:p>
      </w:sdtContent>
    </w:sdt>
    <w:p w14:paraId="164DCE94" w14:textId="10823A2F" w:rsidR="0032119D" w:rsidRPr="00802EF4" w:rsidRDefault="0032119D" w:rsidP="0032119D">
      <w:pPr>
        <w:pStyle w:val="Nadpis1"/>
        <w:rPr>
          <w:b/>
          <w:bCs/>
        </w:rPr>
      </w:pPr>
      <w:bookmarkStart w:id="0" w:name="_Toc61990540"/>
      <w:proofErr w:type="spellStart"/>
      <w:r w:rsidRPr="00802EF4">
        <w:rPr>
          <w:b/>
          <w:bCs/>
        </w:rPr>
        <w:t>Kyberkriminalita</w:t>
      </w:r>
      <w:proofErr w:type="spellEnd"/>
      <w:r w:rsidRPr="00802EF4">
        <w:rPr>
          <w:b/>
          <w:bCs/>
        </w:rPr>
        <w:t xml:space="preserve"> a elektronické důkazy</w:t>
      </w:r>
      <w:bookmarkEnd w:id="0"/>
    </w:p>
    <w:p w14:paraId="41FAC39B" w14:textId="2A20DF30" w:rsidR="0032119D" w:rsidRDefault="0032119D" w:rsidP="0032119D">
      <w:pPr>
        <w:pStyle w:val="Odstavecseseznamem"/>
        <w:numPr>
          <w:ilvl w:val="0"/>
          <w:numId w:val="1"/>
        </w:numPr>
        <w:rPr>
          <w:b/>
          <w:bCs/>
        </w:rPr>
      </w:pPr>
      <w:r w:rsidRPr="00912989">
        <w:rPr>
          <w:b/>
          <w:bCs/>
        </w:rPr>
        <w:t>Popište nároky kladené na zákonnost elektronického důkazu.</w:t>
      </w:r>
    </w:p>
    <w:p w14:paraId="4A1F0AFB" w14:textId="71380E88" w:rsidR="00776C51" w:rsidRPr="00D66ECD" w:rsidRDefault="00776C51" w:rsidP="00776C51">
      <w:pPr>
        <w:pStyle w:val="Odstavecseseznamem"/>
        <w:numPr>
          <w:ilvl w:val="1"/>
          <w:numId w:val="1"/>
        </w:numPr>
        <w:rPr>
          <w:b/>
          <w:bCs/>
        </w:rPr>
      </w:pPr>
      <w:r>
        <w:t>Český trestní řád nezná pojem elektronic</w:t>
      </w:r>
      <w:r w:rsidR="008F6B5B">
        <w:t>ký důkaz.</w:t>
      </w:r>
    </w:p>
    <w:p w14:paraId="0E92736A" w14:textId="1316940A" w:rsidR="00D66ECD" w:rsidRPr="00912989" w:rsidRDefault="00D66ECD" w:rsidP="00D66ECD">
      <w:pPr>
        <w:pStyle w:val="Odstavecseseznamem"/>
        <w:numPr>
          <w:ilvl w:val="2"/>
          <w:numId w:val="1"/>
        </w:numPr>
        <w:rPr>
          <w:b/>
          <w:bCs/>
        </w:rPr>
      </w:pPr>
      <w:r>
        <w:t>Podle § 89 TŘ je důkazem vše,</w:t>
      </w:r>
      <w:r w:rsidR="00EB48A0">
        <w:t xml:space="preserve"> co může přispět k objasnění věci.</w:t>
      </w:r>
    </w:p>
    <w:p w14:paraId="3A84EC2A" w14:textId="3E383F2F" w:rsidR="0032119D" w:rsidRDefault="00F53AD5" w:rsidP="0032119D">
      <w:pPr>
        <w:pStyle w:val="Odstavecseseznamem"/>
        <w:numPr>
          <w:ilvl w:val="1"/>
          <w:numId w:val="1"/>
        </w:numPr>
      </w:pPr>
      <w:r>
        <w:t xml:space="preserve">Prakticky </w:t>
      </w:r>
      <w:r w:rsidR="003841CC">
        <w:t>všechny důkazy jsou nějakým zásahem do práva. Odposlech se d</w:t>
      </w:r>
      <w:r w:rsidR="00C23BEF">
        <w:t>ají používat při splnění podmínek subsidiarity(že jiných prostředků nelze použít) a</w:t>
      </w:r>
      <w:r w:rsidR="00620A8F" w:rsidRPr="00620A8F">
        <w:t xml:space="preserve"> </w:t>
      </w:r>
      <w:r w:rsidR="00620A8F">
        <w:t>přiměřenosti možná jen na základě soudního příkazu podle § 88 odst. 1 trestního řádu po dobu v něm stanovenou a navíc jen ohledně v § 88 odst. 1 trestního řádu uvedených trestných činů. Dále že budoucí e-mailovou komunikace nelze zjišťovat jinak, než na základě soudního příkazu podle § 88 odst. 1 trestního řádu.</w:t>
      </w:r>
    </w:p>
    <w:p w14:paraId="0EDCCBF6" w14:textId="3F0BAC3B" w:rsidR="00620A8F" w:rsidRDefault="00620A8F" w:rsidP="0032119D">
      <w:pPr>
        <w:pStyle w:val="Odstavecseseznamem"/>
        <w:numPr>
          <w:ilvl w:val="1"/>
          <w:numId w:val="1"/>
        </w:numPr>
      </w:pPr>
      <w:r>
        <w:t xml:space="preserve">Uloženou komunikaci je možné získat za </w:t>
      </w:r>
      <w:r w:rsidR="00880665">
        <w:t>použití technických prostředků jen pokud nám to soudce dovolí.</w:t>
      </w:r>
      <w:r w:rsidR="00B70A24">
        <w:t xml:space="preserve"> Z Trestního zákoníku § 158 se můžeme dočíst, že v rámci tohoto úkonu</w:t>
      </w:r>
      <w:r w:rsidR="008B7747">
        <w:t xml:space="preserve"> můžeme pořizovat všemožné záznamy a pokud máme souhlas soudce, může být v přiměřené míře zasaženo do práva na soukromí dotčených osob. Nicméně soud musí dostatečně jasně specifikovat okruh počítačů</w:t>
      </w:r>
      <w:r w:rsidR="00243EE0">
        <w:t>, na kterých jsou uložená data.</w:t>
      </w:r>
    </w:p>
    <w:p w14:paraId="3DDB23AF" w14:textId="737F97DA" w:rsidR="00B32846" w:rsidRDefault="00B32846" w:rsidP="0032119D">
      <w:pPr>
        <w:pStyle w:val="Odstavecseseznamem"/>
        <w:numPr>
          <w:ilvl w:val="1"/>
          <w:numId w:val="1"/>
        </w:numPr>
      </w:pPr>
      <w:r>
        <w:t>Absolutní neúčinnost důkazu(neodstranitelná) je taková, kdy jsme neoprávněně získali důkaz například odposlechem – nemůžeme použít</w:t>
      </w:r>
    </w:p>
    <w:p w14:paraId="57DAE69B" w14:textId="00A18536" w:rsidR="0032119D" w:rsidRDefault="00B32846" w:rsidP="0032119D">
      <w:pPr>
        <w:pStyle w:val="Odstavecseseznamem"/>
        <w:numPr>
          <w:ilvl w:val="1"/>
          <w:numId w:val="1"/>
        </w:numPr>
      </w:pPr>
      <w:r>
        <w:t xml:space="preserve">Relativní(odstranitelná) </w:t>
      </w:r>
      <w:r w:rsidR="00CE6AF1">
        <w:t>–</w:t>
      </w:r>
      <w:r>
        <w:t xml:space="preserve"> </w:t>
      </w:r>
      <w:r w:rsidR="00CE6AF1">
        <w:t>například nám chybí podpis na lejstru – můžeme ji odstranit.</w:t>
      </w:r>
    </w:p>
    <w:p w14:paraId="09BC6B85" w14:textId="5796BCF1" w:rsidR="0032119D" w:rsidRPr="00912989" w:rsidRDefault="0032119D" w:rsidP="0032119D">
      <w:pPr>
        <w:pStyle w:val="Odstavecseseznamem"/>
        <w:numPr>
          <w:ilvl w:val="0"/>
          <w:numId w:val="1"/>
        </w:numPr>
        <w:rPr>
          <w:b/>
          <w:bCs/>
        </w:rPr>
      </w:pPr>
      <w:r w:rsidRPr="00912989">
        <w:rPr>
          <w:b/>
          <w:bCs/>
        </w:rPr>
        <w:t>Vysvětlete strukturu §230 TZ (Neoprávněný přístup k počítačovému systému a nosiči informací). Uveďte příklady k jednotlivým odstavcům.</w:t>
      </w:r>
    </w:p>
    <w:p w14:paraId="4CDB59DE" w14:textId="45F8EB63" w:rsidR="00C22EDF" w:rsidRDefault="00F55A6F" w:rsidP="00C22EDF">
      <w:pPr>
        <w:pStyle w:val="Odstavecseseznamem"/>
        <w:numPr>
          <w:ilvl w:val="1"/>
          <w:numId w:val="1"/>
        </w:numPr>
      </w:pPr>
      <w:r>
        <w:t>První odstavec hovoří o překonání bezpečnostního opatření</w:t>
      </w:r>
      <w:r w:rsidR="00091AEC">
        <w:t xml:space="preserve"> – tj. myšleno například prolomení hesla, tak bude potrestán odnětím svobody až na dvě léta</w:t>
      </w:r>
      <w:r w:rsidR="00C32E17">
        <w:t>, zákazem činnosti</w:t>
      </w:r>
      <w:r w:rsidR="0024796F">
        <w:t xml:space="preserve"> nebo propadnutím věci</w:t>
      </w:r>
    </w:p>
    <w:p w14:paraId="0D74C7B2" w14:textId="03D25B64" w:rsidR="00091AEC" w:rsidRDefault="00091AEC" w:rsidP="00C22EDF">
      <w:pPr>
        <w:pStyle w:val="Odstavecseseznamem"/>
        <w:numPr>
          <w:ilvl w:val="1"/>
          <w:numId w:val="1"/>
        </w:numPr>
      </w:pPr>
      <w:r>
        <w:t>Dru</w:t>
      </w:r>
      <w:r w:rsidR="00685249">
        <w:t xml:space="preserve">hý odstavec pojednává o </w:t>
      </w:r>
      <w:r w:rsidR="00B66461">
        <w:t xml:space="preserve">zneužití, pozměnění, smazání, vložení, prakticky jakoukoliv manipulaci s daty </w:t>
      </w:r>
      <w:r w:rsidR="00C32E17">
        <w:t>na nosiči či v systému – toto chování bude potrestáno až</w:t>
      </w:r>
      <w:r w:rsidR="0024796F">
        <w:t xml:space="preserve"> na tři léta, zákazem činnosti nebo propadnutím věci.</w:t>
      </w:r>
      <w:r w:rsidR="00EE0116">
        <w:t xml:space="preserve"> Například pokud někomu vlezu do počítače a smažu mu bakalářku</w:t>
      </w:r>
      <w:r w:rsidR="00EA6A93">
        <w:t>, nebo mu ji ukradnu.</w:t>
      </w:r>
    </w:p>
    <w:p w14:paraId="29A00305" w14:textId="0C20E7D3" w:rsidR="0024796F" w:rsidRDefault="0060238B" w:rsidP="00C22EDF">
      <w:pPr>
        <w:pStyle w:val="Odstavecseseznamem"/>
        <w:numPr>
          <w:ilvl w:val="1"/>
          <w:numId w:val="1"/>
        </w:numPr>
      </w:pPr>
      <w:r>
        <w:t xml:space="preserve">Třetí odstavec se odkazuje na předchozí dva a zmiňuje </w:t>
      </w:r>
      <w:r w:rsidR="00912989">
        <w:t>zamýšlené úmysly:</w:t>
      </w:r>
    </w:p>
    <w:p w14:paraId="656A32DC" w14:textId="182033DE" w:rsidR="00912989" w:rsidRDefault="00912989" w:rsidP="00912989">
      <w:pPr>
        <w:pStyle w:val="Odstavecseseznamem"/>
        <w:numPr>
          <w:ilvl w:val="2"/>
          <w:numId w:val="1"/>
        </w:numPr>
      </w:pPr>
      <w:r>
        <w:t>Pokud byl úmysl způsobit jinému škodu</w:t>
      </w:r>
      <w:r w:rsidR="009B473E">
        <w:t>, nebo získat sobě nebo jinému neoprávněný prospěch</w:t>
      </w:r>
    </w:p>
    <w:p w14:paraId="4EE5386E" w14:textId="53B195B8" w:rsidR="00EA6A93" w:rsidRDefault="009B473E" w:rsidP="00F13869">
      <w:pPr>
        <w:pStyle w:val="Odstavecseseznamem"/>
        <w:numPr>
          <w:ilvl w:val="2"/>
          <w:numId w:val="1"/>
        </w:numPr>
      </w:pPr>
      <w:r>
        <w:t>Pokud byl úmysl omezit funkčnost systému</w:t>
      </w:r>
      <w:r w:rsidR="00A327D6">
        <w:t>.</w:t>
      </w:r>
    </w:p>
    <w:p w14:paraId="6FCDB97F" w14:textId="38A976E8" w:rsidR="00A327D6" w:rsidRDefault="00A327D6" w:rsidP="00A327D6">
      <w:pPr>
        <w:pStyle w:val="Odstavecseseznamem"/>
        <w:numPr>
          <w:ilvl w:val="1"/>
          <w:numId w:val="1"/>
        </w:numPr>
      </w:pPr>
      <w:r>
        <w:t xml:space="preserve">Čtvrtý odstavec se znova odkazuje na první a druhý s tím, že </w:t>
      </w:r>
      <w:r w:rsidR="00A6040C">
        <w:t>bude pachatel potrestán na 1 až 5 let, pokud</w:t>
      </w:r>
      <w:r w:rsidR="009B6458">
        <w:t xml:space="preserve"> </w:t>
      </w:r>
      <w:r w:rsidR="00532ED6">
        <w:t>splní nějakou podmínku, například pokud spáchá ten čin jako člen organizované skupiny, způsobil by značnou škodu,</w:t>
      </w:r>
      <w:r w:rsidR="00D81FCC">
        <w:t xml:space="preserve"> nebo vážnou poruchu v činnosti </w:t>
      </w:r>
      <w:r w:rsidR="00D81FCC">
        <w:lastRenderedPageBreak/>
        <w:t>orgánu státní zprávy atd.</w:t>
      </w:r>
      <w:r w:rsidR="00AC7B16">
        <w:t xml:space="preserve"> Tady už můžeme mluvit o vážnějším činu, například pachatel byl členem hackerské skupiny,</w:t>
      </w:r>
      <w:r w:rsidR="00FA7B6B">
        <w:t xml:space="preserve"> nebo napadl kritický systém</w:t>
      </w:r>
    </w:p>
    <w:p w14:paraId="1C7587B0" w14:textId="21694825" w:rsidR="0032119D" w:rsidRDefault="00553A5C" w:rsidP="00D60D4D">
      <w:pPr>
        <w:pStyle w:val="Odstavecseseznamem"/>
        <w:numPr>
          <w:ilvl w:val="1"/>
          <w:numId w:val="1"/>
        </w:numPr>
      </w:pPr>
      <w:r>
        <w:t xml:space="preserve">Pátý odstavec </w:t>
      </w:r>
      <w:r w:rsidR="00744235">
        <w:t>mluví o vyšším trestu, pokud byla škoda ve velkém rozsahu, nebo získal prospěch velkého rozsahu</w:t>
      </w:r>
      <w:r w:rsidR="00FA7B6B">
        <w:t xml:space="preserve">. To už se jedná asi o nejzávažnější činy, například </w:t>
      </w:r>
      <w:r w:rsidR="007E7215">
        <w:t>ransomware v nemocnici.</w:t>
      </w:r>
    </w:p>
    <w:p w14:paraId="76827CB9" w14:textId="6295D4A2" w:rsidR="0032119D" w:rsidRDefault="0032119D" w:rsidP="0032119D">
      <w:pPr>
        <w:pStyle w:val="Odstavecseseznamem"/>
        <w:numPr>
          <w:ilvl w:val="0"/>
          <w:numId w:val="1"/>
        </w:numPr>
        <w:rPr>
          <w:b/>
          <w:bCs/>
        </w:rPr>
      </w:pPr>
      <w:r w:rsidRPr="00912989">
        <w:rPr>
          <w:b/>
          <w:bCs/>
        </w:rPr>
        <w:t>Popište rozdíly ve fungování §88 TŘ a §8 odst. 5 TŘ ve vztahu k mobilnímu telefonu.</w:t>
      </w:r>
    </w:p>
    <w:p w14:paraId="290B2E49" w14:textId="7E903535" w:rsidR="00E44342" w:rsidRDefault="00764E19" w:rsidP="00E44342">
      <w:pPr>
        <w:pStyle w:val="Odstavecseseznamem"/>
        <w:numPr>
          <w:ilvl w:val="1"/>
          <w:numId w:val="1"/>
        </w:numPr>
      </w:pPr>
      <w:r>
        <w:t>§ 8 odst. 5 trestního řádu hovoří o vydání</w:t>
      </w:r>
      <w:r w:rsidR="003E3C8B">
        <w:t xml:space="preserve"> informací</w:t>
      </w:r>
      <w:r w:rsidR="00507223">
        <w:t xml:space="preserve"> po předchozím souhlasu soudce, tj. asi se může jednat o nějakou proběhlou komunikaci, která je uložena na mobilním telefonu.</w:t>
      </w:r>
      <w:r w:rsidR="001B382D">
        <w:t xml:space="preserve"> Kdežto § 88 trestního řádu</w:t>
      </w:r>
      <w:r w:rsidR="00D307FB">
        <w:t xml:space="preserve"> hovoří o možném odposlechu a záznamu telekomunikačního provozu</w:t>
      </w:r>
      <w:r w:rsidR="006C5BCB">
        <w:t>, který je možný při splnění podmínek subsidiarity</w:t>
      </w:r>
      <w:r w:rsidR="0011721E">
        <w:t>(že jiných prostředků nelze použít) a přiměřenosti</w:t>
      </w:r>
      <w:r w:rsidR="004765D7">
        <w:t xml:space="preserve"> jen na základě soudního příkazu podle § 88 odst. 1 trestního řádu po dobu něm stanovenou a jen v těch uvedených trestných činech</w:t>
      </w:r>
    </w:p>
    <w:p w14:paraId="7D563932" w14:textId="2F5ECADD" w:rsidR="00E413B0" w:rsidRPr="00E44342" w:rsidRDefault="00E413B0" w:rsidP="00E44342">
      <w:pPr>
        <w:pStyle w:val="Odstavecseseznamem"/>
        <w:numPr>
          <w:ilvl w:val="1"/>
          <w:numId w:val="1"/>
        </w:numPr>
      </w:pPr>
      <w:r>
        <w:t>Čili rozdíly jsou takové, že § 8 odst. 5 TŘ mluví o vydání uložené informace</w:t>
      </w:r>
      <w:r w:rsidR="00C160F6">
        <w:t xml:space="preserve"> na základě souhlasu soudce a § 88 o odposlechu komunikace na základě soudního příkazu. </w:t>
      </w:r>
    </w:p>
    <w:p w14:paraId="7AAA912B" w14:textId="6D32347D" w:rsidR="0032119D" w:rsidRDefault="0032119D" w:rsidP="0032119D">
      <w:pPr>
        <w:pStyle w:val="Odstavecseseznamem"/>
        <w:numPr>
          <w:ilvl w:val="0"/>
          <w:numId w:val="1"/>
        </w:numPr>
        <w:rPr>
          <w:b/>
          <w:bCs/>
        </w:rPr>
      </w:pPr>
      <w:r w:rsidRPr="00912989">
        <w:rPr>
          <w:b/>
          <w:bCs/>
        </w:rPr>
        <w:t>Vysvětlete, jaké elektronické důkazy mohou hrát roli při vyšetřování trestného činu vraždy podle §140 TZ.</w:t>
      </w:r>
    </w:p>
    <w:p w14:paraId="3A149353" w14:textId="63DFD054" w:rsidR="00F17D9B" w:rsidRDefault="00F17D9B" w:rsidP="00F17D9B">
      <w:pPr>
        <w:pStyle w:val="Odstavecseseznamem"/>
        <w:numPr>
          <w:ilvl w:val="1"/>
          <w:numId w:val="1"/>
        </w:numPr>
      </w:pPr>
      <w:r>
        <w:t>Může se jednat o nějaké výhružné</w:t>
      </w:r>
      <w:r w:rsidR="00457757">
        <w:t xml:space="preserve"> nebo urážlivé</w:t>
      </w:r>
      <w:r>
        <w:t xml:space="preserve"> zprávy, </w:t>
      </w:r>
      <w:r w:rsidR="00457757">
        <w:t xml:space="preserve">které by naznačovaly jistý úmysl, například </w:t>
      </w:r>
      <w:r w:rsidR="00C01C93">
        <w:t>urážky kvůli rase, politickému přesvědčení nebo by zprávy naznačovaly předchozí rozmysl nebo uvážení.</w:t>
      </w:r>
    </w:p>
    <w:p w14:paraId="3E6403FC" w14:textId="038CD77E" w:rsidR="00C078BD" w:rsidRDefault="00C64F91" w:rsidP="001C08E1">
      <w:pPr>
        <w:pStyle w:val="Odstavecseseznamem"/>
        <w:numPr>
          <w:ilvl w:val="1"/>
          <w:numId w:val="1"/>
        </w:numPr>
      </w:pPr>
      <w:r>
        <w:t xml:space="preserve">Nebo </w:t>
      </w:r>
      <w:r w:rsidR="008A5AA5">
        <w:t xml:space="preserve">přiznání na </w:t>
      </w:r>
      <w:proofErr w:type="spellStart"/>
      <w:r w:rsidR="008A5AA5">
        <w:t>WoWku</w:t>
      </w:r>
      <w:proofErr w:type="spellEnd"/>
      <w:r w:rsidR="009A06A5">
        <w:t xml:space="preserve"> – „zabil jsem ženu a zakopal ji na zahradě“.</w:t>
      </w:r>
    </w:p>
    <w:p w14:paraId="77A4E969" w14:textId="60CC53FC" w:rsidR="00FD7393" w:rsidRDefault="0032119D" w:rsidP="0032119D">
      <w:pPr>
        <w:pStyle w:val="Odstavecseseznamem"/>
        <w:numPr>
          <w:ilvl w:val="0"/>
          <w:numId w:val="1"/>
        </w:numPr>
        <w:rPr>
          <w:b/>
          <w:bCs/>
        </w:rPr>
      </w:pPr>
      <w:r w:rsidRPr="00912989">
        <w:rPr>
          <w:b/>
          <w:bCs/>
        </w:rPr>
        <w:t xml:space="preserve">Popište, co je to data </w:t>
      </w:r>
      <w:proofErr w:type="spellStart"/>
      <w:r w:rsidRPr="00912989">
        <w:rPr>
          <w:b/>
          <w:bCs/>
        </w:rPr>
        <w:t>retention</w:t>
      </w:r>
      <w:proofErr w:type="spellEnd"/>
      <w:r w:rsidRPr="00912989">
        <w:rPr>
          <w:b/>
          <w:bCs/>
        </w:rPr>
        <w:t xml:space="preserve"> a vysvětlete zásadní milníky v jeho legislativní historii (rozhodovací praxe SDEU a ÚS).</w:t>
      </w:r>
    </w:p>
    <w:p w14:paraId="19BECF41" w14:textId="3EE1280C" w:rsidR="002C49D3" w:rsidRDefault="002C49D3" w:rsidP="002C49D3">
      <w:pPr>
        <w:pStyle w:val="Odstavecseseznamem"/>
        <w:numPr>
          <w:ilvl w:val="1"/>
          <w:numId w:val="1"/>
        </w:numPr>
      </w:pPr>
      <w:r>
        <w:t xml:space="preserve">Data </w:t>
      </w:r>
      <w:proofErr w:type="spellStart"/>
      <w:r>
        <w:t>retention</w:t>
      </w:r>
      <w:proofErr w:type="spellEnd"/>
      <w:r>
        <w:t xml:space="preserve"> označuje ukládání provozních a lokalizačních údajů u poskytovatelů</w:t>
      </w:r>
      <w:r w:rsidR="00744FA1">
        <w:t xml:space="preserve"> telekomunikačních služeb</w:t>
      </w:r>
      <w:r w:rsidR="00606802">
        <w:t>, hlavně se to využívá pro účely vyšetřování trestné činnosti. Ukládají se informace o proběhlé komunikaci, bez znalosti jejího obsahu.</w:t>
      </w:r>
      <w:r w:rsidR="00CF6691">
        <w:t xml:space="preserve"> Data uchovávají poskytovatelé po dobu 6 měsíců</w:t>
      </w:r>
      <w:r w:rsidR="00806D26">
        <w:t>, viz § 97 odst. 3 zákona 127/2005 Sb.</w:t>
      </w:r>
      <w:r w:rsidR="000E1817">
        <w:t xml:space="preserve"> zákonu o elektronických komunikacích</w:t>
      </w:r>
      <w:r w:rsidR="0007233E">
        <w:t>.</w:t>
      </w:r>
    </w:p>
    <w:p w14:paraId="6C680721" w14:textId="5C02E193" w:rsidR="001D5239" w:rsidRDefault="001D5239" w:rsidP="002C49D3">
      <w:pPr>
        <w:pStyle w:val="Odstavecseseznamem"/>
        <w:numPr>
          <w:ilvl w:val="1"/>
          <w:numId w:val="1"/>
        </w:numPr>
      </w:pPr>
      <w:r>
        <w:t>Soudní dvůr EU</w:t>
      </w:r>
      <w:r w:rsidR="00F65833">
        <w:t xml:space="preserve"> v roce 2020</w:t>
      </w:r>
      <w:r>
        <w:t xml:space="preserve"> řekl, že plošné shromažďování provozních a lokalizačních údajů </w:t>
      </w:r>
      <w:r w:rsidR="002B7FD3">
        <w:t xml:space="preserve">na základě směrnice o data </w:t>
      </w:r>
      <w:proofErr w:type="spellStart"/>
      <w:r w:rsidR="002B7FD3">
        <w:t>retention</w:t>
      </w:r>
      <w:proofErr w:type="spellEnd"/>
      <w:r w:rsidR="002B7FD3">
        <w:t xml:space="preserve"> je neústavní – tzn. je vážným zásahem do práva na soukromí i práva na ochranu osobních údajů.</w:t>
      </w:r>
    </w:p>
    <w:p w14:paraId="21D06441" w14:textId="65F10EF0" w:rsidR="00C078BD" w:rsidRDefault="00F65833" w:rsidP="00C078BD">
      <w:pPr>
        <w:pStyle w:val="Odstavecseseznamem"/>
        <w:numPr>
          <w:ilvl w:val="1"/>
          <w:numId w:val="1"/>
        </w:numPr>
      </w:pPr>
      <w:r>
        <w:t>Ústavní soud v</w:t>
      </w:r>
      <w:r w:rsidR="00D45953">
        <w:t xml:space="preserve"> ČR </w:t>
      </w:r>
      <w:r w:rsidR="000B5AE5">
        <w:t xml:space="preserve">v roce 2019 </w:t>
      </w:r>
      <w:r w:rsidR="00577924">
        <w:t xml:space="preserve">ale zamítnul návrh na zrušení </w:t>
      </w:r>
      <w:r w:rsidR="00D03B70">
        <w:t xml:space="preserve">české úpravy data </w:t>
      </w:r>
      <w:proofErr w:type="spellStart"/>
      <w:r w:rsidR="00D03B70">
        <w:t>retention</w:t>
      </w:r>
      <w:proofErr w:type="spellEnd"/>
      <w:r w:rsidR="00D03B70">
        <w:t>. Sice uznává, že data jsou velmi citlivá</w:t>
      </w:r>
      <w:r w:rsidR="007C6FB4">
        <w:t xml:space="preserve">, ale na rozsudky </w:t>
      </w:r>
      <w:r w:rsidR="00983955">
        <w:t>SDEU moc nepřihlíží a konstatuje, že evropské státy mají různé reakce.</w:t>
      </w:r>
    </w:p>
    <w:p w14:paraId="5D6E2793" w14:textId="504F6AA2" w:rsidR="00C078BD" w:rsidRDefault="00C078BD" w:rsidP="00C078BD">
      <w:r>
        <w:br w:type="page"/>
      </w:r>
    </w:p>
    <w:p w14:paraId="1981597F" w14:textId="475EFB02" w:rsidR="00626FE4" w:rsidRPr="00802EF4" w:rsidRDefault="00626FE4" w:rsidP="00C078BD">
      <w:pPr>
        <w:pStyle w:val="Nadpis1"/>
        <w:rPr>
          <w:b/>
          <w:bCs/>
        </w:rPr>
      </w:pPr>
      <w:bookmarkStart w:id="1" w:name="_Toc61990541"/>
      <w:r w:rsidRPr="00802EF4">
        <w:rPr>
          <w:b/>
          <w:bCs/>
        </w:rPr>
        <w:lastRenderedPageBreak/>
        <w:t>Kybernetická bezpečnost</w:t>
      </w:r>
      <w:bookmarkEnd w:id="1"/>
    </w:p>
    <w:p w14:paraId="12532DB0" w14:textId="30582062" w:rsidR="00626FE4" w:rsidRPr="00395E06" w:rsidRDefault="00626FE4" w:rsidP="00C078BD">
      <w:pPr>
        <w:pStyle w:val="Odstavecseseznamem"/>
        <w:numPr>
          <w:ilvl w:val="0"/>
          <w:numId w:val="2"/>
        </w:numPr>
        <w:rPr>
          <w:b/>
          <w:bCs/>
        </w:rPr>
      </w:pPr>
      <w:r w:rsidRPr="00395E06">
        <w:rPr>
          <w:b/>
          <w:bCs/>
        </w:rPr>
        <w:t>Jakými předpisy je upravována oblast kybernetické bezpečnosti? Čemu se věnují?</w:t>
      </w:r>
    </w:p>
    <w:p w14:paraId="3FDF0FAA" w14:textId="1D2A9A9F" w:rsidR="00E0269B" w:rsidRDefault="00E0269B" w:rsidP="00E0269B">
      <w:pPr>
        <w:pStyle w:val="Odstavecseseznamem"/>
        <w:numPr>
          <w:ilvl w:val="1"/>
          <w:numId w:val="2"/>
        </w:numPr>
      </w:pPr>
      <w:r>
        <w:t>Prvním je určitě zákon č. 181/2014 Sb. o kybernetické bezpečnosti</w:t>
      </w:r>
      <w:r w:rsidR="00671C43">
        <w:t xml:space="preserve">, který především </w:t>
      </w:r>
      <w:r w:rsidR="00CE650C">
        <w:t>vymezuje kybernetický prostor a kybernetickou bezpečnost</w:t>
      </w:r>
      <w:r w:rsidR="0013565F">
        <w:t>. Stanovuje povinnosti jednotlivým subjektům, kteří se podílejí na fungování kyberprostoru</w:t>
      </w:r>
      <w:r w:rsidR="00345FD1">
        <w:t xml:space="preserve"> a taky upravuje dozor, který vykonává NÚKIB a taky sankce.</w:t>
      </w:r>
    </w:p>
    <w:p w14:paraId="067A878D" w14:textId="7DFA8A9C" w:rsidR="00055EF1" w:rsidRDefault="00055EF1" w:rsidP="00E0269B">
      <w:pPr>
        <w:pStyle w:val="Odstavecseseznamem"/>
        <w:numPr>
          <w:ilvl w:val="1"/>
          <w:numId w:val="2"/>
        </w:numPr>
      </w:pPr>
      <w:r>
        <w:t>Z mezinárodních dokumentů to jsou určitě normy skupiny ISO 27000</w:t>
      </w:r>
      <w:r w:rsidR="00045783">
        <w:t xml:space="preserve">, ten první specifikuje </w:t>
      </w:r>
      <w:r w:rsidR="001866F4">
        <w:t xml:space="preserve">pojmy používané v ostatních normách. Nejhlavnější je ISO 27001, která definuje požadavky na management bezpečnosti informací </w:t>
      </w:r>
      <w:r w:rsidR="00CA0617">
        <w:t>a také řízení bezpečnosti důvěry informací pro zaměstnance, procesy a IT systémy.</w:t>
      </w:r>
      <w:r w:rsidR="00656E65">
        <w:t xml:space="preserve"> </w:t>
      </w:r>
    </w:p>
    <w:p w14:paraId="0FA46E1F" w14:textId="5256DE11" w:rsidR="00656E65" w:rsidRDefault="00656E65" w:rsidP="00656E65">
      <w:pPr>
        <w:pStyle w:val="Odstavecseseznamem"/>
        <w:numPr>
          <w:ilvl w:val="2"/>
          <w:numId w:val="2"/>
        </w:numPr>
      </w:pPr>
      <w:r>
        <w:t>NIST</w:t>
      </w:r>
      <w:r w:rsidR="00046C67">
        <w:t xml:space="preserve"> – konkrétnější </w:t>
      </w:r>
      <w:r w:rsidR="00395E06">
        <w:t>a techničtější normy, například pro bezpečné šifrování atd.</w:t>
      </w:r>
    </w:p>
    <w:p w14:paraId="1C0C7688" w14:textId="42EF0313" w:rsidR="00626FE4" w:rsidRPr="008E6415" w:rsidRDefault="00626FE4" w:rsidP="00C078BD">
      <w:pPr>
        <w:pStyle w:val="Odstavecseseznamem"/>
        <w:numPr>
          <w:ilvl w:val="0"/>
          <w:numId w:val="2"/>
        </w:numPr>
        <w:rPr>
          <w:b/>
          <w:bCs/>
        </w:rPr>
      </w:pPr>
      <w:r w:rsidRPr="008E6415">
        <w:rPr>
          <w:b/>
          <w:bCs/>
        </w:rPr>
        <w:t>Co je to "kritická infrastruktura", "kritická informační infrastruktura", "prvek kritické infrastruktury" a "provozovatel prvku kritické infrastruktury"? Jak spolu tyto pojmy souvisí?</w:t>
      </w:r>
    </w:p>
    <w:p w14:paraId="6655D61A" w14:textId="6400FD01" w:rsidR="00EC3DA9" w:rsidRDefault="00EC3DA9" w:rsidP="00EC3DA9">
      <w:pPr>
        <w:pStyle w:val="Odstavecseseznamem"/>
        <w:numPr>
          <w:ilvl w:val="1"/>
          <w:numId w:val="2"/>
        </w:numPr>
      </w:pPr>
      <w:r w:rsidRPr="006309AD">
        <w:rPr>
          <w:b/>
          <w:bCs/>
        </w:rPr>
        <w:t>Kritická infrastruktura</w:t>
      </w:r>
      <w:r w:rsidR="008E6415">
        <w:t xml:space="preserve"> dle zákona č. </w:t>
      </w:r>
      <w:r w:rsidR="000C5C55">
        <w:t>240</w:t>
      </w:r>
      <w:r w:rsidR="008E6415">
        <w:t>/20</w:t>
      </w:r>
      <w:r w:rsidR="000C5C55">
        <w:t>0</w:t>
      </w:r>
      <w:r w:rsidR="008E6415">
        <w:t>0 Sb.</w:t>
      </w:r>
      <w:r w:rsidR="005E1097">
        <w:t xml:space="preserve"> o krizovém řízení,</w:t>
      </w:r>
      <w:r w:rsidR="001C6763">
        <w:t xml:space="preserve"> je taková, </w:t>
      </w:r>
      <w:r w:rsidR="008E6415">
        <w:t>u které by narušení její funkce mělo závažný dopad na bezpečnost státu, zabezpečení</w:t>
      </w:r>
      <w:r w:rsidR="003B42BB">
        <w:t xml:space="preserve"> základních životních potřeb obyvatelstva, zdraví osob nebo ekonomiky státu.</w:t>
      </w:r>
    </w:p>
    <w:p w14:paraId="76B6E0AF" w14:textId="4D2D8770" w:rsidR="000C1C5C" w:rsidRDefault="00B073B2" w:rsidP="000C1C5C">
      <w:pPr>
        <w:pStyle w:val="Odstavecseseznamem"/>
        <w:numPr>
          <w:ilvl w:val="1"/>
          <w:numId w:val="2"/>
        </w:numPr>
      </w:pPr>
      <w:r w:rsidRPr="006309AD">
        <w:rPr>
          <w:b/>
          <w:bCs/>
        </w:rPr>
        <w:t>Prvek KI</w:t>
      </w:r>
      <w:r>
        <w:t xml:space="preserve"> je např. stavba, zařízení nebo veřejná infrastruktura</w:t>
      </w:r>
      <w:r w:rsidR="006309AD">
        <w:t>, která určena podle kritérii v nařízení vlády č. 432/2010 Sb. o kritériích pro určení prvku kritické infrastruktury.</w:t>
      </w:r>
      <w:r w:rsidR="00D32D79">
        <w:t xml:space="preserve"> Může to být výrobna elektřiny,</w:t>
      </w:r>
      <w:r w:rsidR="00AC5A26">
        <w:t xml:space="preserve"> tepla, pozemní komunikace atd.</w:t>
      </w:r>
    </w:p>
    <w:p w14:paraId="66B1B9D0" w14:textId="6F865634" w:rsidR="00B85D55" w:rsidRDefault="00B85D55" w:rsidP="000C1C5C">
      <w:pPr>
        <w:pStyle w:val="Odstavecseseznamem"/>
        <w:numPr>
          <w:ilvl w:val="1"/>
          <w:numId w:val="2"/>
        </w:numPr>
      </w:pPr>
      <w:r w:rsidRPr="00F67D9C">
        <w:rPr>
          <w:b/>
          <w:bCs/>
        </w:rPr>
        <w:t>Provozovatel prvku kritické infrastruktury je subjekt KI</w:t>
      </w:r>
      <w:r w:rsidR="002A5696">
        <w:t>, který odpovídá za ochranu prvku K</w:t>
      </w:r>
      <w:r w:rsidR="00D32621">
        <w:t>I</w:t>
      </w:r>
      <w:r w:rsidR="002A5696">
        <w:t> a za tímto účelem zpracovává plán krizové připravenosti subjektu KI.</w:t>
      </w:r>
      <w:r w:rsidR="00F67D9C">
        <w:t xml:space="preserve"> V něm jsou identifikována možná ohrožení funkce prvku KI a stanovena opatření na jeho ochranu.</w:t>
      </w:r>
    </w:p>
    <w:p w14:paraId="3B441AAA" w14:textId="77974F14" w:rsidR="00F67D9C" w:rsidRDefault="00F67D9C" w:rsidP="000C1C5C">
      <w:pPr>
        <w:pStyle w:val="Odstavecseseznamem"/>
        <w:numPr>
          <w:ilvl w:val="1"/>
          <w:numId w:val="2"/>
        </w:numPr>
      </w:pPr>
      <w:r w:rsidRPr="00BD7FE4">
        <w:rPr>
          <w:b/>
          <w:bCs/>
        </w:rPr>
        <w:t>Kritická informační infrastruktura</w:t>
      </w:r>
      <w:r w:rsidR="00AC2EDD">
        <w:t xml:space="preserve"> je prvek nebo systém prvků kritické infrastruktury v odvětví komunikační</w:t>
      </w:r>
      <w:r w:rsidR="00096A5A">
        <w:t>ch</w:t>
      </w:r>
      <w:r w:rsidR="00AC2EDD">
        <w:t xml:space="preserve"> a informační</w:t>
      </w:r>
      <w:r w:rsidR="00096A5A">
        <w:t>ch</w:t>
      </w:r>
      <w:r w:rsidR="00AC2EDD">
        <w:t xml:space="preserve"> </w:t>
      </w:r>
      <w:r w:rsidR="00A80A44">
        <w:t>technologií</w:t>
      </w:r>
      <w:r w:rsidR="00BD7FE4">
        <w:t xml:space="preserve"> v oblasti kybernetické bezpečnosti. </w:t>
      </w:r>
      <w:hyperlink r:id="rId6" w:history="1">
        <w:r w:rsidR="00BD7FE4" w:rsidRPr="00A7486F">
          <w:rPr>
            <w:rStyle w:val="Hypertextovodkaz"/>
          </w:rPr>
          <w:t>https://img.ihned.cz/attachment.php/300/61041300/CER0yIPTNf9SMhwjnH6qz8Wm1Jd5OQAL/2schemakii-cz.pdf</w:t>
        </w:r>
      </w:hyperlink>
      <w:r w:rsidR="00BD7FE4">
        <w:t xml:space="preserve"> - abychom se mohli stát KII, musíme splnit celkem dost </w:t>
      </w:r>
      <w:r w:rsidR="00DE0420">
        <w:t>„přísná“ pravidla</w:t>
      </w:r>
      <w:r w:rsidR="0060640C">
        <w:t xml:space="preserve"> – </w:t>
      </w:r>
      <w:r w:rsidR="0060640C" w:rsidRPr="0060640C">
        <w:rPr>
          <w:b/>
          <w:bCs/>
        </w:rPr>
        <w:t>průřezová a odvětvová kritéria</w:t>
      </w:r>
      <w:r w:rsidR="00DE0420">
        <w:t xml:space="preserve"> – např. omezení poskytování nezbytných služeb pro více než 125k lidí,</w:t>
      </w:r>
      <w:r w:rsidR="00C1439E">
        <w:t xml:space="preserve"> více než 250 mrtvých nebo více než 25000 osob s následnou hospitalizací a pak ještě odvětvová kritéria v oblasti kyberbezpečnosti</w:t>
      </w:r>
      <w:r w:rsidR="002448FB">
        <w:t xml:space="preserve"> – např. jsme datové centrum, ústředna mobilní sítě, pozemní propojovací síť nebo přepravní uzel.</w:t>
      </w:r>
    </w:p>
    <w:p w14:paraId="252BFEB9" w14:textId="55397BF2" w:rsidR="00626FE4" w:rsidRPr="008C5530" w:rsidRDefault="00626FE4" w:rsidP="00C078BD">
      <w:pPr>
        <w:pStyle w:val="Odstavecseseznamem"/>
        <w:numPr>
          <w:ilvl w:val="0"/>
          <w:numId w:val="2"/>
        </w:numPr>
        <w:rPr>
          <w:b/>
          <w:bCs/>
        </w:rPr>
      </w:pPr>
      <w:r w:rsidRPr="008C5530">
        <w:rPr>
          <w:b/>
          <w:bCs/>
        </w:rPr>
        <w:t>Proč současná legislativa v oblasti kybernetické bezpečnosti nestanoví povinnosti individuálním uživatelům?</w:t>
      </w:r>
    </w:p>
    <w:p w14:paraId="5176CA3E" w14:textId="28F097AE" w:rsidR="00684D54" w:rsidRDefault="007C7224" w:rsidP="00684D54">
      <w:pPr>
        <w:pStyle w:val="Odstavecseseznamem"/>
        <w:numPr>
          <w:ilvl w:val="1"/>
          <w:numId w:val="2"/>
        </w:numPr>
      </w:pPr>
      <w:r>
        <w:t>Jakože by jim</w:t>
      </w:r>
      <w:r w:rsidR="002F14A0">
        <w:t xml:space="preserve"> nařídila </w:t>
      </w:r>
      <w:r w:rsidR="008C5530">
        <w:t xml:space="preserve">povinnost mít antivirus a nepoužívat </w:t>
      </w:r>
      <w:r w:rsidR="00050277">
        <w:t>heslo 123456? Když ani nedokáže kontrolovat své</w:t>
      </w:r>
      <w:r w:rsidR="00DC7A9C">
        <w:t xml:space="preserve"> instituce, kde je situace někdy úplně </w:t>
      </w:r>
      <w:r w:rsidR="004711A7">
        <w:t>nepředstavitelná.</w:t>
      </w:r>
    </w:p>
    <w:p w14:paraId="30F7AC1A" w14:textId="183BCEA0" w:rsidR="008F140B" w:rsidRDefault="008F140B" w:rsidP="00684D54">
      <w:pPr>
        <w:pStyle w:val="Odstavecseseznamem"/>
        <w:numPr>
          <w:ilvl w:val="1"/>
          <w:numId w:val="2"/>
        </w:numPr>
      </w:pPr>
      <w:r>
        <w:t>Nařízení směřuje</w:t>
      </w:r>
      <w:r w:rsidR="00822855">
        <w:t xml:space="preserve"> spíše proti poskytovatelům služeb – v české právní ústavě jde konkrétně o poskytovatele služeb elektronických komunikací</w:t>
      </w:r>
    </w:p>
    <w:p w14:paraId="5E61AAC4" w14:textId="2981B5FF" w:rsidR="008F6F85" w:rsidRDefault="008F6F85" w:rsidP="00684D54">
      <w:pPr>
        <w:pStyle w:val="Odstavecseseznamem"/>
        <w:numPr>
          <w:ilvl w:val="1"/>
          <w:numId w:val="2"/>
        </w:numPr>
      </w:pPr>
      <w:r>
        <w:t xml:space="preserve">Nařízení povinností se tak děje interně v rámci </w:t>
      </w:r>
      <w:r w:rsidR="00BE2C25">
        <w:t>firem/podniků, kde si každý nastaví bezpečnostní politiky podle sebe.</w:t>
      </w:r>
    </w:p>
    <w:p w14:paraId="23D7C558" w14:textId="51EF508F" w:rsidR="00626FE4" w:rsidRPr="00C32B75" w:rsidRDefault="00626FE4" w:rsidP="00C078BD">
      <w:pPr>
        <w:pStyle w:val="Odstavecseseznamem"/>
        <w:numPr>
          <w:ilvl w:val="0"/>
          <w:numId w:val="2"/>
        </w:numPr>
        <w:rPr>
          <w:b/>
          <w:bCs/>
        </w:rPr>
      </w:pPr>
      <w:r w:rsidRPr="00C32B75">
        <w:rPr>
          <w:b/>
          <w:bCs/>
        </w:rPr>
        <w:t>Jaký je vztah právní úpravy kybernetické bezpečnosti a právní úpravy ochrany osobních údajů?</w:t>
      </w:r>
    </w:p>
    <w:p w14:paraId="64F25384" w14:textId="1A15224D" w:rsidR="00C32B75" w:rsidRDefault="000D2070" w:rsidP="00C32B75">
      <w:pPr>
        <w:pStyle w:val="Odstavecseseznamem"/>
        <w:numPr>
          <w:ilvl w:val="1"/>
          <w:numId w:val="2"/>
        </w:numPr>
      </w:pPr>
      <w:r>
        <w:t>Smysl kyberbezpečnosti – ochrana základních práv</w:t>
      </w:r>
    </w:p>
    <w:p w14:paraId="37D1B26C" w14:textId="6F8D711C" w:rsidR="00BC7CD0" w:rsidRDefault="00BC7CD0" w:rsidP="00C32B75">
      <w:pPr>
        <w:pStyle w:val="Odstavecseseznamem"/>
        <w:numPr>
          <w:ilvl w:val="1"/>
          <w:numId w:val="2"/>
        </w:numPr>
      </w:pPr>
      <w:r>
        <w:lastRenderedPageBreak/>
        <w:t>Spole</w:t>
      </w:r>
      <w:r w:rsidR="005E0B46">
        <w:t>čný mají princip ochrany informačního sebeurčení člověka</w:t>
      </w:r>
      <w:r w:rsidR="00E50B4D">
        <w:t xml:space="preserve"> – tzn. ochrana diskrétních informací</w:t>
      </w:r>
      <w:r w:rsidR="008C6EF5">
        <w:t xml:space="preserve">, právo na soukromí, </w:t>
      </w:r>
      <w:r w:rsidR="001940D8">
        <w:t>svobodný přístup k</w:t>
      </w:r>
      <w:r w:rsidR="005C15EF">
        <w:t> </w:t>
      </w:r>
      <w:r w:rsidR="001940D8">
        <w:t>informacím</w:t>
      </w:r>
    </w:p>
    <w:p w14:paraId="0EA9107F" w14:textId="37D36284" w:rsidR="005C15EF" w:rsidRDefault="009C3336" w:rsidP="005C15EF">
      <w:pPr>
        <w:pStyle w:val="Odstavecseseznamem"/>
        <w:numPr>
          <w:ilvl w:val="1"/>
          <w:numId w:val="2"/>
        </w:numPr>
      </w:pPr>
      <w:hyperlink r:id="rId7" w:history="1">
        <w:r w:rsidR="005C15EF">
          <w:rPr>
            <w:rStyle w:val="Hypertextovodkaz"/>
            <w:rFonts w:ascii="Calibri" w:hAnsi="Calibri" w:cs="Calibri"/>
            <w:b/>
            <w:bCs/>
            <w:color w:val="1155CC"/>
          </w:rPr>
          <w:t>https://science.law.muni.cz/knihy/monografie/Polcak_Kyberneticka_bezpecnost.pdf</w:t>
        </w:r>
      </w:hyperlink>
      <w:r w:rsidR="005C15EF">
        <w:t xml:space="preserve"> - strana 19 a 66</w:t>
      </w:r>
    </w:p>
    <w:p w14:paraId="672AC59A" w14:textId="0440FA01" w:rsidR="001940D8" w:rsidRDefault="00F558AF" w:rsidP="001940D8">
      <w:pPr>
        <w:pStyle w:val="Odstavecseseznamem"/>
        <w:numPr>
          <w:ilvl w:val="1"/>
          <w:numId w:val="2"/>
        </w:numPr>
      </w:pPr>
      <w:r>
        <w:t>Pokud člověk se podílí na nějakém bezpečnostním incidentu</w:t>
      </w:r>
      <w:r w:rsidR="00F3295D">
        <w:t>, tak p</w:t>
      </w:r>
      <w:r w:rsidR="001940D8">
        <w:t xml:space="preserve">ředpokladem uplatnění </w:t>
      </w:r>
      <w:r w:rsidR="005C15EF">
        <w:t>individuální odpovědnosti</w:t>
      </w:r>
      <w:r w:rsidR="00CF7BA4">
        <w:t xml:space="preserve"> uživatele, ať už o odpovědnost soukromoprávní nebo trestní, je totiž jeho ztotožnění. To přitom vyžaduje použití takových mechanismů,</w:t>
      </w:r>
      <w:r w:rsidR="002B1783">
        <w:t xml:space="preserve"> které mohou obecně ohrozit shora jeho anonymitu a mohou být v kontradikci s požadavky evropské ochrany soukromí a osobních údajů.</w:t>
      </w:r>
    </w:p>
    <w:p w14:paraId="27BA750C" w14:textId="77D09B5B" w:rsidR="00E95A3D" w:rsidRPr="006F16EF" w:rsidRDefault="00626FE4" w:rsidP="00C078BD">
      <w:pPr>
        <w:pStyle w:val="Odstavecseseznamem"/>
        <w:numPr>
          <w:ilvl w:val="0"/>
          <w:numId w:val="2"/>
        </w:numPr>
        <w:rPr>
          <w:b/>
          <w:bCs/>
        </w:rPr>
      </w:pPr>
      <w:r w:rsidRPr="006F16EF">
        <w:rPr>
          <w:b/>
          <w:bCs/>
        </w:rPr>
        <w:t>Vysvětlete, co je to analýza rizik a jak do ní vstupují varování vydaná NÚKIB.</w:t>
      </w:r>
    </w:p>
    <w:p w14:paraId="668C2FFB" w14:textId="423565B8" w:rsidR="00382E3B" w:rsidRDefault="00A31E9F" w:rsidP="006A7310">
      <w:pPr>
        <w:pStyle w:val="Odstavecseseznamem"/>
        <w:numPr>
          <w:ilvl w:val="1"/>
          <w:numId w:val="2"/>
        </w:numPr>
      </w:pPr>
      <w:r>
        <w:t xml:space="preserve">Analýza rizik je </w:t>
      </w:r>
      <w:r w:rsidR="002178FD">
        <w:t>rozbor a zkoumání nežádoucích stavů, kter</w:t>
      </w:r>
      <w:r w:rsidR="00366D23">
        <w:t>é</w:t>
      </w:r>
      <w:r w:rsidR="002178FD">
        <w:t xml:space="preserve"> mohou s nějakou pravděpodobností nastat a způsobit nám škody. Analýzou hledáme nejzávažnější rizika, která potřebujeme vhodnými opatřeními eliminovat, nebo zcela zamezit jejich vzniku.</w:t>
      </w:r>
    </w:p>
    <w:p w14:paraId="18E4F928" w14:textId="43C137F3" w:rsidR="006A7310" w:rsidRDefault="006A7310" w:rsidP="006A7310">
      <w:pPr>
        <w:pStyle w:val="Odstavecseseznamem"/>
        <w:numPr>
          <w:ilvl w:val="1"/>
          <w:numId w:val="2"/>
        </w:numPr>
      </w:pPr>
      <w:r>
        <w:t>riziko = dopad x hrozba x zranitelnost</w:t>
      </w:r>
    </w:p>
    <w:p w14:paraId="67CDF2F3" w14:textId="3A2F32DB" w:rsidR="006A7310" w:rsidRDefault="00C82103" w:rsidP="006A7310">
      <w:pPr>
        <w:pStyle w:val="Odstavecseseznamem"/>
        <w:numPr>
          <w:ilvl w:val="1"/>
          <w:numId w:val="2"/>
        </w:numPr>
      </w:pPr>
      <w:r>
        <w:t xml:space="preserve">Varování </w:t>
      </w:r>
      <w:proofErr w:type="spellStart"/>
      <w:r>
        <w:t>NÚKIBu</w:t>
      </w:r>
      <w:proofErr w:type="spellEnd"/>
      <w:r>
        <w:t xml:space="preserve"> </w:t>
      </w:r>
      <w:r w:rsidR="008D27EA">
        <w:t>jsou upozornění na existenci hrozby v oblasti kyberbezpečnosti. Subjekty, které spadají pod zákon ZKB(181/2014Sb.) jsou povinny se touto hrozbou zabývat a zohlednit ji v analýze rizik</w:t>
      </w:r>
      <w:r w:rsidR="00055CBE">
        <w:t>. Varování neznamená zákaz používání daných technických prostředků,</w:t>
      </w:r>
      <w:r w:rsidR="00217342">
        <w:t xml:space="preserve"> ale nutnost zvážit případné bezpečnostní riziko související s jejím užíváním. Příklad NÚKIB a Huawei.</w:t>
      </w:r>
    </w:p>
    <w:p w14:paraId="0BE73A82" w14:textId="3A631601" w:rsidR="00626FE4" w:rsidRDefault="00E95A3D" w:rsidP="00E95A3D">
      <w:r>
        <w:br w:type="page"/>
      </w:r>
    </w:p>
    <w:p w14:paraId="1C582016" w14:textId="77777777" w:rsidR="00C77617" w:rsidRPr="00802EF4" w:rsidRDefault="00C77617" w:rsidP="00802EF4">
      <w:pPr>
        <w:pStyle w:val="Nadpis1"/>
        <w:rPr>
          <w:b/>
          <w:bCs/>
        </w:rPr>
      </w:pPr>
      <w:bookmarkStart w:id="2" w:name="_Toc61990542"/>
      <w:r w:rsidRPr="00802EF4">
        <w:rPr>
          <w:b/>
          <w:bCs/>
        </w:rPr>
        <w:lastRenderedPageBreak/>
        <w:t>Identifikace, autentizace a datové schránky</w:t>
      </w:r>
      <w:bookmarkEnd w:id="2"/>
    </w:p>
    <w:p w14:paraId="377AAD12" w14:textId="443ED3AF" w:rsidR="00802EF4" w:rsidRDefault="00C77617" w:rsidP="00802EF4">
      <w:pPr>
        <w:pStyle w:val="Odstavecseseznamem"/>
        <w:numPr>
          <w:ilvl w:val="0"/>
          <w:numId w:val="3"/>
        </w:numPr>
        <w:rPr>
          <w:b/>
          <w:bCs/>
        </w:rPr>
      </w:pPr>
      <w:r w:rsidRPr="00F16C85">
        <w:rPr>
          <w:b/>
          <w:bCs/>
        </w:rPr>
        <w:t>Pojem elektronického podpisu a současné legislativní změny; rozdíl oproti elektronické pečeti.</w:t>
      </w:r>
    </w:p>
    <w:p w14:paraId="394BB5C5" w14:textId="2722D85B" w:rsidR="000F4ACC" w:rsidRPr="000F4ACC" w:rsidRDefault="000F4ACC" w:rsidP="000F4ACC">
      <w:pPr>
        <w:pStyle w:val="Odstavecseseznamem"/>
        <w:numPr>
          <w:ilvl w:val="1"/>
          <w:numId w:val="3"/>
        </w:numPr>
      </w:pPr>
      <w:r>
        <w:rPr>
          <w:b/>
          <w:bCs/>
        </w:rPr>
        <w:t>E</w:t>
      </w:r>
      <w:r w:rsidRPr="00F16C85">
        <w:rPr>
          <w:b/>
          <w:bCs/>
        </w:rPr>
        <w:t>lektronický podpis</w:t>
      </w:r>
      <w:r>
        <w:rPr>
          <w:b/>
          <w:bCs/>
        </w:rPr>
        <w:t xml:space="preserve">(prostý) </w:t>
      </w:r>
      <w:r w:rsidR="00A43805">
        <w:t xml:space="preserve">– základní a nejjednodušší typ elektronického podpisu </w:t>
      </w:r>
      <w:r w:rsidR="0020479F">
        <w:t>–</w:t>
      </w:r>
      <w:r w:rsidR="00A43805">
        <w:t xml:space="preserve"> </w:t>
      </w:r>
      <w:r w:rsidR="0020479F">
        <w:t>ať už napsání jména a příjmení, vložení obrázku s naskenovaným podpisem</w:t>
      </w:r>
      <w:r w:rsidR="00B3045A">
        <w:t xml:space="preserve"> atd. Většinou mezi dvěma soukromoprávními subjekty.</w:t>
      </w:r>
    </w:p>
    <w:p w14:paraId="583C9E53" w14:textId="4FB7A87A" w:rsidR="005F641D" w:rsidRDefault="00900DDD" w:rsidP="005F641D">
      <w:pPr>
        <w:pStyle w:val="Odstavecseseznamem"/>
        <w:numPr>
          <w:ilvl w:val="1"/>
          <w:numId w:val="3"/>
        </w:numPr>
      </w:pPr>
      <w:r>
        <w:rPr>
          <w:b/>
          <w:bCs/>
        </w:rPr>
        <w:t>Zaručený e</w:t>
      </w:r>
      <w:r w:rsidR="005F641D" w:rsidRPr="00F16C85">
        <w:rPr>
          <w:b/>
          <w:bCs/>
        </w:rPr>
        <w:t>lektronický podpis</w:t>
      </w:r>
      <w:r w:rsidR="00E318BF">
        <w:t xml:space="preserve"> – je vytvořen na základě </w:t>
      </w:r>
      <w:r w:rsidR="0077623D">
        <w:t>privátního klíče a k němu náležícímu certifikátu.</w:t>
      </w:r>
      <w:r w:rsidR="00A95894">
        <w:t xml:space="preserve"> Použitý certifikát nemusí splňovat žádné náležitosti a může být i </w:t>
      </w:r>
      <w:proofErr w:type="spellStart"/>
      <w:r w:rsidR="00A95894">
        <w:t>self-signed</w:t>
      </w:r>
      <w:proofErr w:type="spellEnd"/>
      <w:r w:rsidR="00650884">
        <w:t>.</w:t>
      </w:r>
    </w:p>
    <w:p w14:paraId="0ECDBF96" w14:textId="2DAE9FC5" w:rsidR="00D151F7" w:rsidRDefault="00D151F7" w:rsidP="00D151F7">
      <w:pPr>
        <w:pStyle w:val="Odstavecseseznamem"/>
        <w:numPr>
          <w:ilvl w:val="1"/>
          <w:numId w:val="3"/>
        </w:numPr>
      </w:pPr>
      <w:r w:rsidRPr="000D204F">
        <w:rPr>
          <w:b/>
          <w:bCs/>
        </w:rPr>
        <w:t>Uznávaný elektronický podpis</w:t>
      </w:r>
      <w:r w:rsidR="00A95894">
        <w:t xml:space="preserve"> </w:t>
      </w:r>
      <w:r w:rsidR="000D204F">
        <w:t>–</w:t>
      </w:r>
      <w:r w:rsidR="00A95894">
        <w:t xml:space="preserve"> </w:t>
      </w:r>
      <w:r w:rsidR="00E90A1A">
        <w:t>Nevychází přímo z </w:t>
      </w:r>
      <w:proofErr w:type="spellStart"/>
      <w:r w:rsidR="00E90A1A">
        <w:t>eIDAS</w:t>
      </w:r>
      <w:proofErr w:type="spellEnd"/>
      <w:r w:rsidR="00E90A1A">
        <w:t>, ale je zaveden v zákoně č. 297/2016 Sb.</w:t>
      </w:r>
      <w:r w:rsidR="00D069A3">
        <w:t xml:space="preserve"> o službách vytvářejících důvěru pro elektronické </w:t>
      </w:r>
      <w:proofErr w:type="spellStart"/>
      <w:r w:rsidR="00D069A3">
        <w:t>transkace</w:t>
      </w:r>
      <w:proofErr w:type="spellEnd"/>
      <w:r w:rsidR="00D069A3">
        <w:t>.</w:t>
      </w:r>
      <w:r w:rsidR="00C15750">
        <w:t xml:space="preserve"> J</w:t>
      </w:r>
      <w:r w:rsidR="000D204F">
        <w:t xml:space="preserve">edná se o zaručený elektronický podpis, k jehož vytvoření byl použit kvalifikovaný certifikát vydaný certifikační autoritou – v česku např. </w:t>
      </w:r>
      <w:proofErr w:type="spellStart"/>
      <w:r w:rsidR="000D204F">
        <w:t>PostSignum</w:t>
      </w:r>
      <w:proofErr w:type="spellEnd"/>
    </w:p>
    <w:p w14:paraId="2BD6D516" w14:textId="428752D2" w:rsidR="00D151F7" w:rsidRDefault="004944AA" w:rsidP="00D151F7">
      <w:pPr>
        <w:pStyle w:val="Odstavecseseznamem"/>
        <w:numPr>
          <w:ilvl w:val="1"/>
          <w:numId w:val="3"/>
        </w:numPr>
      </w:pPr>
      <w:r w:rsidRPr="000D204F">
        <w:rPr>
          <w:b/>
          <w:bCs/>
        </w:rPr>
        <w:t>Kvalifikovaný elektronický podpis</w:t>
      </w:r>
      <w:r w:rsidR="000D204F">
        <w:t xml:space="preserve"> – jedná se o nejvyšší úroveň elektronického podpisu</w:t>
      </w:r>
      <w:r w:rsidR="00973996">
        <w:t xml:space="preserve">. Nařízení </w:t>
      </w:r>
      <w:proofErr w:type="spellStart"/>
      <w:r w:rsidR="00973996">
        <w:t>eIDAS</w:t>
      </w:r>
      <w:proofErr w:type="spellEnd"/>
      <w:r w:rsidR="00973996">
        <w:t xml:space="preserve"> definuje </w:t>
      </w:r>
      <w:r w:rsidR="00973996" w:rsidRPr="00973996">
        <w:t>tento typ jako zaručený elektronický podpis, který je vytvořen kvalifikovaným prostředkem pro vytváření elektronických podpisů</w:t>
      </w:r>
      <w:r w:rsidR="00957E7F">
        <w:t>(např. čipové karty, tokeny)</w:t>
      </w:r>
      <w:r w:rsidR="00973996" w:rsidRPr="00973996">
        <w:t xml:space="preserve"> a který je založen na kvalifikovaném certifikátu pro elektronické podpisy.</w:t>
      </w:r>
      <w:r w:rsidR="00973996">
        <w:t xml:space="preserve"> Požadavky na kvalifikované prostředky jsou uvedeny v </w:t>
      </w:r>
      <w:proofErr w:type="spellStart"/>
      <w:r w:rsidR="00973996">
        <w:t>eIDAS</w:t>
      </w:r>
      <w:proofErr w:type="spellEnd"/>
      <w:r w:rsidR="00973996">
        <w:t xml:space="preserve"> v příloze 2.</w:t>
      </w:r>
    </w:p>
    <w:p w14:paraId="18F07011" w14:textId="70472C1C" w:rsidR="0075292F" w:rsidRDefault="00F65B38" w:rsidP="0075292F">
      <w:pPr>
        <w:pStyle w:val="Odstavecseseznamem"/>
        <w:numPr>
          <w:ilvl w:val="1"/>
          <w:numId w:val="3"/>
        </w:numPr>
      </w:pPr>
      <w:r w:rsidRPr="00F65B38">
        <w:rPr>
          <w:b/>
          <w:bCs/>
        </w:rPr>
        <w:t>Elektronická pečeť</w:t>
      </w:r>
      <w:r w:rsidRPr="00F65B38">
        <w:t xml:space="preserve"> je </w:t>
      </w:r>
      <w:r>
        <w:t>svým způsobem „razítko“, které je zárukou původu a neměnnosti dokumentu</w:t>
      </w:r>
      <w:r w:rsidR="00B736AD">
        <w:t xml:space="preserve">(my, úřad, jsme </w:t>
      </w:r>
      <w:r w:rsidR="00900633">
        <w:t>v konkrétní den vytvořili nějaký dokument)</w:t>
      </w:r>
      <w:r>
        <w:t>.</w:t>
      </w:r>
      <w:r w:rsidR="00B736AD">
        <w:t xml:space="preserve"> Zatímco elektronický podpis je brán jako jednoznačný projev vůle konkrétní osoby(já, úředník, jsem něco rozhodl)</w:t>
      </w:r>
      <w:r w:rsidR="00900633">
        <w:t xml:space="preserve">. Například pokud by nemocnice se rozhodla převést všechny lékařské zprávy do </w:t>
      </w:r>
      <w:r w:rsidR="001D2460">
        <w:t xml:space="preserve">digitálního formátu, tak podepisovat každou zvlášť by </w:t>
      </w:r>
      <w:r w:rsidR="0075292F">
        <w:t>nešlo. Kdežto pečeť tento problém řeší.</w:t>
      </w:r>
    </w:p>
    <w:p w14:paraId="7574314B" w14:textId="489CCB11" w:rsidR="0075292F" w:rsidRPr="00F65B38" w:rsidRDefault="0075292F" w:rsidP="0075292F">
      <w:pPr>
        <w:pStyle w:val="Odstavecseseznamem"/>
        <w:numPr>
          <w:ilvl w:val="2"/>
          <w:numId w:val="3"/>
        </w:numPr>
      </w:pPr>
      <w:r>
        <w:t xml:space="preserve">Zase rozlišujeme prostou, zaručenou, </w:t>
      </w:r>
      <w:r w:rsidR="00270684">
        <w:t>zaručenou s certifikátem a kvalifikovanou pečeť. Kvalifikovaná pečeť je povinně uznávána v celé EU a zaručuje pravost dokumentu.</w:t>
      </w:r>
    </w:p>
    <w:p w14:paraId="6474FE42" w14:textId="79C8937A" w:rsidR="00802EF4" w:rsidRPr="002F2FCA" w:rsidRDefault="00C77617" w:rsidP="00802EF4">
      <w:pPr>
        <w:pStyle w:val="Odstavecseseznamem"/>
        <w:numPr>
          <w:ilvl w:val="0"/>
          <w:numId w:val="3"/>
        </w:numPr>
        <w:rPr>
          <w:b/>
          <w:bCs/>
        </w:rPr>
      </w:pPr>
      <w:r w:rsidRPr="002F2FCA">
        <w:rPr>
          <w:b/>
          <w:bCs/>
        </w:rPr>
        <w:t xml:space="preserve">Nařízení </w:t>
      </w:r>
      <w:proofErr w:type="spellStart"/>
      <w:r w:rsidRPr="002F2FCA">
        <w:rPr>
          <w:b/>
          <w:bCs/>
        </w:rPr>
        <w:t>eIDAS</w:t>
      </w:r>
      <w:proofErr w:type="spellEnd"/>
      <w:r w:rsidRPr="002F2FCA">
        <w:rPr>
          <w:b/>
          <w:bCs/>
        </w:rPr>
        <w:t xml:space="preserve"> – důvody přijetí.</w:t>
      </w:r>
    </w:p>
    <w:p w14:paraId="1ECEAACE" w14:textId="0F366711" w:rsidR="00F25F97" w:rsidRDefault="00F25F97" w:rsidP="00F25F97">
      <w:pPr>
        <w:pStyle w:val="Odstavecseseznamem"/>
        <w:numPr>
          <w:ilvl w:val="1"/>
          <w:numId w:val="3"/>
        </w:numPr>
      </w:pPr>
      <w:proofErr w:type="spellStart"/>
      <w:r w:rsidRPr="00EB3957">
        <w:rPr>
          <w:b/>
          <w:bCs/>
        </w:rPr>
        <w:t>eIDAS</w:t>
      </w:r>
      <w:proofErr w:type="spellEnd"/>
      <w:r w:rsidRPr="00EB3957">
        <w:rPr>
          <w:b/>
          <w:bCs/>
        </w:rPr>
        <w:t xml:space="preserve"> je zkratka pro nařízení evropské unie o elektronické identifikaci a důvěryhodných službách</w:t>
      </w:r>
      <w:r w:rsidR="00865EE3" w:rsidRPr="00EB3957">
        <w:rPr>
          <w:b/>
          <w:bCs/>
        </w:rPr>
        <w:t xml:space="preserve"> pro elektronické transakce na evropském trhu</w:t>
      </w:r>
      <w:r w:rsidR="00865EE3">
        <w:t xml:space="preserve">. </w:t>
      </w:r>
      <w:r w:rsidR="00A1481D">
        <w:t>Stanovuje podmínky, za nichž členské státy uznávají prostředky pro elektronickou identifikaci fyzických a právnických osob, které spadají do oznámeného systému elektronické identifikace jiného členského státu</w:t>
      </w:r>
      <w:r w:rsidR="00B24BCA">
        <w:t>, dále stanovuje pravidla pro služby vytvářející důvěru, zejména elektronických transakcí</w:t>
      </w:r>
      <w:r w:rsidR="00FE1056">
        <w:t xml:space="preserve"> a taky stanoví právní rámec pro elektronické podpisy, elektronické pečetě, elektronická časová razítka, dokumenty, služby elektronického doporučeného doručování a certifikační služby pro autentizaci internetových stránek</w:t>
      </w:r>
      <w:r w:rsidR="00556D2B">
        <w:t>.</w:t>
      </w:r>
    </w:p>
    <w:p w14:paraId="351CBD89" w14:textId="75327DF9" w:rsidR="008A3AEB" w:rsidRDefault="008A3AEB" w:rsidP="00F25F97">
      <w:pPr>
        <w:pStyle w:val="Odstavecseseznamem"/>
        <w:numPr>
          <w:ilvl w:val="1"/>
          <w:numId w:val="3"/>
        </w:numPr>
      </w:pPr>
      <w:r w:rsidRPr="00EB3957">
        <w:rPr>
          <w:b/>
          <w:bCs/>
        </w:rPr>
        <w:t>Důvody přijetí</w:t>
      </w:r>
      <w:r>
        <w:t xml:space="preserve"> byly takové, aby</w:t>
      </w:r>
      <w:r w:rsidR="002F2FCA">
        <w:t xml:space="preserve"> bylo poskytnuto občanům, společnostem a taky i státním orgánům členských států společný právní základ pro bezpečnou elektronickou komunikaci</w:t>
      </w:r>
      <w:r w:rsidR="00B4114C">
        <w:t>, která by zvýšila důvěryhodnost elektronických transakcí na vnitřním trhu EU a tím pádem i jejich aktivnější využívání</w:t>
      </w:r>
      <w:r w:rsidR="00EB3957">
        <w:t>.</w:t>
      </w:r>
    </w:p>
    <w:p w14:paraId="2373A5CD" w14:textId="327641FF" w:rsidR="00802EF4" w:rsidRPr="002A5A8C" w:rsidRDefault="00C77617" w:rsidP="00802EF4">
      <w:pPr>
        <w:pStyle w:val="Odstavecseseznamem"/>
        <w:numPr>
          <w:ilvl w:val="0"/>
          <w:numId w:val="3"/>
        </w:numPr>
        <w:rPr>
          <w:b/>
          <w:bCs/>
        </w:rPr>
      </w:pPr>
      <w:r w:rsidRPr="002A5A8C">
        <w:rPr>
          <w:b/>
          <w:bCs/>
        </w:rPr>
        <w:t>Charakterizujte a popište právní otázky související s elektr</w:t>
      </w:r>
      <w:r w:rsidR="004211BA" w:rsidRPr="002A5A8C">
        <w:rPr>
          <w:b/>
          <w:bCs/>
        </w:rPr>
        <w:t>o</w:t>
      </w:r>
      <w:r w:rsidRPr="002A5A8C">
        <w:rPr>
          <w:b/>
          <w:bCs/>
        </w:rPr>
        <w:t>nickou identifikací ve smyslu</w:t>
      </w:r>
      <w:r w:rsidR="00802EF4" w:rsidRPr="002A5A8C">
        <w:rPr>
          <w:b/>
          <w:bCs/>
        </w:rPr>
        <w:t xml:space="preserve"> </w:t>
      </w:r>
      <w:r w:rsidRPr="002A5A8C">
        <w:rPr>
          <w:b/>
          <w:bCs/>
        </w:rPr>
        <w:t>prokázání totožnosti.</w:t>
      </w:r>
    </w:p>
    <w:p w14:paraId="7DCE9B7D" w14:textId="526006C7" w:rsidR="007E6B7C" w:rsidRDefault="002A5A8C" w:rsidP="007E6B7C">
      <w:pPr>
        <w:pStyle w:val="Odstavecseseznamem"/>
        <w:numPr>
          <w:ilvl w:val="1"/>
          <w:numId w:val="3"/>
        </w:numPr>
      </w:pPr>
      <w:r>
        <w:t xml:space="preserve">elektronickou identifikací </w:t>
      </w:r>
      <w:r w:rsidR="007E5995">
        <w:t>se rozumí postup používání osobních údajů, které jedinečně identifikují určitou osobu.</w:t>
      </w:r>
    </w:p>
    <w:p w14:paraId="48F0E9F1" w14:textId="4386F414" w:rsidR="001703C2" w:rsidRDefault="00D30259" w:rsidP="007E6B7C">
      <w:pPr>
        <w:pStyle w:val="Odstavecseseznamem"/>
        <w:numPr>
          <w:ilvl w:val="1"/>
          <w:numId w:val="3"/>
        </w:numPr>
      </w:pPr>
      <w:r>
        <w:lastRenderedPageBreak/>
        <w:t xml:space="preserve">Prokázání totožnosti je možné jen prostřednictvím </w:t>
      </w:r>
      <w:r w:rsidRPr="00A35AE7">
        <w:rPr>
          <w:b/>
          <w:bCs/>
        </w:rPr>
        <w:t>kvalifikovaného systému</w:t>
      </w:r>
      <w:r>
        <w:t>, který spravuje kvalifikovaný správce – státní orgán</w:t>
      </w:r>
      <w:r w:rsidR="00025D94">
        <w:t xml:space="preserve"> nebo akreditovaná osoba(například ministerstvo vnitra), splňuje technické normy a postupy podle nařízení EU o elektronické identifikaci, umožňuje poskytnutí služby národnímu bodu</w:t>
      </w:r>
      <w:r w:rsidR="00812469">
        <w:t xml:space="preserve">(eidentita.cz – informační služby veřejné správy) </w:t>
      </w:r>
      <w:r w:rsidR="00E160FA">
        <w:t>ve kterém jsou údaje spojené s osobou podle nařízení EU.</w:t>
      </w:r>
    </w:p>
    <w:p w14:paraId="22F00A50" w14:textId="77777777" w:rsidR="00274097" w:rsidRDefault="00274097" w:rsidP="00274097">
      <w:pPr>
        <w:pStyle w:val="Odstavecseseznamem"/>
        <w:ind w:left="1440"/>
      </w:pPr>
    </w:p>
    <w:p w14:paraId="5628976F" w14:textId="55EC03BD" w:rsidR="00802EF4" w:rsidRPr="00274097" w:rsidRDefault="00C77617" w:rsidP="00802EF4">
      <w:pPr>
        <w:pStyle w:val="Odstavecseseznamem"/>
        <w:numPr>
          <w:ilvl w:val="0"/>
          <w:numId w:val="3"/>
        </w:numPr>
        <w:rPr>
          <w:b/>
          <w:bCs/>
        </w:rPr>
      </w:pPr>
      <w:r w:rsidRPr="00274097">
        <w:rPr>
          <w:b/>
          <w:bCs/>
        </w:rPr>
        <w:t>Datové schránky - shrňte výhody, nevýhody a mj. se zaměřte na okamžik doručení.</w:t>
      </w:r>
    </w:p>
    <w:p w14:paraId="5A585628" w14:textId="76E9CB68" w:rsidR="001703C2" w:rsidRDefault="005B07FD" w:rsidP="001703C2">
      <w:pPr>
        <w:pStyle w:val="Odstavecseseznamem"/>
        <w:numPr>
          <w:ilvl w:val="1"/>
          <w:numId w:val="3"/>
        </w:numPr>
        <w:rPr>
          <w:b/>
          <w:bCs/>
        </w:rPr>
      </w:pPr>
      <w:r w:rsidRPr="005B07FD">
        <w:rPr>
          <w:b/>
          <w:bCs/>
        </w:rPr>
        <w:t>Výhody</w:t>
      </w:r>
    </w:p>
    <w:p w14:paraId="022D5297" w14:textId="19E45837" w:rsidR="005B07FD" w:rsidRDefault="005B07FD" w:rsidP="005B07FD">
      <w:pPr>
        <w:pStyle w:val="Odstavecseseznamem"/>
        <w:numPr>
          <w:ilvl w:val="2"/>
          <w:numId w:val="3"/>
        </w:numPr>
      </w:pPr>
      <w:r>
        <w:t>Komunikace s úřady je pomocí datové schránky zdarma</w:t>
      </w:r>
    </w:p>
    <w:p w14:paraId="6818F2F8" w14:textId="4E88EFBD" w:rsidR="005B07FD" w:rsidRDefault="00574D83" w:rsidP="005B07FD">
      <w:pPr>
        <w:pStyle w:val="Odstavecseseznamem"/>
        <w:numPr>
          <w:ilvl w:val="2"/>
          <w:numId w:val="3"/>
        </w:numPr>
      </w:pPr>
      <w:r>
        <w:t>Pokud DS existuje, musí být dokument do ní zaslán.</w:t>
      </w:r>
    </w:p>
    <w:p w14:paraId="76620BEF" w14:textId="6A690E88" w:rsidR="00574D83" w:rsidRDefault="00574D83" w:rsidP="005B07FD">
      <w:pPr>
        <w:pStyle w:val="Odstavecseseznamem"/>
        <w:numPr>
          <w:ilvl w:val="2"/>
          <w:numId w:val="3"/>
        </w:numPr>
      </w:pPr>
      <w:r>
        <w:t>Je možno s úřady komunikovat i vzdáleně – nemusíme nikam chodit.</w:t>
      </w:r>
    </w:p>
    <w:p w14:paraId="5B5F597C" w14:textId="7436872D" w:rsidR="008D18A1" w:rsidRDefault="008D18A1" w:rsidP="005B07FD">
      <w:pPr>
        <w:pStyle w:val="Odstavecseseznamem"/>
        <w:numPr>
          <w:ilvl w:val="2"/>
          <w:numId w:val="3"/>
        </w:numPr>
      </w:pPr>
      <w:r>
        <w:t>Rychlejší komunikace</w:t>
      </w:r>
    </w:p>
    <w:p w14:paraId="30E0BFF7" w14:textId="1F03A128" w:rsidR="008D18A1" w:rsidRDefault="008D18A1" w:rsidP="00274097">
      <w:pPr>
        <w:pStyle w:val="Odstavecseseznamem"/>
        <w:numPr>
          <w:ilvl w:val="2"/>
          <w:numId w:val="3"/>
        </w:numPr>
      </w:pPr>
      <w:r>
        <w:t>Možnost svěření datové schránky jiné osobě</w:t>
      </w:r>
    </w:p>
    <w:p w14:paraId="694A44E2" w14:textId="492C8AD7" w:rsidR="00274097" w:rsidRPr="00274097" w:rsidRDefault="00274097" w:rsidP="00274097">
      <w:pPr>
        <w:pStyle w:val="Odstavecseseznamem"/>
        <w:numPr>
          <w:ilvl w:val="1"/>
          <w:numId w:val="3"/>
        </w:numPr>
        <w:rPr>
          <w:b/>
          <w:bCs/>
        </w:rPr>
      </w:pPr>
      <w:r w:rsidRPr="00274097">
        <w:rPr>
          <w:b/>
          <w:bCs/>
        </w:rPr>
        <w:t>Nevýhody</w:t>
      </w:r>
    </w:p>
    <w:p w14:paraId="4CD7415B" w14:textId="124E341A" w:rsidR="00274097" w:rsidRDefault="009657EA" w:rsidP="00274097">
      <w:pPr>
        <w:pStyle w:val="Odstavecseseznamem"/>
        <w:numPr>
          <w:ilvl w:val="2"/>
          <w:numId w:val="3"/>
        </w:numPr>
      </w:pPr>
      <w:r>
        <w:t>Po deseti dnech od doručení nastává fikce doručení</w:t>
      </w:r>
      <w:r w:rsidR="009615B9">
        <w:t xml:space="preserve"> – tj. zpráva se považuje za doručenou.</w:t>
      </w:r>
    </w:p>
    <w:p w14:paraId="7AF5A9D0" w14:textId="59232E7B" w:rsidR="007D12CE" w:rsidRPr="005B07FD" w:rsidRDefault="00C110C7" w:rsidP="00274097">
      <w:pPr>
        <w:pStyle w:val="Odstavecseseznamem"/>
        <w:numPr>
          <w:ilvl w:val="2"/>
          <w:numId w:val="3"/>
        </w:numPr>
      </w:pPr>
      <w:r>
        <w:t xml:space="preserve">Jedna firma může disponovat pouze jednou datovou schránkou, bez ohledu na </w:t>
      </w:r>
      <w:r w:rsidR="00A065BD">
        <w:t>počet provozoven.</w:t>
      </w:r>
    </w:p>
    <w:p w14:paraId="3E4DB6FB" w14:textId="77777777" w:rsidR="002E1884" w:rsidRDefault="00C77617" w:rsidP="002E1884">
      <w:pPr>
        <w:pStyle w:val="Odstavecseseznamem"/>
        <w:numPr>
          <w:ilvl w:val="0"/>
          <w:numId w:val="3"/>
        </w:numPr>
        <w:rPr>
          <w:b/>
          <w:bCs/>
        </w:rPr>
      </w:pPr>
      <w:r w:rsidRPr="00A065BD">
        <w:rPr>
          <w:b/>
          <w:bCs/>
        </w:rPr>
        <w:t>Judikatura k elektronické identifikaci subjektu a datovým schránkám.</w:t>
      </w:r>
    </w:p>
    <w:p w14:paraId="3FA701C9" w14:textId="77777777" w:rsidR="002E1884" w:rsidRPr="002E1884" w:rsidRDefault="002E1884" w:rsidP="002E1884">
      <w:pPr>
        <w:pStyle w:val="Odstavecseseznamem"/>
        <w:numPr>
          <w:ilvl w:val="1"/>
          <w:numId w:val="3"/>
        </w:numPr>
        <w:rPr>
          <w:b/>
          <w:bCs/>
        </w:rPr>
      </w:pPr>
      <w:r w:rsidRPr="002E1884">
        <w:rPr>
          <w:rFonts w:ascii="Calibri" w:hAnsi="Calibri" w:cs="Calibri"/>
          <w:color w:val="000000"/>
        </w:rPr>
        <w:t xml:space="preserve">Krajský soud v Českých Budějovicích pobočka v Táboře v usnesení ze dne 15. 5. 2011, </w:t>
      </w:r>
      <w:proofErr w:type="spellStart"/>
      <w:r w:rsidRPr="002E1884">
        <w:rPr>
          <w:rFonts w:ascii="Calibri" w:hAnsi="Calibri" w:cs="Calibri"/>
          <w:color w:val="000000"/>
        </w:rPr>
        <w:t>sp</w:t>
      </w:r>
      <w:proofErr w:type="spellEnd"/>
      <w:r w:rsidRPr="002E1884">
        <w:rPr>
          <w:rFonts w:ascii="Calibri" w:hAnsi="Calibri" w:cs="Calibri"/>
          <w:color w:val="000000"/>
        </w:rPr>
        <w:t>. zn. 15 Co 337/2011, dovodil, že podání učiněné prostřednictvím datové schránky je podáním té osoby (fyzické či právnické), které byla zřízena datová schránka.</w:t>
      </w:r>
    </w:p>
    <w:p w14:paraId="764C5D3F" w14:textId="77777777" w:rsidR="002E1884" w:rsidRPr="002E1884" w:rsidRDefault="002E1884" w:rsidP="002E1884">
      <w:pPr>
        <w:pStyle w:val="Odstavecseseznamem"/>
        <w:numPr>
          <w:ilvl w:val="1"/>
          <w:numId w:val="3"/>
        </w:numPr>
        <w:rPr>
          <w:b/>
          <w:bCs/>
        </w:rPr>
      </w:pPr>
      <w:proofErr w:type="spellStart"/>
      <w:r w:rsidRPr="002E1884">
        <w:rPr>
          <w:rFonts w:ascii="Calibri" w:hAnsi="Calibri" w:cs="Calibri"/>
          <w:color w:val="000000"/>
        </w:rPr>
        <w:t>Plsn</w:t>
      </w:r>
      <w:proofErr w:type="spellEnd"/>
      <w:r w:rsidRPr="002E1884">
        <w:rPr>
          <w:rFonts w:ascii="Calibri" w:hAnsi="Calibri" w:cs="Calibri"/>
          <w:color w:val="000000"/>
        </w:rPr>
        <w:t xml:space="preserve"> 1/2015: </w:t>
      </w:r>
    </w:p>
    <w:p w14:paraId="31385F8F" w14:textId="20D6752B" w:rsidR="00CE3B57" w:rsidRPr="00CE3B57" w:rsidRDefault="002E1884" w:rsidP="002E1884">
      <w:pPr>
        <w:pStyle w:val="Odstavecseseznamem"/>
        <w:numPr>
          <w:ilvl w:val="2"/>
          <w:numId w:val="3"/>
        </w:numPr>
        <w:rPr>
          <w:b/>
          <w:bCs/>
        </w:rPr>
      </w:pPr>
      <w:r w:rsidRPr="002E1884">
        <w:rPr>
          <w:rFonts w:ascii="Calibri" w:hAnsi="Calibri" w:cs="Calibri"/>
          <w:color w:val="000000"/>
        </w:rPr>
        <w:t>a) žádná část datové zprávy není podepsána elektronickým podpisem žádného typu</w:t>
      </w:r>
      <w:r w:rsidR="00534293">
        <w:rPr>
          <w:rFonts w:ascii="Calibri" w:hAnsi="Calibri" w:cs="Calibri"/>
          <w:color w:val="000000"/>
        </w:rPr>
        <w:t xml:space="preserve"> - </w:t>
      </w:r>
      <w:r w:rsidRPr="002E1884">
        <w:rPr>
          <w:rFonts w:ascii="Calibri" w:hAnsi="Calibri" w:cs="Calibri"/>
          <w:color w:val="000000"/>
        </w:rPr>
        <w:t xml:space="preserve"> v takovém případě se datová zpráva považuje za podanou osobou autentizovanou systémem datových schránek. Jde-li o osobu, pro kterou byla zřízena datová schránka, jde o perfektní podání v elektronické podobě (§ 18 odst. 2 zákona o elektronických úkonech)</w:t>
      </w:r>
    </w:p>
    <w:p w14:paraId="5B1CBF00" w14:textId="17DF8F74" w:rsidR="002E1884" w:rsidRPr="002E1884" w:rsidRDefault="002E1884" w:rsidP="002E1884">
      <w:pPr>
        <w:pStyle w:val="Odstavecseseznamem"/>
        <w:numPr>
          <w:ilvl w:val="2"/>
          <w:numId w:val="3"/>
        </w:numPr>
        <w:rPr>
          <w:b/>
          <w:bCs/>
        </w:rPr>
      </w:pPr>
      <w:r w:rsidRPr="002E1884">
        <w:rPr>
          <w:rFonts w:ascii="Calibri" w:hAnsi="Calibri" w:cs="Calibri"/>
          <w:color w:val="000000"/>
        </w:rPr>
        <w:t>b) některá část datové zprávy (typicky např. příloha) je podepsána uznávaným elektronickým podpisem</w:t>
      </w:r>
      <w:r w:rsidR="004B2FE9">
        <w:rPr>
          <w:rFonts w:ascii="Calibri" w:hAnsi="Calibri" w:cs="Calibri"/>
          <w:color w:val="000000"/>
        </w:rPr>
        <w:t xml:space="preserve"> - </w:t>
      </w:r>
      <w:r w:rsidRPr="002E1884">
        <w:rPr>
          <w:rFonts w:ascii="Calibri" w:hAnsi="Calibri" w:cs="Calibri"/>
          <w:color w:val="000000"/>
        </w:rPr>
        <w:t xml:space="preserve"> v takovém případě se tato část datové zprávy považuje za perfektní elektronické podání učiněné tou osobou, která k němu připojila svůj uznávaný elektronický podpis (§ 6 zák. č. 297/2016 Sb.)</w:t>
      </w:r>
    </w:p>
    <w:p w14:paraId="61D74B72" w14:textId="1DBF9150" w:rsidR="00A065BD" w:rsidRDefault="00A065BD" w:rsidP="00CE3B57">
      <w:pPr>
        <w:pStyle w:val="Odstavecseseznamem"/>
        <w:ind w:left="1440"/>
      </w:pPr>
    </w:p>
    <w:p w14:paraId="5F3D987D" w14:textId="031023C0" w:rsidR="00802EF4" w:rsidRDefault="00802EF4" w:rsidP="00802EF4">
      <w:r>
        <w:br w:type="page"/>
      </w:r>
    </w:p>
    <w:p w14:paraId="208C00CC" w14:textId="77777777" w:rsidR="00C77617" w:rsidRPr="00F53C4B" w:rsidRDefault="00C77617" w:rsidP="00F53C4B">
      <w:pPr>
        <w:pStyle w:val="Nadpis1"/>
        <w:rPr>
          <w:b/>
          <w:bCs/>
        </w:rPr>
      </w:pPr>
      <w:bookmarkStart w:id="3" w:name="_Toc61990543"/>
      <w:r w:rsidRPr="00F53C4B">
        <w:rPr>
          <w:b/>
          <w:bCs/>
        </w:rPr>
        <w:lastRenderedPageBreak/>
        <w:t>Ochrana duševního vlastnictví</w:t>
      </w:r>
      <w:bookmarkEnd w:id="3"/>
    </w:p>
    <w:p w14:paraId="2BDF738A" w14:textId="218EDCA0" w:rsidR="001C08EC" w:rsidRPr="00D74B41" w:rsidRDefault="00C77617" w:rsidP="001C08EC">
      <w:pPr>
        <w:pStyle w:val="Odstavecseseznamem"/>
        <w:numPr>
          <w:ilvl w:val="0"/>
          <w:numId w:val="9"/>
        </w:numPr>
        <w:rPr>
          <w:b/>
          <w:bCs/>
        </w:rPr>
      </w:pPr>
      <w:r w:rsidRPr="00D74B41">
        <w:rPr>
          <w:b/>
          <w:bCs/>
        </w:rPr>
        <w:t>Jaké technologické změny stály za tzv. “digitální revolucí” a jaký měly dopad na autorské právo?</w:t>
      </w:r>
    </w:p>
    <w:p w14:paraId="00B29B1A" w14:textId="1589DC0E" w:rsidR="001C08EC" w:rsidRDefault="001C08EC" w:rsidP="001C08EC">
      <w:pPr>
        <w:pStyle w:val="Odstavecseseznamem"/>
        <w:numPr>
          <w:ilvl w:val="1"/>
          <w:numId w:val="9"/>
        </w:numPr>
      </w:pPr>
      <w:r>
        <w:t>Nástup internetu a digitálních médií měl za následek, že dílo může být používané kdekoliv</w:t>
      </w:r>
      <w:r w:rsidR="00D74B41">
        <w:t xml:space="preserve"> a </w:t>
      </w:r>
      <w:r>
        <w:t>kýmkoliv</w:t>
      </w:r>
      <w:r w:rsidR="00D74B41">
        <w:t>. Kromě toho může být zpracované, předělané, modifikované.</w:t>
      </w:r>
      <w:r>
        <w:t xml:space="preserve"> </w:t>
      </w:r>
      <w:r w:rsidR="00406548">
        <w:t>To byl jeden z důvodů vzniku nového autorského zákona, který byl uveden v platnost roku 2000 a nahradil předcházející z roku 1965.</w:t>
      </w:r>
    </w:p>
    <w:p w14:paraId="4E18D6C8" w14:textId="4761746A" w:rsidR="001C08EC" w:rsidRPr="00C108E9" w:rsidRDefault="00C77617" w:rsidP="001C08EC">
      <w:pPr>
        <w:pStyle w:val="Odstavecseseznamem"/>
        <w:numPr>
          <w:ilvl w:val="0"/>
          <w:numId w:val="9"/>
        </w:numPr>
        <w:rPr>
          <w:b/>
          <w:bCs/>
        </w:rPr>
      </w:pPr>
      <w:r w:rsidRPr="00C108E9">
        <w:rPr>
          <w:b/>
          <w:bCs/>
        </w:rPr>
        <w:t>Za jakých podmínek lze rozmnožovat autorskoprávně chráněný obsah pro osobní potřebu?</w:t>
      </w:r>
    </w:p>
    <w:p w14:paraId="00BBD6FC" w14:textId="3B935D80" w:rsidR="006647FC" w:rsidRDefault="006647FC" w:rsidP="006647FC">
      <w:pPr>
        <w:pStyle w:val="Odstavecseseznamem"/>
        <w:numPr>
          <w:ilvl w:val="1"/>
          <w:numId w:val="9"/>
        </w:numPr>
      </w:pPr>
      <w:r>
        <w:t xml:space="preserve">§ 30 autorského zákona </w:t>
      </w:r>
      <w:r w:rsidR="0002204E">
        <w:t>–</w:t>
      </w:r>
      <w:r>
        <w:t xml:space="preserve"> </w:t>
      </w:r>
      <w:r w:rsidR="0002204E">
        <w:t xml:space="preserve">pro </w:t>
      </w:r>
      <w:r w:rsidR="00F2693D">
        <w:t xml:space="preserve">svou </w:t>
      </w:r>
      <w:r w:rsidR="0002204E">
        <w:t>osobní potřebu</w:t>
      </w:r>
      <w:r w:rsidR="00AB5B30">
        <w:t xml:space="preserve"> </w:t>
      </w:r>
      <w:r w:rsidR="0002204E">
        <w:t>můžeme zhotovit záznam, rozmnoženinu nebo napodobeninu díl</w:t>
      </w:r>
      <w:r w:rsidR="007B0730">
        <w:t>a</w:t>
      </w:r>
      <w:r w:rsidR="004E36E1">
        <w:t xml:space="preserve"> </w:t>
      </w:r>
      <w:r w:rsidR="00965827">
        <w:t>–</w:t>
      </w:r>
      <w:r w:rsidR="004E36E1">
        <w:t xml:space="preserve"> </w:t>
      </w:r>
      <w:r w:rsidR="00965827">
        <w:t>podle odst. 1 to není užití díla</w:t>
      </w:r>
      <w:r w:rsidR="00943857">
        <w:t>.</w:t>
      </w:r>
      <w:r w:rsidR="0079779A">
        <w:t xml:space="preserve"> Účelem tohoto užití nesmí být dosažení </w:t>
      </w:r>
      <w:r w:rsidR="00BC5AF7">
        <w:t xml:space="preserve">přímého nebo nepřímého </w:t>
      </w:r>
      <w:r w:rsidR="00251861">
        <w:t xml:space="preserve">hospodářského nebo </w:t>
      </w:r>
      <w:r w:rsidR="00E51A3D">
        <w:t>obchodního prospěchu.</w:t>
      </w:r>
      <w:r w:rsidR="0005760F">
        <w:t xml:space="preserve"> – Výjimkou je pořizování rozmnoženiny počítačových programů</w:t>
      </w:r>
      <w:r w:rsidR="00BC45ED">
        <w:t xml:space="preserve"> a elektronických databází pro osobní potřebu fyzické osoby či vlastní vnitřní potřebu právnické osoby nebo podnikající fyzické osoby a pořizování si rozmnoženiny audiovizuálních děl a to při jejich provozování nebo přenosu.)</w:t>
      </w:r>
    </w:p>
    <w:p w14:paraId="0A45EAE1" w14:textId="3CB10478" w:rsidR="00E51A3D" w:rsidRPr="00721048" w:rsidRDefault="00E51A3D" w:rsidP="00DE77E2">
      <w:pPr>
        <w:pStyle w:val="Odstavecseseznamem"/>
        <w:numPr>
          <w:ilvl w:val="2"/>
          <w:numId w:val="9"/>
        </w:numPr>
        <w:rPr>
          <w:b/>
          <w:bCs/>
        </w:rPr>
      </w:pPr>
      <w:r w:rsidRPr="00721048">
        <w:rPr>
          <w:b/>
          <w:bCs/>
        </w:rPr>
        <w:t xml:space="preserve">Nesmíme </w:t>
      </w:r>
      <w:r w:rsidR="00BE42B6" w:rsidRPr="00721048">
        <w:rPr>
          <w:b/>
          <w:bCs/>
        </w:rPr>
        <w:t>ho ale pak nikde šířit na veřejnosti.</w:t>
      </w:r>
    </w:p>
    <w:p w14:paraId="5B9B313B" w14:textId="48D5A05F" w:rsidR="005B497A" w:rsidRDefault="005B497A" w:rsidP="006647FC">
      <w:pPr>
        <w:pStyle w:val="Odstavecseseznamem"/>
        <w:numPr>
          <w:ilvl w:val="1"/>
          <w:numId w:val="9"/>
        </w:numPr>
      </w:pPr>
      <w:r w:rsidRPr="005B497A">
        <w:t xml:space="preserve">5 </w:t>
      </w:r>
      <w:proofErr w:type="spellStart"/>
      <w:r w:rsidRPr="005B497A">
        <w:t>Tdo</w:t>
      </w:r>
      <w:proofErr w:type="spellEnd"/>
      <w:r w:rsidRPr="005B497A">
        <w:t xml:space="preserve"> 234/2009 - Rozmnoženina pro osobní potřebu z neoprávněného zdroje</w:t>
      </w:r>
      <w:r>
        <w:t xml:space="preserve"> – Nejvyšší soud řekl, že lze vytvořit i </w:t>
      </w:r>
      <w:r w:rsidR="00E52B93">
        <w:t>rozmnoženinu díla z ilegálního zdroje</w:t>
      </w:r>
      <w:r w:rsidR="003E20CC">
        <w:t>.</w:t>
      </w:r>
      <w:r w:rsidR="009D19B9">
        <w:t xml:space="preserve"> AZ neklade důraz na oprávněnost zdroje, ale pracuje s 3-stupňovým testem.</w:t>
      </w:r>
    </w:p>
    <w:p w14:paraId="15BF0427" w14:textId="070DE055" w:rsidR="003E20CC" w:rsidRDefault="008A7CC9" w:rsidP="006647FC">
      <w:pPr>
        <w:pStyle w:val="Odstavecseseznamem"/>
        <w:numPr>
          <w:ilvl w:val="1"/>
          <w:numId w:val="9"/>
        </w:numPr>
      </w:pPr>
      <w:r>
        <w:t xml:space="preserve">SDEU </w:t>
      </w:r>
      <w:r w:rsidR="00C57082">
        <w:t>řekl, že se rozmnožení nevztahuje na případ, kdy jsou soukromé rozmnoženiny pořízeny z neoprávněného zdroje</w:t>
      </w:r>
      <w:r w:rsidR="00DC25C6">
        <w:t xml:space="preserve"> – tzn. nemůžeme pořizovat rozmnoženiny</w:t>
      </w:r>
    </w:p>
    <w:p w14:paraId="280F1DD8" w14:textId="7086D380" w:rsidR="001C08EC" w:rsidRPr="00765E1C" w:rsidRDefault="00C77617" w:rsidP="001C08EC">
      <w:pPr>
        <w:pStyle w:val="Odstavecseseznamem"/>
        <w:numPr>
          <w:ilvl w:val="0"/>
          <w:numId w:val="9"/>
        </w:numPr>
        <w:rPr>
          <w:b/>
          <w:bCs/>
        </w:rPr>
      </w:pPr>
      <w:r w:rsidRPr="00765E1C">
        <w:rPr>
          <w:b/>
          <w:bCs/>
        </w:rPr>
        <w:t xml:space="preserve">Jsou právně chráněny tzv. DRM – </w:t>
      </w:r>
      <w:proofErr w:type="spellStart"/>
      <w:r w:rsidRPr="00765E1C">
        <w:rPr>
          <w:b/>
          <w:bCs/>
        </w:rPr>
        <w:t>digital</w:t>
      </w:r>
      <w:proofErr w:type="spellEnd"/>
      <w:r w:rsidRPr="00765E1C">
        <w:rPr>
          <w:b/>
          <w:bCs/>
        </w:rPr>
        <w:t xml:space="preserve"> </w:t>
      </w:r>
      <w:proofErr w:type="spellStart"/>
      <w:r w:rsidRPr="00765E1C">
        <w:rPr>
          <w:b/>
          <w:bCs/>
        </w:rPr>
        <w:t>rights</w:t>
      </w:r>
      <w:proofErr w:type="spellEnd"/>
      <w:r w:rsidRPr="00765E1C">
        <w:rPr>
          <w:b/>
          <w:bCs/>
        </w:rPr>
        <w:t xml:space="preserve"> management, tedy technické prostředky ochrany práv („elektronické zámky“)? Jak?</w:t>
      </w:r>
    </w:p>
    <w:p w14:paraId="7F6CD639" w14:textId="26DD8D97" w:rsidR="00BA6D53" w:rsidRDefault="00BA6D53" w:rsidP="00BA6D53">
      <w:pPr>
        <w:pStyle w:val="Odstavecseseznamem"/>
        <w:numPr>
          <w:ilvl w:val="1"/>
          <w:numId w:val="9"/>
        </w:numPr>
      </w:pPr>
      <w:r>
        <w:t xml:space="preserve">DRM je </w:t>
      </w:r>
      <w:r w:rsidR="000802C8">
        <w:t>šifrování/kódování nebo jiná úprava díla, která má za cíl chránit dílo.</w:t>
      </w:r>
    </w:p>
    <w:p w14:paraId="54D82AB6" w14:textId="3EE7F728" w:rsidR="004B29E3" w:rsidRDefault="00BF1921" w:rsidP="004B29E3">
      <w:pPr>
        <w:pStyle w:val="Odstavecseseznamem"/>
        <w:numPr>
          <w:ilvl w:val="1"/>
          <w:numId w:val="9"/>
        </w:numPr>
      </w:pPr>
      <w:r>
        <w:t>Dle § 43 AZ</w:t>
      </w:r>
      <w:r w:rsidR="00BA6D53">
        <w:t xml:space="preserve"> víme, že ten, kdo obchází nebo jinak maří účinné </w:t>
      </w:r>
      <w:r w:rsidR="009841FA">
        <w:t>technické prostředky, nebo vyrábí či propaguje nástroje na obcházení, tak neoprávněně zasahuje do autorského práva.</w:t>
      </w:r>
    </w:p>
    <w:p w14:paraId="78BDB9D3" w14:textId="54620B08" w:rsidR="001C08EC" w:rsidRPr="00B8510E" w:rsidRDefault="00C77617" w:rsidP="001C08EC">
      <w:pPr>
        <w:pStyle w:val="Odstavecseseznamem"/>
        <w:numPr>
          <w:ilvl w:val="0"/>
          <w:numId w:val="9"/>
        </w:numPr>
        <w:rPr>
          <w:b/>
          <w:bCs/>
        </w:rPr>
      </w:pPr>
      <w:r w:rsidRPr="00B8510E">
        <w:rPr>
          <w:b/>
          <w:bCs/>
        </w:rPr>
        <w:t>Charakterizujte a stručně popište přestupky na úseku autorského práva. Uveďte příklad takového jednání.</w:t>
      </w:r>
    </w:p>
    <w:p w14:paraId="4A92DA70" w14:textId="35BE6499" w:rsidR="004D0DFF" w:rsidRDefault="004D0DFF" w:rsidP="004D0DFF">
      <w:pPr>
        <w:pStyle w:val="Odstavecseseznamem"/>
        <w:numPr>
          <w:ilvl w:val="1"/>
          <w:numId w:val="9"/>
        </w:numPr>
      </w:pPr>
      <w:r>
        <w:t>Neoprávněně užijeme autorské dílo</w:t>
      </w:r>
    </w:p>
    <w:p w14:paraId="3E4097E6" w14:textId="6E3781A9" w:rsidR="00F21013" w:rsidRDefault="00F21013" w:rsidP="004D0DFF">
      <w:pPr>
        <w:pStyle w:val="Odstavecseseznamem"/>
        <w:numPr>
          <w:ilvl w:val="1"/>
          <w:numId w:val="9"/>
        </w:numPr>
      </w:pPr>
      <w:r w:rsidRPr="00F21013">
        <w:t>neoprávněně zasahuje do práva autorského způsobem uvedeným v § 43 odst. 1 nebo 2 anebo v § 44 odst. 1, nebo</w:t>
      </w:r>
    </w:p>
    <w:p w14:paraId="62762C19" w14:textId="1560D487" w:rsidR="00285415" w:rsidRDefault="00285415" w:rsidP="00285415">
      <w:pPr>
        <w:pStyle w:val="Odstavecseseznamem"/>
        <w:numPr>
          <w:ilvl w:val="2"/>
          <w:numId w:val="9"/>
        </w:numPr>
      </w:pPr>
      <w:r>
        <w:t xml:space="preserve">§ 43 – </w:t>
      </w:r>
      <w:r w:rsidR="00E24702">
        <w:t>Obcházení DRM a š</w:t>
      </w:r>
      <w:r>
        <w:t>íření prostředků k</w:t>
      </w:r>
      <w:r w:rsidR="00193BBC">
        <w:t> obcházení DRM</w:t>
      </w:r>
    </w:p>
    <w:p w14:paraId="114BBA6C" w14:textId="686F93D9" w:rsidR="00193BBC" w:rsidRDefault="00193BBC" w:rsidP="00285415">
      <w:pPr>
        <w:pStyle w:val="Odstavecseseznamem"/>
        <w:numPr>
          <w:ilvl w:val="2"/>
          <w:numId w:val="9"/>
        </w:numPr>
      </w:pPr>
      <w:r>
        <w:t xml:space="preserve">§ 44 </w:t>
      </w:r>
      <w:r w:rsidR="00B5441E">
        <w:t>–</w:t>
      </w:r>
      <w:r>
        <w:t xml:space="preserve"> </w:t>
      </w:r>
      <w:r w:rsidR="00B5441E">
        <w:t>bez svolení autora umožňuji/usnadňuji porušování práva autorského</w:t>
      </w:r>
    </w:p>
    <w:p w14:paraId="1B87DF26" w14:textId="07155450" w:rsidR="007C1861" w:rsidRDefault="007C1861" w:rsidP="007C1861">
      <w:pPr>
        <w:pStyle w:val="Odstavecseseznamem"/>
        <w:numPr>
          <w:ilvl w:val="3"/>
          <w:numId w:val="9"/>
        </w:numPr>
      </w:pPr>
      <w:r>
        <w:t>Nová veřejnost - hyperlinkování</w:t>
      </w:r>
    </w:p>
    <w:p w14:paraId="75D16829" w14:textId="4A81330C" w:rsidR="006B60AE" w:rsidRDefault="006B60AE" w:rsidP="006B60AE">
      <w:pPr>
        <w:pStyle w:val="Odstavecseseznamem"/>
        <w:numPr>
          <w:ilvl w:val="1"/>
          <w:numId w:val="9"/>
        </w:numPr>
      </w:pPr>
      <w:r>
        <w:t>Rozhodnutí, zda-</w:t>
      </w:r>
      <w:proofErr w:type="spellStart"/>
      <w:r>
        <w:t>li</w:t>
      </w:r>
      <w:proofErr w:type="spellEnd"/>
      <w:r>
        <w:t xml:space="preserve"> se jedná o přestupek nebo trestný čin závisí od </w:t>
      </w:r>
      <w:r w:rsidR="00C50C3E">
        <w:t>toho, kdo neoprávněně zasáhne nikoli nepatrně</w:t>
      </w:r>
      <w:r w:rsidR="0055680D">
        <w:t>(nad 10 tisíc)</w:t>
      </w:r>
      <w:r w:rsidR="00C50C3E">
        <w:t xml:space="preserve"> do </w:t>
      </w:r>
      <w:r w:rsidR="00C34E00">
        <w:t>zákonem chráněných práv k autorskému dílu…</w:t>
      </w:r>
      <w:r w:rsidR="00DA04E5">
        <w:t xml:space="preserve"> Tzn. </w:t>
      </w:r>
      <w:r w:rsidR="00E66675">
        <w:t>vyšetřující orgán sám posoudí intenzitu neoprávněného zásahu do autorských práv.</w:t>
      </w:r>
    </w:p>
    <w:p w14:paraId="4C5294AA" w14:textId="09FD4D27" w:rsidR="00724BED" w:rsidRDefault="00724BED" w:rsidP="006B60AE">
      <w:pPr>
        <w:pStyle w:val="Odstavecseseznamem"/>
        <w:numPr>
          <w:ilvl w:val="1"/>
          <w:numId w:val="9"/>
        </w:numPr>
      </w:pPr>
      <w:r>
        <w:t>Například</w:t>
      </w:r>
      <w:r w:rsidR="00E66675">
        <w:t xml:space="preserve"> na </w:t>
      </w:r>
      <w:proofErr w:type="spellStart"/>
      <w:r w:rsidR="00E66675">
        <w:t>netflixu</w:t>
      </w:r>
      <w:proofErr w:type="spellEnd"/>
      <w:r w:rsidR="00E66675">
        <w:t xml:space="preserve"> si nahraju </w:t>
      </w:r>
      <w:r w:rsidR="00E77A21">
        <w:t>jeden film a pošlu ho pár kamarádům.</w:t>
      </w:r>
    </w:p>
    <w:p w14:paraId="558576B5" w14:textId="7D9A7F92" w:rsidR="00D474C0" w:rsidRDefault="00D474C0" w:rsidP="00D474C0"/>
    <w:p w14:paraId="2B1D018C" w14:textId="12D114EE" w:rsidR="00D474C0" w:rsidRDefault="00D474C0" w:rsidP="00D474C0"/>
    <w:p w14:paraId="7A1CA35B" w14:textId="77777777" w:rsidR="00D474C0" w:rsidRDefault="00D474C0" w:rsidP="00D474C0"/>
    <w:p w14:paraId="5139FF40" w14:textId="37B3E367" w:rsidR="00F53C4B" w:rsidRPr="00D474C0" w:rsidRDefault="00C77617" w:rsidP="001C08EC">
      <w:pPr>
        <w:pStyle w:val="Odstavecseseznamem"/>
        <w:numPr>
          <w:ilvl w:val="0"/>
          <w:numId w:val="9"/>
        </w:numPr>
        <w:rPr>
          <w:b/>
          <w:bCs/>
        </w:rPr>
      </w:pPr>
      <w:r w:rsidRPr="00D474C0">
        <w:rPr>
          <w:b/>
          <w:bCs/>
        </w:rPr>
        <w:lastRenderedPageBreak/>
        <w:t>Charakterizujte a stručně popište trestný čin porušení autorského práva, práv souvisejících s právem autorským a práv k databázi. Uveďte příklad takového jednání.</w:t>
      </w:r>
    </w:p>
    <w:p w14:paraId="0B27BE50" w14:textId="1319114C" w:rsidR="00D474C0" w:rsidRDefault="00D474C0" w:rsidP="00D474C0">
      <w:pPr>
        <w:pStyle w:val="Odstavecseseznamem"/>
        <w:numPr>
          <w:ilvl w:val="1"/>
          <w:numId w:val="9"/>
        </w:numPr>
        <w:rPr>
          <w:b/>
          <w:bCs/>
        </w:rPr>
      </w:pPr>
      <w:r w:rsidRPr="00F04E83">
        <w:rPr>
          <w:b/>
          <w:bCs/>
        </w:rPr>
        <w:t>§ 270 TZ</w:t>
      </w:r>
    </w:p>
    <w:p w14:paraId="43B93985" w14:textId="1B7F7D30" w:rsidR="009A6345" w:rsidRPr="00F04E83" w:rsidRDefault="009A6345" w:rsidP="009A6345">
      <w:pPr>
        <w:pStyle w:val="Odstavecseseznamem"/>
        <w:numPr>
          <w:ilvl w:val="2"/>
          <w:numId w:val="9"/>
        </w:numPr>
        <w:rPr>
          <w:b/>
          <w:bCs/>
        </w:rPr>
      </w:pPr>
      <w:r w:rsidRPr="009A6345">
        <w:rPr>
          <w:b/>
          <w:bCs/>
        </w:rPr>
        <w:t>Porušení autorského práva, práv souvisejících s právem autorským a práv k databázi</w:t>
      </w:r>
    </w:p>
    <w:p w14:paraId="51F1EB3B" w14:textId="4866B244" w:rsidR="0060416C" w:rsidRDefault="009A23E1" w:rsidP="00CE573A">
      <w:pPr>
        <w:pStyle w:val="Odstavecseseznamem"/>
        <w:numPr>
          <w:ilvl w:val="3"/>
          <w:numId w:val="9"/>
        </w:numPr>
      </w:pPr>
      <w:r w:rsidRPr="009A23E1">
        <w:t>Kdo neoprávněně zasáhne nikoli nepatrně do zákonem chráněných práv k autorskému dílu, uměleckému výkonu, zvukovému či zvukově obrazovému záznamu, rozhlasovému nebo televiznímu vysílání nebo databázi, bude potrestán odnětím svobody až na dvě léta, zákazem činnosti nebo propadnutím věci.</w:t>
      </w:r>
    </w:p>
    <w:p w14:paraId="4CE11F64" w14:textId="08F1D08F" w:rsidR="006C7907" w:rsidRDefault="006C7907" w:rsidP="006C7907">
      <w:pPr>
        <w:pStyle w:val="Odstavecseseznamem"/>
        <w:numPr>
          <w:ilvl w:val="1"/>
          <w:numId w:val="9"/>
        </w:numPr>
      </w:pPr>
      <w:r>
        <w:t>Druhý odstavec mluví o tom</w:t>
      </w:r>
      <w:r w:rsidR="00CE573A">
        <w:t>, že pokud čin vykazuje znaky obchodní činnosti, pachatel získá značný prospěch</w:t>
      </w:r>
      <w:r w:rsidR="00E13AE5">
        <w:t xml:space="preserve"> nebo způsobí značnou škodu(1 mil. Kč), nebo se dopustí činu ve značném rozsahu, posouvá se hranice na 6 měsíců až pět let</w:t>
      </w:r>
      <w:r w:rsidR="003C4348">
        <w:t xml:space="preserve"> + peněžní trest nebo propadnutí věci.</w:t>
      </w:r>
    </w:p>
    <w:p w14:paraId="3FDAA1FD" w14:textId="1B89DC74" w:rsidR="000F2E0E" w:rsidRDefault="000F2E0E" w:rsidP="006C7907">
      <w:pPr>
        <w:pStyle w:val="Odstavecseseznamem"/>
        <w:numPr>
          <w:ilvl w:val="1"/>
          <w:numId w:val="9"/>
        </w:numPr>
      </w:pPr>
      <w:r>
        <w:t>Příklad – mladík z Liberce (liberecký pirát)</w:t>
      </w:r>
      <w:r w:rsidR="006646C9">
        <w:t xml:space="preserve"> –</w:t>
      </w:r>
      <w:r w:rsidR="00736EAE">
        <w:t xml:space="preserve"> spravoval stránku s odkazy, které přesměrovali uživatele internetu na jiný externí server, kde byly umístěny filmy – takhle </w:t>
      </w:r>
      <w:r w:rsidR="00A476EC">
        <w:t>tam měl asi 2500 odkazů na neoprávněné rozmnoženiny audiovizuálních děl.</w:t>
      </w:r>
    </w:p>
    <w:p w14:paraId="70AA5A5C" w14:textId="14488DEA" w:rsidR="00C77617" w:rsidRDefault="00F53C4B" w:rsidP="00F53C4B">
      <w:r>
        <w:br w:type="page"/>
      </w:r>
    </w:p>
    <w:p w14:paraId="08B2C125" w14:textId="77777777" w:rsidR="005F53C9" w:rsidRPr="00F53C4B" w:rsidRDefault="005F53C9" w:rsidP="00F53C4B">
      <w:pPr>
        <w:pStyle w:val="Nadpis1"/>
        <w:rPr>
          <w:b/>
          <w:bCs/>
        </w:rPr>
      </w:pPr>
      <w:bookmarkStart w:id="4" w:name="_Toc61990544"/>
      <w:r w:rsidRPr="00F53C4B">
        <w:rPr>
          <w:b/>
          <w:bCs/>
        </w:rPr>
        <w:lastRenderedPageBreak/>
        <w:t>Ochrana osobních údajů</w:t>
      </w:r>
      <w:bookmarkEnd w:id="4"/>
    </w:p>
    <w:p w14:paraId="4CA84D75" w14:textId="0C2D49BC" w:rsidR="005F53C9" w:rsidRPr="0021707A" w:rsidRDefault="005F53C9" w:rsidP="00F53C4B">
      <w:pPr>
        <w:pStyle w:val="Odstavecseseznamem"/>
        <w:numPr>
          <w:ilvl w:val="0"/>
          <w:numId w:val="4"/>
        </w:numPr>
        <w:rPr>
          <w:b/>
          <w:bCs/>
        </w:rPr>
      </w:pPr>
      <w:r w:rsidRPr="0021707A">
        <w:rPr>
          <w:b/>
          <w:bCs/>
        </w:rPr>
        <w:t>Ochrana soukromí a ochrana osobních údajů - popište vztah mezi právní úpravou ochrany soukromí a osobních údajů</w:t>
      </w:r>
    </w:p>
    <w:p w14:paraId="35DF3BCA" w14:textId="71FE61B6" w:rsidR="005E1B01" w:rsidRDefault="005E1B01" w:rsidP="00EB6A76">
      <w:pPr>
        <w:pStyle w:val="Odstavecseseznamem"/>
        <w:numPr>
          <w:ilvl w:val="1"/>
          <w:numId w:val="4"/>
        </w:numPr>
      </w:pPr>
      <w:r>
        <w:t>Ochrana osobních údajů je specifickým odvět</w:t>
      </w:r>
      <w:r w:rsidR="00037597">
        <w:t>v</w:t>
      </w:r>
      <w:r>
        <w:t>ím ochrany soukromí.</w:t>
      </w:r>
      <w:r w:rsidR="003504CB">
        <w:t xml:space="preserve"> Je zakotvena i v čl. 10 Listiny základních práv a svobod.</w:t>
      </w:r>
    </w:p>
    <w:p w14:paraId="660B44D6" w14:textId="12C23F2E" w:rsidR="00AE7338" w:rsidRDefault="00AE7338" w:rsidP="00EB6A76">
      <w:pPr>
        <w:pStyle w:val="Odstavecseseznamem"/>
        <w:numPr>
          <w:ilvl w:val="1"/>
          <w:numId w:val="4"/>
        </w:numPr>
      </w:pPr>
      <w:r>
        <w:t xml:space="preserve">Osobní údaj je zákonně vymezen jako „jakákoliv informace týkající se určeného nebo určitelného subjektu údajů“. To znamená, že </w:t>
      </w:r>
      <w:r w:rsidR="005B4E3C">
        <w:t>se jím stát může jakákoliv informace, která přímo nebo nepřímo vede k identifikaci konkrétního člověka.</w:t>
      </w:r>
    </w:p>
    <w:p w14:paraId="40FE8454" w14:textId="39E2446E" w:rsidR="00415682" w:rsidRDefault="00415682" w:rsidP="00EB6A76">
      <w:pPr>
        <w:pStyle w:val="Odstavecseseznamem"/>
        <w:numPr>
          <w:ilvl w:val="1"/>
          <w:numId w:val="4"/>
        </w:numPr>
      </w:pPr>
      <w:r>
        <w:t xml:space="preserve">Účelem ochrany osobních údajů je zamezení profilování, </w:t>
      </w:r>
      <w:r w:rsidR="00BF15A0">
        <w:t>které by mohly mít nežádoucí dopady v podobě vyzrazení informací, jež by o sobě sám nechtěl prozradit – což by byl zásah do soukromí</w:t>
      </w:r>
      <w:r w:rsidR="00733BBF">
        <w:t xml:space="preserve"> – např. muž, který se dozvěděl o těhotenství své dcery na základě reklamních letáků,</w:t>
      </w:r>
      <w:r w:rsidR="00B76D08">
        <w:t xml:space="preserve"> které posílal obchod na základě nakupovaných předmětů</w:t>
      </w:r>
      <w:r w:rsidR="008174C8">
        <w:t xml:space="preserve"> – ale mohou být i závažnější případy – diskriminační chování, krádež identity.</w:t>
      </w:r>
    </w:p>
    <w:p w14:paraId="6FB05100" w14:textId="2A1A94AA" w:rsidR="005F53C9" w:rsidRPr="008633C1" w:rsidRDefault="005F53C9" w:rsidP="00F53C4B">
      <w:pPr>
        <w:pStyle w:val="Odstavecseseznamem"/>
        <w:numPr>
          <w:ilvl w:val="0"/>
          <w:numId w:val="4"/>
        </w:numPr>
        <w:rPr>
          <w:b/>
          <w:bCs/>
        </w:rPr>
      </w:pPr>
      <w:r w:rsidRPr="008633C1">
        <w:rPr>
          <w:b/>
          <w:bCs/>
        </w:rPr>
        <w:t>Základní principy a zásady zpracování osobních údajů</w:t>
      </w:r>
    </w:p>
    <w:p w14:paraId="58C5F64A" w14:textId="6A82FC34" w:rsidR="008633C1" w:rsidRPr="002E443E" w:rsidRDefault="008B7D89" w:rsidP="008633C1">
      <w:pPr>
        <w:pStyle w:val="Odstavecseseznamem"/>
        <w:numPr>
          <w:ilvl w:val="1"/>
          <w:numId w:val="4"/>
        </w:numPr>
        <w:rPr>
          <w:b/>
          <w:bCs/>
        </w:rPr>
      </w:pPr>
      <w:r w:rsidRPr="002E443E">
        <w:rPr>
          <w:b/>
          <w:bCs/>
        </w:rPr>
        <w:t>Zásada zákonnosti, korektnosti a transparentnosti</w:t>
      </w:r>
    </w:p>
    <w:p w14:paraId="3E124D5A" w14:textId="13E8C9D7" w:rsidR="006F53E6" w:rsidRDefault="006F53E6" w:rsidP="006F53E6">
      <w:pPr>
        <w:pStyle w:val="Odstavecseseznamem"/>
        <w:numPr>
          <w:ilvl w:val="2"/>
          <w:numId w:val="4"/>
        </w:numPr>
      </w:pPr>
      <w:r>
        <w:t>Zpracování musí probíhat za účelem, který je v souladu s právem.</w:t>
      </w:r>
    </w:p>
    <w:p w14:paraId="537F619D" w14:textId="07A8EB44" w:rsidR="000909DA" w:rsidRDefault="000909DA" w:rsidP="000909DA">
      <w:pPr>
        <w:pStyle w:val="Odstavecseseznamem"/>
        <w:numPr>
          <w:ilvl w:val="2"/>
          <w:numId w:val="4"/>
        </w:numPr>
      </w:pPr>
      <w:r w:rsidRPr="00242336">
        <w:rPr>
          <w:b/>
          <w:bCs/>
        </w:rPr>
        <w:t>Zpracování je zákonné, pokud je splněna alespoň jedna z určitých podmínek</w:t>
      </w:r>
      <w:r w:rsidR="000176CF">
        <w:rPr>
          <w:b/>
          <w:bCs/>
        </w:rPr>
        <w:t xml:space="preserve"> – právní tituly</w:t>
      </w:r>
      <w:r>
        <w:t>:</w:t>
      </w:r>
    </w:p>
    <w:p w14:paraId="084B87C6" w14:textId="288AA24F" w:rsidR="000909DA" w:rsidRDefault="000909DA" w:rsidP="000909DA">
      <w:pPr>
        <w:pStyle w:val="Odstavecseseznamem"/>
        <w:numPr>
          <w:ilvl w:val="3"/>
          <w:numId w:val="4"/>
        </w:numPr>
      </w:pPr>
      <w:r>
        <w:t>Subjekt údajů udělil souhlas.</w:t>
      </w:r>
    </w:p>
    <w:p w14:paraId="5E5E446B" w14:textId="03DAA989" w:rsidR="000909DA" w:rsidRDefault="000909DA" w:rsidP="00E719F8">
      <w:pPr>
        <w:pStyle w:val="Odstavecseseznamem"/>
        <w:numPr>
          <w:ilvl w:val="3"/>
          <w:numId w:val="4"/>
        </w:numPr>
      </w:pPr>
      <w:r>
        <w:t>Zpracování je nezbytné pro splnění smlouvy</w:t>
      </w:r>
      <w:r w:rsidR="00045F98">
        <w:t>/právní povinnosti</w:t>
      </w:r>
      <w:r w:rsidR="00E719F8">
        <w:t>/</w:t>
      </w:r>
      <w:r w:rsidR="00B34596">
        <w:t>ochranu životně důležitých zájmů subjektu údajů a další.</w:t>
      </w:r>
    </w:p>
    <w:p w14:paraId="76A69F91" w14:textId="7AB9F2FB" w:rsidR="00242336" w:rsidRDefault="00242336" w:rsidP="00242336">
      <w:pPr>
        <w:pStyle w:val="Odstavecseseznamem"/>
        <w:numPr>
          <w:ilvl w:val="2"/>
          <w:numId w:val="4"/>
        </w:numPr>
      </w:pPr>
      <w:r>
        <w:t>Zásada korektnosti a transparentnosti by se dala shrnout do požadavku, že správce os. údajů má údaje zpracovávat férově.</w:t>
      </w:r>
      <w:r w:rsidR="004624E2">
        <w:t xml:space="preserve"> Nesmí probíhat skrytě – tj. aby subjekt údajů měl vždy možnost zjistit, kdo jeho údaje zpracovává.</w:t>
      </w:r>
      <w:r w:rsidR="00511F57">
        <w:t xml:space="preserve"> Mimo</w:t>
      </w:r>
      <w:r w:rsidR="00F436CC">
        <w:t xml:space="preserve"> </w:t>
      </w:r>
      <w:r w:rsidR="00511F57">
        <w:t>jiné k tomu, aby mohl vykonávat kontrolu nad probíhajícím zpracováním a tím realizovat své právo na informační sebeurčení.</w:t>
      </w:r>
    </w:p>
    <w:p w14:paraId="3BE2A294" w14:textId="42570F3F" w:rsidR="00144DAA" w:rsidRPr="002E443E" w:rsidRDefault="00144DAA" w:rsidP="00144DAA">
      <w:pPr>
        <w:pStyle w:val="Odstavecseseznamem"/>
        <w:numPr>
          <w:ilvl w:val="1"/>
          <w:numId w:val="4"/>
        </w:numPr>
        <w:rPr>
          <w:b/>
          <w:bCs/>
        </w:rPr>
      </w:pPr>
      <w:r w:rsidRPr="002E443E">
        <w:rPr>
          <w:b/>
          <w:bCs/>
        </w:rPr>
        <w:t>Zásada omezení účelem</w:t>
      </w:r>
    </w:p>
    <w:p w14:paraId="20F0C5E5" w14:textId="1A333BC1" w:rsidR="002E443E" w:rsidRDefault="006430C5" w:rsidP="002E443E">
      <w:pPr>
        <w:pStyle w:val="Odstavecseseznamem"/>
        <w:numPr>
          <w:ilvl w:val="2"/>
          <w:numId w:val="4"/>
        </w:numPr>
      </w:pPr>
      <w:r>
        <w:t>osobní údaje musí být zpracovávány za určitým, výslovně vyjádřeným a legitimním účelem a nesmí být zpracovávány způsobem, který by byl s tímto účelem neslučitelný.</w:t>
      </w:r>
    </w:p>
    <w:p w14:paraId="3A880A2B" w14:textId="77516A44" w:rsidR="000B493B" w:rsidRPr="00711217" w:rsidRDefault="000B493B" w:rsidP="000B493B">
      <w:pPr>
        <w:pStyle w:val="Odstavecseseznamem"/>
        <w:numPr>
          <w:ilvl w:val="1"/>
          <w:numId w:val="4"/>
        </w:numPr>
        <w:rPr>
          <w:b/>
          <w:bCs/>
        </w:rPr>
      </w:pPr>
      <w:r w:rsidRPr="00711217">
        <w:rPr>
          <w:b/>
          <w:bCs/>
        </w:rPr>
        <w:t>Zásada minimalizace údajů</w:t>
      </w:r>
    </w:p>
    <w:p w14:paraId="0966B30F" w14:textId="1C37EA4B" w:rsidR="000B493B" w:rsidRDefault="000A40B5" w:rsidP="000B493B">
      <w:pPr>
        <w:pStyle w:val="Odstavecseseznamem"/>
        <w:numPr>
          <w:ilvl w:val="2"/>
          <w:numId w:val="4"/>
        </w:numPr>
      </w:pPr>
      <w:r>
        <w:t>Správce může zpracovávat jen ty údaje, které jsou striktně nezbytné pro účel, který si pro dané zpra</w:t>
      </w:r>
      <w:r w:rsidR="002B36DA">
        <w:t>cování osobních údajů stanovil.</w:t>
      </w:r>
    </w:p>
    <w:p w14:paraId="2823FE43" w14:textId="614D9E46" w:rsidR="00022993" w:rsidRPr="00022993" w:rsidRDefault="00022993" w:rsidP="00022993">
      <w:pPr>
        <w:pStyle w:val="Odstavecseseznamem"/>
        <w:numPr>
          <w:ilvl w:val="1"/>
          <w:numId w:val="4"/>
        </w:numPr>
        <w:rPr>
          <w:b/>
          <w:bCs/>
        </w:rPr>
      </w:pPr>
      <w:r w:rsidRPr="00022993">
        <w:rPr>
          <w:b/>
          <w:bCs/>
        </w:rPr>
        <w:t>Zásada přesnosti</w:t>
      </w:r>
    </w:p>
    <w:p w14:paraId="79BDDF48" w14:textId="131444F1" w:rsidR="00022993" w:rsidRDefault="00022993" w:rsidP="00022993">
      <w:pPr>
        <w:pStyle w:val="Odstavecseseznamem"/>
        <w:numPr>
          <w:ilvl w:val="2"/>
          <w:numId w:val="4"/>
        </w:numPr>
      </w:pPr>
      <w:r>
        <w:t>Zpracovávané osobní údaje mají být přesné, a v případě potřeby aktualizované.</w:t>
      </w:r>
    </w:p>
    <w:p w14:paraId="0BA59DE8" w14:textId="07B45EF2" w:rsidR="00022993" w:rsidRPr="00D14B21" w:rsidRDefault="00131FF5" w:rsidP="00022993">
      <w:pPr>
        <w:pStyle w:val="Odstavecseseznamem"/>
        <w:numPr>
          <w:ilvl w:val="1"/>
          <w:numId w:val="4"/>
        </w:numPr>
        <w:rPr>
          <w:b/>
          <w:bCs/>
        </w:rPr>
      </w:pPr>
      <w:r w:rsidRPr="00D14B21">
        <w:rPr>
          <w:b/>
          <w:bCs/>
        </w:rPr>
        <w:t>Zásada omezení uložení</w:t>
      </w:r>
    </w:p>
    <w:p w14:paraId="2DAB18D2" w14:textId="04DDC4CD" w:rsidR="00131FF5" w:rsidRDefault="00B76C06" w:rsidP="00131FF5">
      <w:pPr>
        <w:pStyle w:val="Odstavecseseznamem"/>
        <w:numPr>
          <w:ilvl w:val="2"/>
          <w:numId w:val="4"/>
        </w:numPr>
      </w:pPr>
      <w:r>
        <w:t>Osobní údaje mohou být uchovávány jen po takovou dobu, která je nezbytná vzhledem k účelu, pro který jsou zpracovávány.</w:t>
      </w:r>
    </w:p>
    <w:p w14:paraId="4AD39B74" w14:textId="7244C212" w:rsidR="00D14B21" w:rsidRPr="006F75B0" w:rsidRDefault="00D14B21" w:rsidP="00D14B21">
      <w:pPr>
        <w:pStyle w:val="Odstavecseseznamem"/>
        <w:numPr>
          <w:ilvl w:val="1"/>
          <w:numId w:val="4"/>
        </w:numPr>
        <w:rPr>
          <w:b/>
          <w:bCs/>
        </w:rPr>
      </w:pPr>
      <w:r w:rsidRPr="006F75B0">
        <w:rPr>
          <w:b/>
          <w:bCs/>
        </w:rPr>
        <w:t>Zásada integrity a důvěrnosti</w:t>
      </w:r>
    </w:p>
    <w:p w14:paraId="52D61D28" w14:textId="4511C9BD" w:rsidR="00D14B21" w:rsidRDefault="00D14B21" w:rsidP="00D14B21">
      <w:pPr>
        <w:pStyle w:val="Odstavecseseznamem"/>
        <w:numPr>
          <w:ilvl w:val="2"/>
          <w:numId w:val="4"/>
        </w:numPr>
      </w:pPr>
      <w:r>
        <w:t>Povinnost správce údajů zabezpečit proces zpracování tak, aby osobní údaje náležitě zabezpečil</w:t>
      </w:r>
      <w:r w:rsidR="00FC0CE8">
        <w:t xml:space="preserve"> před neoprávněným či protiprávním zpracováním a před náhodnou ztrátou, zničením nebo poškozením. Účelem je minimalizace rizika zásahu do práv a svobod subjektu údajů.</w:t>
      </w:r>
    </w:p>
    <w:p w14:paraId="56753518" w14:textId="00389DD4" w:rsidR="006F75B0" w:rsidRPr="00836514" w:rsidRDefault="006F75B0" w:rsidP="006F75B0">
      <w:pPr>
        <w:pStyle w:val="Odstavecseseznamem"/>
        <w:numPr>
          <w:ilvl w:val="1"/>
          <w:numId w:val="4"/>
        </w:numPr>
        <w:rPr>
          <w:b/>
          <w:bCs/>
        </w:rPr>
      </w:pPr>
      <w:r w:rsidRPr="00836514">
        <w:rPr>
          <w:b/>
          <w:bCs/>
        </w:rPr>
        <w:t>Zásada odpovědnosti správce</w:t>
      </w:r>
    </w:p>
    <w:p w14:paraId="170B9068" w14:textId="388472C7" w:rsidR="006F75B0" w:rsidRDefault="00E310D8" w:rsidP="006F75B0">
      <w:pPr>
        <w:pStyle w:val="Odstavecseseznamem"/>
        <w:numPr>
          <w:ilvl w:val="2"/>
          <w:numId w:val="4"/>
        </w:numPr>
      </w:pPr>
      <w:r>
        <w:lastRenderedPageBreak/>
        <w:t>Správce musí při zpracování přijmout vhodná opatření, aby splnil všechny požadavky vyplývající z předchozích zásad</w:t>
      </w:r>
      <w:r w:rsidR="001075B6">
        <w:t xml:space="preserve"> a zároveň musí být schopen přijetí takových opatření doložit.</w:t>
      </w:r>
    </w:p>
    <w:p w14:paraId="5A20627C" w14:textId="67DC310E" w:rsidR="005F53C9" w:rsidRPr="0064219C" w:rsidRDefault="005F53C9" w:rsidP="00F53C4B">
      <w:pPr>
        <w:pStyle w:val="Odstavecseseznamem"/>
        <w:numPr>
          <w:ilvl w:val="0"/>
          <w:numId w:val="4"/>
        </w:numPr>
        <w:rPr>
          <w:b/>
          <w:bCs/>
        </w:rPr>
      </w:pPr>
      <w:r w:rsidRPr="0064219C">
        <w:rPr>
          <w:b/>
          <w:bCs/>
        </w:rPr>
        <w:t>Osobní údaje a jejich zpracování – vymezení pojmu a zúčastněné osoby</w:t>
      </w:r>
    </w:p>
    <w:p w14:paraId="0552DA4E" w14:textId="221DA4E0" w:rsidR="00391AA4" w:rsidRDefault="00391AA4" w:rsidP="00391AA4">
      <w:pPr>
        <w:pStyle w:val="Odstavecseseznamem"/>
        <w:numPr>
          <w:ilvl w:val="1"/>
          <w:numId w:val="4"/>
        </w:numPr>
      </w:pPr>
      <w:r w:rsidRPr="0064219C">
        <w:rPr>
          <w:b/>
          <w:bCs/>
        </w:rPr>
        <w:t>Osobní údaj</w:t>
      </w:r>
      <w:r>
        <w:t xml:space="preserve"> j</w:t>
      </w:r>
      <w:r w:rsidR="0062075B">
        <w:t xml:space="preserve">e uveden jako: „veškeré informace o </w:t>
      </w:r>
      <w:r w:rsidR="0062075B" w:rsidRPr="0062075B">
        <w:rPr>
          <w:b/>
          <w:bCs/>
        </w:rPr>
        <w:t>identifikované</w:t>
      </w:r>
      <w:r w:rsidR="0062075B">
        <w:t xml:space="preserve"> nebo </w:t>
      </w:r>
      <w:r w:rsidR="0062075B" w:rsidRPr="0062075B">
        <w:rPr>
          <w:b/>
          <w:bCs/>
        </w:rPr>
        <w:t>identifikovatelné fyzické osobě</w:t>
      </w:r>
      <w:r w:rsidR="0062075B">
        <w:rPr>
          <w:b/>
          <w:bCs/>
        </w:rPr>
        <w:t xml:space="preserve"> </w:t>
      </w:r>
      <w:r w:rsidR="0062075B">
        <w:t>(subjekt údajů)</w:t>
      </w:r>
      <w:r w:rsidR="00CA6FED">
        <w:t>; identifikovatelnou fyzickou osobou je fyzická osoba, kterou lze přímo či nepřímo identifikovat, zejména odkazem na určitý identifikátor, například jméno, identifikační číslo</w:t>
      </w:r>
      <w:r w:rsidR="00204557">
        <w:t>, lokační údaje…“</w:t>
      </w:r>
    </w:p>
    <w:p w14:paraId="664AFADE" w14:textId="5DC97000" w:rsidR="0064219C" w:rsidRDefault="0064219C" w:rsidP="00391AA4">
      <w:pPr>
        <w:pStyle w:val="Odstavecseseznamem"/>
        <w:numPr>
          <w:ilvl w:val="1"/>
          <w:numId w:val="4"/>
        </w:numPr>
      </w:pPr>
      <w:r w:rsidRPr="00980358">
        <w:rPr>
          <w:b/>
          <w:bCs/>
        </w:rPr>
        <w:t xml:space="preserve">Anonymní a </w:t>
      </w:r>
      <w:proofErr w:type="spellStart"/>
      <w:r w:rsidRPr="00980358">
        <w:rPr>
          <w:b/>
          <w:bCs/>
        </w:rPr>
        <w:t>pseudoanonymní</w:t>
      </w:r>
      <w:proofErr w:type="spellEnd"/>
      <w:r w:rsidRPr="00980358">
        <w:rPr>
          <w:b/>
          <w:bCs/>
        </w:rPr>
        <w:t xml:space="preserve"> údaj</w:t>
      </w:r>
    </w:p>
    <w:p w14:paraId="45FEF1B5" w14:textId="20C6D38A" w:rsidR="0064219C" w:rsidRPr="00FA21B7" w:rsidRDefault="00A34A52" w:rsidP="00391AA4">
      <w:pPr>
        <w:pStyle w:val="Odstavecseseznamem"/>
        <w:numPr>
          <w:ilvl w:val="1"/>
          <w:numId w:val="4"/>
        </w:numPr>
        <w:rPr>
          <w:b/>
          <w:bCs/>
        </w:rPr>
      </w:pPr>
      <w:r w:rsidRPr="004D07AC">
        <w:rPr>
          <w:b/>
          <w:bCs/>
        </w:rPr>
        <w:t>Správce osobních údajů</w:t>
      </w:r>
      <w:r w:rsidRPr="004D07AC">
        <w:t xml:space="preserve"> je osoba(ať už fyzická nebo právnická), instituce, úřad nebo</w:t>
      </w:r>
      <w:r>
        <w:t xml:space="preserve"> jiný subjekt, </w:t>
      </w:r>
      <w:r w:rsidRPr="00A34A52">
        <w:rPr>
          <w:b/>
          <w:bCs/>
        </w:rPr>
        <w:t>který určuje účel daného zpracování</w:t>
      </w:r>
      <w:r>
        <w:t xml:space="preserve"> </w:t>
      </w:r>
      <w:r w:rsidR="00AB3690">
        <w:t>a je za ně primárně odpovědný.</w:t>
      </w:r>
    </w:p>
    <w:p w14:paraId="06AE1D98" w14:textId="3DE304B1" w:rsidR="00FA21B7" w:rsidRPr="00DC3D99" w:rsidRDefault="00FA21B7" w:rsidP="00391AA4">
      <w:pPr>
        <w:pStyle w:val="Odstavecseseznamem"/>
        <w:numPr>
          <w:ilvl w:val="1"/>
          <w:numId w:val="4"/>
        </w:numPr>
        <w:rPr>
          <w:b/>
          <w:bCs/>
        </w:rPr>
      </w:pPr>
      <w:r w:rsidRPr="00FA21B7">
        <w:rPr>
          <w:b/>
          <w:bCs/>
        </w:rPr>
        <w:t>Zpracovatel osobních údajů zpracovává osobní údaje pro správce.</w:t>
      </w:r>
      <w:r>
        <w:t xml:space="preserve"> Sám tedy </w:t>
      </w:r>
      <w:r w:rsidR="00B23F27">
        <w:t>účel neurčuje, ale děl</w:t>
      </w:r>
      <w:r w:rsidR="00DB3535">
        <w:t>á</w:t>
      </w:r>
      <w:r w:rsidR="00B23F27">
        <w:t xml:space="preserve"> to, co mu správce řekne. Správce a zpracovatel mezi sebou musí uzavřít smlouvu, ve které</w:t>
      </w:r>
      <w:r w:rsidR="0075755E">
        <w:t xml:space="preserve"> se upraví detaily jejich vztahu.</w:t>
      </w:r>
    </w:p>
    <w:p w14:paraId="149146F6" w14:textId="64112B53" w:rsidR="00DC3D99" w:rsidRPr="00995E8F" w:rsidRDefault="00DC3D99" w:rsidP="00391AA4">
      <w:pPr>
        <w:pStyle w:val="Odstavecseseznamem"/>
        <w:numPr>
          <w:ilvl w:val="1"/>
          <w:numId w:val="4"/>
        </w:numPr>
        <w:rPr>
          <w:b/>
          <w:bCs/>
        </w:rPr>
      </w:pPr>
      <w:r w:rsidRPr="00CA54E3">
        <w:rPr>
          <w:b/>
          <w:bCs/>
        </w:rPr>
        <w:t>Zpracování osobních údaj</w:t>
      </w:r>
      <w:r w:rsidR="000241AC" w:rsidRPr="00CA54E3">
        <w:rPr>
          <w:b/>
          <w:bCs/>
        </w:rPr>
        <w:t>ů</w:t>
      </w:r>
      <w:r w:rsidRPr="00CA54E3">
        <w:rPr>
          <w:b/>
          <w:bCs/>
        </w:rPr>
        <w:t xml:space="preserve"> je jakákoliv operace</w:t>
      </w:r>
      <w:r w:rsidR="000241AC" w:rsidRPr="00CA54E3">
        <w:rPr>
          <w:b/>
          <w:bCs/>
        </w:rPr>
        <w:t xml:space="preserve"> s osobními údaji</w:t>
      </w:r>
      <w:r w:rsidR="00253FE1">
        <w:t>, která je prováděna pomocí či bez pomoci aut</w:t>
      </w:r>
      <w:r w:rsidR="009B4B75">
        <w:t>o</w:t>
      </w:r>
      <w:r w:rsidR="00253FE1">
        <w:t>m</w:t>
      </w:r>
      <w:r w:rsidR="009B4B75">
        <w:t>a</w:t>
      </w:r>
      <w:r w:rsidR="00253FE1">
        <w:t>tizovaných postupů, jako je shromáždění, zaznamenání, uložení, přizpůsobení, vyhledání, použití, šíření atd</w:t>
      </w:r>
      <w:r w:rsidR="00CA54E3">
        <w:t>. atd. Definice je velice široká, obecně jde o jakoukoliv činnost, kterou správce nebo zpracovatel s osobními údaji provádí.</w:t>
      </w:r>
    </w:p>
    <w:p w14:paraId="20A36B2A" w14:textId="68582255" w:rsidR="00995E8F" w:rsidRPr="00A34A52" w:rsidRDefault="00995E8F" w:rsidP="00391AA4">
      <w:pPr>
        <w:pStyle w:val="Odstavecseseznamem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Citlivý údaj</w:t>
      </w:r>
      <w:r w:rsidRPr="00995E8F">
        <w:rPr>
          <w:b/>
          <w:bCs/>
        </w:rPr>
        <w:t>,</w:t>
      </w:r>
      <w:r>
        <w:t xml:space="preserve"> vypovídá </w:t>
      </w:r>
      <w:r w:rsidR="00CA585C">
        <w:t xml:space="preserve">o </w:t>
      </w:r>
      <w:r w:rsidR="00CA585C" w:rsidRPr="00CA585C">
        <w:t>národnostním, rasovém nebo etnickém původu, politických postojích, členství v odborových organizacích, náboženství a filozofickém přesvědčení, odsouzení za trestný čin, zdravotním stavu a sexuálním životě člověka a genetické údaje. Citlivým údajem je také biometrický údaj, který umožňuje přímou identifikaci nebo autentizaci člověka.</w:t>
      </w:r>
    </w:p>
    <w:p w14:paraId="276F280F" w14:textId="297D17AE" w:rsidR="005F53C9" w:rsidRPr="00A80568" w:rsidRDefault="005F53C9" w:rsidP="00F53C4B">
      <w:pPr>
        <w:pStyle w:val="Odstavecseseznamem"/>
        <w:numPr>
          <w:ilvl w:val="0"/>
          <w:numId w:val="4"/>
        </w:numPr>
        <w:rPr>
          <w:b/>
          <w:bCs/>
        </w:rPr>
      </w:pPr>
      <w:r w:rsidRPr="00A80568">
        <w:rPr>
          <w:b/>
          <w:bCs/>
        </w:rPr>
        <w:t>Povinnosti správce osobních údajů podle nařízení 2016/679</w:t>
      </w:r>
    </w:p>
    <w:p w14:paraId="3F02261C" w14:textId="32963733" w:rsidR="00A80568" w:rsidRDefault="00A80568" w:rsidP="00A80568">
      <w:pPr>
        <w:pStyle w:val="Odstavecseseznamem"/>
        <w:numPr>
          <w:ilvl w:val="1"/>
          <w:numId w:val="4"/>
        </w:numPr>
      </w:pPr>
      <w:r>
        <w:t>Základní povinností je stanovit účel zpracování</w:t>
      </w:r>
    </w:p>
    <w:p w14:paraId="47D0764B" w14:textId="0608C969" w:rsidR="0026550E" w:rsidRDefault="0026550E" w:rsidP="00A80568">
      <w:pPr>
        <w:pStyle w:val="Odstavecseseznamem"/>
        <w:numPr>
          <w:ilvl w:val="1"/>
          <w:numId w:val="4"/>
        </w:numPr>
      </w:pPr>
      <w:r>
        <w:t>Určit</w:t>
      </w:r>
      <w:r w:rsidR="005B744E">
        <w:t xml:space="preserve"> nezbytnou dobu uložení, když zahajuje proces zpracování osobních údajů. Doba může být vyjádřena absolutně(půl roku), tak relativně(po dobu poskytování služby, nebo do odvolání souhlasu).</w:t>
      </w:r>
    </w:p>
    <w:p w14:paraId="1A2381CF" w14:textId="71F6E809" w:rsidR="00A174E3" w:rsidRDefault="007E1526" w:rsidP="00A80568">
      <w:pPr>
        <w:pStyle w:val="Odstavecseseznamem"/>
        <w:numPr>
          <w:ilvl w:val="1"/>
          <w:numId w:val="4"/>
        </w:numPr>
      </w:pPr>
      <w:r>
        <w:t>Povinnost nést odpovědnost</w:t>
      </w:r>
      <w:r w:rsidR="00A230E1">
        <w:t xml:space="preserve"> za zpracování.</w:t>
      </w:r>
    </w:p>
    <w:p w14:paraId="28308EF7" w14:textId="76E3BB92" w:rsidR="00A230E1" w:rsidRDefault="00A230E1" w:rsidP="00A80568">
      <w:pPr>
        <w:pStyle w:val="Odstavecseseznamem"/>
        <w:numPr>
          <w:ilvl w:val="1"/>
          <w:numId w:val="4"/>
        </w:numPr>
      </w:pPr>
      <w:r>
        <w:t>Povinnost zavést vhodná technická a organizační opatření, aby správce zajistil a byl schopen doložit, že zpracování je prováděno v souladu s GDPR.</w:t>
      </w:r>
    </w:p>
    <w:p w14:paraId="199FC4DB" w14:textId="55DF3DAB" w:rsidR="009257B5" w:rsidRDefault="009257B5" w:rsidP="00A80568">
      <w:pPr>
        <w:pStyle w:val="Odstavecseseznamem"/>
        <w:numPr>
          <w:ilvl w:val="1"/>
          <w:numId w:val="4"/>
        </w:numPr>
      </w:pPr>
      <w:r>
        <w:t>Povinnost nastavit proces zpracování osobních údajů tak, aby splňovalo požadavky záměrné a standardní ochrany osobních údajů</w:t>
      </w:r>
      <w:r w:rsidR="007D25CF">
        <w:t>.</w:t>
      </w:r>
    </w:p>
    <w:p w14:paraId="704DBEAE" w14:textId="67C0A1D4" w:rsidR="007D25CF" w:rsidRDefault="007D25CF" w:rsidP="00A80568">
      <w:pPr>
        <w:pStyle w:val="Odstavecseseznamem"/>
        <w:numPr>
          <w:ilvl w:val="1"/>
          <w:numId w:val="4"/>
        </w:numPr>
      </w:pPr>
      <w:r>
        <w:t>Povinnost vést záznamy o zpracování.</w:t>
      </w:r>
    </w:p>
    <w:p w14:paraId="640D1EED" w14:textId="487B515E" w:rsidR="007D25CF" w:rsidRDefault="007D25CF" w:rsidP="00A80568">
      <w:pPr>
        <w:pStyle w:val="Odstavecseseznamem"/>
        <w:numPr>
          <w:ilvl w:val="1"/>
          <w:numId w:val="4"/>
        </w:numPr>
      </w:pPr>
      <w:r>
        <w:t>Povinnost poskytnout subj</w:t>
      </w:r>
      <w:r w:rsidR="000B5BA1">
        <w:t>ektu údajů na základě žádosti vybrané údaje.</w:t>
      </w:r>
    </w:p>
    <w:p w14:paraId="3DED4FBA" w14:textId="062B2201" w:rsidR="000B5BA1" w:rsidRPr="00AE28D9" w:rsidRDefault="000B5BA1" w:rsidP="00A80568">
      <w:pPr>
        <w:pStyle w:val="Odstavecseseznamem"/>
        <w:numPr>
          <w:ilvl w:val="1"/>
          <w:numId w:val="4"/>
        </w:numPr>
        <w:rPr>
          <w:b/>
          <w:bCs/>
        </w:rPr>
      </w:pPr>
      <w:r w:rsidRPr="00AE28D9">
        <w:rPr>
          <w:b/>
          <w:bCs/>
        </w:rPr>
        <w:t>Zajisti</w:t>
      </w:r>
      <w:r w:rsidR="00D719A9" w:rsidRPr="00AE28D9">
        <w:rPr>
          <w:b/>
          <w:bCs/>
        </w:rPr>
        <w:t>t</w:t>
      </w:r>
      <w:r w:rsidRPr="00AE28D9">
        <w:rPr>
          <w:b/>
          <w:bCs/>
        </w:rPr>
        <w:t>, aby každé zpracování osobních údajů bylo podloženo právním titulem pro zpracování.</w:t>
      </w:r>
    </w:p>
    <w:p w14:paraId="6E608856" w14:textId="02788882" w:rsidR="005F53C9" w:rsidRPr="008633C1" w:rsidRDefault="005F53C9" w:rsidP="00F53C4B">
      <w:pPr>
        <w:pStyle w:val="Odstavecseseznamem"/>
        <w:numPr>
          <w:ilvl w:val="0"/>
          <w:numId w:val="4"/>
        </w:numPr>
        <w:rPr>
          <w:b/>
          <w:bCs/>
        </w:rPr>
      </w:pPr>
      <w:r w:rsidRPr="008633C1">
        <w:rPr>
          <w:b/>
          <w:bCs/>
        </w:rPr>
        <w:t>Práva subjektu údajů ve vztahu ke správci a zpracovateli podle nařízení 2016/679</w:t>
      </w:r>
    </w:p>
    <w:p w14:paraId="65198CF6" w14:textId="73D431AF" w:rsidR="008C2ECF" w:rsidRDefault="0076671D" w:rsidP="008C2ECF">
      <w:pPr>
        <w:pStyle w:val="Odstavecseseznamem"/>
        <w:numPr>
          <w:ilvl w:val="1"/>
          <w:numId w:val="4"/>
        </w:numPr>
      </w:pPr>
      <w:r w:rsidRPr="00E176F6">
        <w:rPr>
          <w:b/>
          <w:bCs/>
        </w:rPr>
        <w:t>Právo na informační sebeurčení</w:t>
      </w:r>
      <w:r>
        <w:t xml:space="preserve"> – každý člověk má možnost určit si, jak bude nakládáno s informacemi o jeho osobě.</w:t>
      </w:r>
      <w:r w:rsidR="006F78FD">
        <w:t xml:space="preserve"> Není to absolutní právo a existují z něj výjimky, například v podobě zpracování informací státními orgány.</w:t>
      </w:r>
    </w:p>
    <w:p w14:paraId="2E830BF3" w14:textId="4EBEDE95" w:rsidR="0000117F" w:rsidRDefault="0000117F" w:rsidP="008C2ECF">
      <w:pPr>
        <w:pStyle w:val="Odstavecseseznamem"/>
        <w:numPr>
          <w:ilvl w:val="1"/>
          <w:numId w:val="4"/>
        </w:numPr>
      </w:pPr>
      <w:r w:rsidRPr="00E176F6">
        <w:rPr>
          <w:b/>
          <w:bCs/>
        </w:rPr>
        <w:t xml:space="preserve">Právo </w:t>
      </w:r>
      <w:r w:rsidR="009F448E" w:rsidRPr="00E176F6">
        <w:rPr>
          <w:b/>
          <w:bCs/>
        </w:rPr>
        <w:t>na přístup k osobním údajům</w:t>
      </w:r>
      <w:r w:rsidR="009F448E">
        <w:t>, dle kterého se může subjekt údajů dotázat správce, jestli zpracovává jeho osobní údaje a pokud ano, může si vyžádat jejich kopii.</w:t>
      </w:r>
    </w:p>
    <w:p w14:paraId="0B6DE282" w14:textId="06F25714" w:rsidR="002C0B18" w:rsidRDefault="002C0B18" w:rsidP="008C2ECF">
      <w:pPr>
        <w:pStyle w:val="Odstavecseseznamem"/>
        <w:numPr>
          <w:ilvl w:val="1"/>
          <w:numId w:val="4"/>
        </w:numPr>
      </w:pPr>
      <w:r w:rsidRPr="00E176F6">
        <w:rPr>
          <w:b/>
          <w:bCs/>
        </w:rPr>
        <w:t>Právo na opravu chybných nebo nepřesných údajů</w:t>
      </w:r>
      <w:r>
        <w:t>.</w:t>
      </w:r>
    </w:p>
    <w:p w14:paraId="1A034BB9" w14:textId="0FB28647" w:rsidR="002C0B18" w:rsidRDefault="002C0B18" w:rsidP="008C2ECF">
      <w:pPr>
        <w:pStyle w:val="Odstavecseseznamem"/>
        <w:numPr>
          <w:ilvl w:val="1"/>
          <w:numId w:val="4"/>
        </w:numPr>
      </w:pPr>
      <w:r w:rsidRPr="00E176F6">
        <w:rPr>
          <w:b/>
          <w:bCs/>
        </w:rPr>
        <w:lastRenderedPageBreak/>
        <w:t>Právo na výmaz</w:t>
      </w:r>
      <w:r>
        <w:t xml:space="preserve"> – „právo být zapomenut“ – subjekt údajů může požadovat vymazání osobních údajů</w:t>
      </w:r>
      <w:r w:rsidR="00972C46">
        <w:t xml:space="preserve">, jejichž účel zpracování již pominul, u kterých není </w:t>
      </w:r>
      <w:r w:rsidR="00972C46" w:rsidRPr="00E176F6">
        <w:rPr>
          <w:b/>
          <w:bCs/>
        </w:rPr>
        <w:t>právní titul</w:t>
      </w:r>
      <w:r w:rsidR="00972C46">
        <w:t xml:space="preserve"> na zpracování, případně které jsou obecně zpracovávány protiprávně.</w:t>
      </w:r>
    </w:p>
    <w:p w14:paraId="4ED6159A" w14:textId="6258CB39" w:rsidR="003D1D8B" w:rsidRDefault="003D1D8B" w:rsidP="008C2ECF">
      <w:pPr>
        <w:pStyle w:val="Odstavecseseznamem"/>
        <w:numPr>
          <w:ilvl w:val="1"/>
          <w:numId w:val="4"/>
        </w:numPr>
      </w:pPr>
      <w:r w:rsidRPr="00E176F6">
        <w:rPr>
          <w:b/>
          <w:bCs/>
        </w:rPr>
        <w:t>Právo nebýt předmětem automatizovaného rozhodování</w:t>
      </w:r>
      <w:r>
        <w:t>.</w:t>
      </w:r>
    </w:p>
    <w:p w14:paraId="4B421913" w14:textId="4F96D0FC" w:rsidR="00391AA4" w:rsidRDefault="00391AA4" w:rsidP="00391AA4">
      <w:r>
        <w:br w:type="page"/>
      </w:r>
    </w:p>
    <w:p w14:paraId="7A149ABE" w14:textId="77777777" w:rsidR="002300E9" w:rsidRPr="00F53C4B" w:rsidRDefault="002300E9" w:rsidP="00F53C4B">
      <w:pPr>
        <w:pStyle w:val="Nadpis1"/>
        <w:rPr>
          <w:b/>
          <w:bCs/>
        </w:rPr>
      </w:pPr>
      <w:bookmarkStart w:id="5" w:name="_Toc61990545"/>
      <w:r w:rsidRPr="00F53C4B">
        <w:rPr>
          <w:b/>
          <w:bCs/>
        </w:rPr>
        <w:lastRenderedPageBreak/>
        <w:t>Informace veřejného sektoru a Otevřená data</w:t>
      </w:r>
      <w:bookmarkEnd w:id="5"/>
    </w:p>
    <w:p w14:paraId="038151FB" w14:textId="7587763B" w:rsidR="002300E9" w:rsidRDefault="002300E9" w:rsidP="00F53C4B">
      <w:pPr>
        <w:pStyle w:val="Odstavecseseznamem"/>
        <w:numPr>
          <w:ilvl w:val="0"/>
          <w:numId w:val="5"/>
        </w:numPr>
        <w:tabs>
          <w:tab w:val="left" w:pos="540"/>
        </w:tabs>
        <w:rPr>
          <w:b/>
          <w:bCs/>
        </w:rPr>
      </w:pPr>
      <w:r w:rsidRPr="00762A63">
        <w:rPr>
          <w:b/>
          <w:bCs/>
        </w:rPr>
        <w:t>Pojem “informace veřejného sektoru”</w:t>
      </w:r>
    </w:p>
    <w:p w14:paraId="68CFB94E" w14:textId="0C08DFBA" w:rsidR="00335801" w:rsidRPr="00C07DD8" w:rsidRDefault="00335801" w:rsidP="00335801">
      <w:pPr>
        <w:pStyle w:val="Odstavecseseznamem"/>
        <w:numPr>
          <w:ilvl w:val="1"/>
          <w:numId w:val="5"/>
        </w:numPr>
        <w:tabs>
          <w:tab w:val="left" w:pos="540"/>
        </w:tabs>
        <w:rPr>
          <w:b/>
          <w:bCs/>
        </w:rPr>
      </w:pPr>
      <w:r>
        <w:t xml:space="preserve">Nejčastěji se setkáváme </w:t>
      </w:r>
      <w:r w:rsidR="00824D53">
        <w:t>s pojmem informace veřejného sektoru ve spojení s právem na informace</w:t>
      </w:r>
    </w:p>
    <w:p w14:paraId="4B7B93F3" w14:textId="32410E86" w:rsidR="00C07DD8" w:rsidRPr="00762A63" w:rsidRDefault="00C07DD8" w:rsidP="00C07DD8">
      <w:pPr>
        <w:pStyle w:val="Odstavecseseznamem"/>
        <w:numPr>
          <w:ilvl w:val="2"/>
          <w:numId w:val="5"/>
        </w:numPr>
        <w:tabs>
          <w:tab w:val="left" w:pos="540"/>
        </w:tabs>
        <w:rPr>
          <w:b/>
          <w:bCs/>
        </w:rPr>
      </w:pPr>
      <w:r>
        <w:t xml:space="preserve">Právo na informace je právo občanů vůči </w:t>
      </w:r>
      <w:r w:rsidR="00D64B84">
        <w:t>orgánům veřejné moci, které mají povinnost nejen odpovídat na jednotlivé žádosti o poskytnutí informací, ale i o své činnosti</w:t>
      </w:r>
    </w:p>
    <w:p w14:paraId="4762D089" w14:textId="4299DF36" w:rsidR="000F6E47" w:rsidRDefault="000F6E47" w:rsidP="000F6E47">
      <w:pPr>
        <w:pStyle w:val="Odstavecseseznamem"/>
        <w:numPr>
          <w:ilvl w:val="1"/>
          <w:numId w:val="5"/>
        </w:numPr>
        <w:tabs>
          <w:tab w:val="left" w:pos="540"/>
        </w:tabs>
      </w:pPr>
      <w:r>
        <w:t>Všechny dokumenty, databáze</w:t>
      </w:r>
      <w:r w:rsidR="00673D3F">
        <w:t xml:space="preserve"> a jiné informace, které sbírá, uchovává a zpracovává veřejný sektor. Například informace o počasí, dopravě, zákonu, rozsudky Nejvyššího soudu.</w:t>
      </w:r>
    </w:p>
    <w:p w14:paraId="1332AD7A" w14:textId="65F8F953" w:rsidR="002300E9" w:rsidRPr="00D04FD5" w:rsidRDefault="002300E9" w:rsidP="00F53C4B">
      <w:pPr>
        <w:pStyle w:val="Odstavecseseznamem"/>
        <w:numPr>
          <w:ilvl w:val="0"/>
          <w:numId w:val="5"/>
        </w:numPr>
        <w:tabs>
          <w:tab w:val="left" w:pos="540"/>
        </w:tabs>
        <w:rPr>
          <w:b/>
          <w:bCs/>
        </w:rPr>
      </w:pPr>
      <w:r w:rsidRPr="00D04FD5">
        <w:rPr>
          <w:b/>
          <w:bCs/>
        </w:rPr>
        <w:t>Povinné subjekty podle zákona č. 106/1999 Sb.</w:t>
      </w:r>
      <w:r w:rsidR="00214503">
        <w:rPr>
          <w:b/>
          <w:bCs/>
        </w:rPr>
        <w:t xml:space="preserve"> – zákon </w:t>
      </w:r>
      <w:r w:rsidR="00C3210A">
        <w:rPr>
          <w:b/>
          <w:bCs/>
        </w:rPr>
        <w:t>o svobodném přístupu k informacím</w:t>
      </w:r>
    </w:p>
    <w:p w14:paraId="11F52896" w14:textId="416135AD" w:rsidR="001F7AF2" w:rsidRPr="000F6E47" w:rsidRDefault="001F7AF2" w:rsidP="001F7AF2">
      <w:pPr>
        <w:pStyle w:val="Odstavecseseznamem"/>
        <w:numPr>
          <w:ilvl w:val="1"/>
          <w:numId w:val="5"/>
        </w:numPr>
        <w:tabs>
          <w:tab w:val="left" w:pos="540"/>
        </w:tabs>
        <w:rPr>
          <w:b/>
          <w:bCs/>
        </w:rPr>
      </w:pPr>
      <w:r w:rsidRPr="000F6E47">
        <w:rPr>
          <w:b/>
          <w:bCs/>
        </w:rPr>
        <w:t>Jsou uvedeny v § 2</w:t>
      </w:r>
    </w:p>
    <w:p w14:paraId="19835C17" w14:textId="3550492D" w:rsidR="001C4C91" w:rsidRDefault="001C4C91" w:rsidP="0070436F">
      <w:pPr>
        <w:pStyle w:val="Odstavecseseznamem"/>
        <w:numPr>
          <w:ilvl w:val="2"/>
          <w:numId w:val="5"/>
        </w:numPr>
        <w:tabs>
          <w:tab w:val="left" w:pos="540"/>
        </w:tabs>
      </w:pPr>
      <w:r>
        <w:t>Státní orgány, územní samosprávné celky</w:t>
      </w:r>
      <w:r w:rsidR="00D01B30">
        <w:t xml:space="preserve"> a jejich orgány a veřejné instituce.</w:t>
      </w:r>
    </w:p>
    <w:p w14:paraId="641406EE" w14:textId="6FFC6ACB" w:rsidR="0070436F" w:rsidRDefault="0070436F" w:rsidP="0070436F">
      <w:pPr>
        <w:pStyle w:val="Odstavecseseznamem"/>
        <w:numPr>
          <w:ilvl w:val="2"/>
          <w:numId w:val="5"/>
        </w:numPr>
        <w:tabs>
          <w:tab w:val="left" w:pos="540"/>
        </w:tabs>
      </w:pPr>
      <w:r>
        <w:t xml:space="preserve">Subjekty, </w:t>
      </w:r>
      <w:r w:rsidR="004E1894">
        <w:t xml:space="preserve">které rozhodují o </w:t>
      </w:r>
      <w:r>
        <w:t>práve</w:t>
      </w:r>
      <w:r w:rsidR="004E1894">
        <w:t>ch, záj</w:t>
      </w:r>
      <w:r>
        <w:t>mech nebo povinnost</w:t>
      </w:r>
      <w:r w:rsidR="00665A86">
        <w:t>ech fyzických nebo právnických osob v oblasti veřejné správy.</w:t>
      </w:r>
    </w:p>
    <w:p w14:paraId="1A35EA01" w14:textId="1DBBC0EB" w:rsidR="002300E9" w:rsidRPr="0039589F" w:rsidRDefault="002300E9" w:rsidP="00F53C4B">
      <w:pPr>
        <w:pStyle w:val="Odstavecseseznamem"/>
        <w:numPr>
          <w:ilvl w:val="0"/>
          <w:numId w:val="5"/>
        </w:numPr>
        <w:tabs>
          <w:tab w:val="left" w:pos="540"/>
        </w:tabs>
        <w:rPr>
          <w:b/>
          <w:bCs/>
        </w:rPr>
      </w:pPr>
      <w:r w:rsidRPr="0039589F">
        <w:rPr>
          <w:b/>
          <w:bCs/>
        </w:rPr>
        <w:t>Pojem „otevřená data“</w:t>
      </w:r>
    </w:p>
    <w:p w14:paraId="46E4BEB4" w14:textId="586AE779" w:rsidR="00982ED7" w:rsidRDefault="00982ED7" w:rsidP="00982ED7">
      <w:pPr>
        <w:pStyle w:val="Odstavecseseznamem"/>
        <w:numPr>
          <w:ilvl w:val="1"/>
          <w:numId w:val="5"/>
        </w:numPr>
        <w:tabs>
          <w:tab w:val="left" w:pos="540"/>
        </w:tabs>
      </w:pPr>
      <w:r>
        <w:t xml:space="preserve">Otevřená data jsou informace </w:t>
      </w:r>
      <w:r w:rsidR="00373477">
        <w:t>zveřejňované způsobem umožňujícím dálkový přístup v otevřeném a strojově čitelném formátu, jejichž způsob ani účel následného využití není omezen a které jsou evidovány v národním katalogu otevřených dat.</w:t>
      </w:r>
    </w:p>
    <w:p w14:paraId="183EF423" w14:textId="6D33E9DC" w:rsidR="009E5A2E" w:rsidRDefault="009E5A2E" w:rsidP="00982ED7">
      <w:pPr>
        <w:pStyle w:val="Odstavecseseznamem"/>
        <w:numPr>
          <w:ilvl w:val="1"/>
          <w:numId w:val="5"/>
        </w:numPr>
        <w:tabs>
          <w:tab w:val="left" w:pos="540"/>
        </w:tabs>
      </w:pPr>
      <w:r>
        <w:t>Formát a struktura</w:t>
      </w:r>
      <w:r w:rsidR="0039589F">
        <w:t xml:space="preserve"> otevřených dat umožňuje jejich hromadné počítačové zpracování, k němuž jejich vydavatel poskytl právní svolení. Díky tomu mohou být dál volně zpracovávány, a to i v rámci softwarových aplikací.</w:t>
      </w:r>
    </w:p>
    <w:p w14:paraId="7B9F82BF" w14:textId="7A44293A" w:rsidR="0039589F" w:rsidRDefault="0039589F" w:rsidP="00982ED7">
      <w:pPr>
        <w:pStyle w:val="Odstavecseseznamem"/>
        <w:numPr>
          <w:ilvl w:val="1"/>
          <w:numId w:val="5"/>
        </w:numPr>
        <w:tabs>
          <w:tab w:val="left" w:pos="540"/>
        </w:tabs>
      </w:pPr>
      <w:r>
        <w:t>Jedná se například o jízdní řády, příjmy státu</w:t>
      </w:r>
      <w:r w:rsidR="00022529">
        <w:t>,</w:t>
      </w:r>
      <w:r>
        <w:t xml:space="preserve"> seznam poskytovatelů sociálních služeb</w:t>
      </w:r>
      <w:r w:rsidR="00022529">
        <w:t xml:space="preserve"> a další. Pocházejí z univerzit, nevládních organizací, soukromých firem nebo veřejné zprávy.</w:t>
      </w:r>
    </w:p>
    <w:p w14:paraId="23EE9992" w14:textId="6DA01709" w:rsidR="0085166D" w:rsidRDefault="00521744" w:rsidP="00982ED7">
      <w:pPr>
        <w:pStyle w:val="Odstavecseseznamem"/>
        <w:numPr>
          <w:ilvl w:val="1"/>
          <w:numId w:val="5"/>
        </w:numPr>
        <w:tabs>
          <w:tab w:val="left" w:pos="540"/>
        </w:tabs>
      </w:pPr>
      <w:r>
        <w:t xml:space="preserve">Londýn – </w:t>
      </w:r>
      <w:proofErr w:type="spellStart"/>
      <w:r w:rsidR="0029689D">
        <w:t>rigo</w:t>
      </w:r>
      <w:proofErr w:type="spellEnd"/>
      <w:r w:rsidR="0029689D">
        <w:t xml:space="preserve"> pana Míška </w:t>
      </w:r>
      <w:r w:rsidR="00E67D49">
        <w:t>–</w:t>
      </w:r>
      <w:r w:rsidR="0029689D">
        <w:t xml:space="preserve"> </w:t>
      </w:r>
      <w:r>
        <w:t>snad všechno funguje na open data. 1 mil liber náklady na zveřejnění a návrat 58 mil. v podobě daní</w:t>
      </w:r>
    </w:p>
    <w:p w14:paraId="215EE32F" w14:textId="632007E4" w:rsidR="002300E9" w:rsidRPr="00860861" w:rsidRDefault="002300E9" w:rsidP="00F53C4B">
      <w:pPr>
        <w:pStyle w:val="Odstavecseseznamem"/>
        <w:numPr>
          <w:ilvl w:val="0"/>
          <w:numId w:val="5"/>
        </w:numPr>
        <w:tabs>
          <w:tab w:val="left" w:pos="540"/>
        </w:tabs>
        <w:rPr>
          <w:b/>
          <w:bCs/>
        </w:rPr>
      </w:pPr>
      <w:r w:rsidRPr="00860861">
        <w:rPr>
          <w:b/>
          <w:bCs/>
        </w:rPr>
        <w:t>Obecná právní úprava otevřených dat</w:t>
      </w:r>
    </w:p>
    <w:p w14:paraId="5EDB9450" w14:textId="58EDFC8D" w:rsidR="00DF368C" w:rsidRDefault="00DF368C" w:rsidP="00DF368C">
      <w:pPr>
        <w:pStyle w:val="Odstavecseseznamem"/>
        <w:numPr>
          <w:ilvl w:val="1"/>
          <w:numId w:val="5"/>
        </w:numPr>
        <w:tabs>
          <w:tab w:val="left" w:pos="540"/>
        </w:tabs>
      </w:pPr>
      <w:r>
        <w:t>Zákon č. 106/1999 Sb.</w:t>
      </w:r>
      <w:r w:rsidR="00C67018">
        <w:t xml:space="preserve">, </w:t>
      </w:r>
      <w:r w:rsidR="00C67018" w:rsidRPr="00C67018">
        <w:rPr>
          <w:b/>
          <w:bCs/>
        </w:rPr>
        <w:t>Zákon</w:t>
      </w:r>
      <w:r w:rsidRPr="00C67018">
        <w:rPr>
          <w:b/>
          <w:bCs/>
        </w:rPr>
        <w:t xml:space="preserve"> o svobodném přístupu k informacím</w:t>
      </w:r>
      <w:r>
        <w:t>.</w:t>
      </w:r>
    </w:p>
    <w:p w14:paraId="23245DCB" w14:textId="77777777" w:rsidR="003D7F4D" w:rsidRDefault="00C67018" w:rsidP="00DF368C">
      <w:pPr>
        <w:pStyle w:val="Odstavecseseznamem"/>
        <w:numPr>
          <w:ilvl w:val="2"/>
          <w:numId w:val="5"/>
        </w:numPr>
        <w:tabs>
          <w:tab w:val="left" w:pos="540"/>
        </w:tabs>
      </w:pPr>
      <w:r>
        <w:t>Umožňuje přístup k</w:t>
      </w:r>
      <w:r w:rsidR="00310483">
        <w:t> </w:t>
      </w:r>
      <w:r>
        <w:t>informacím</w:t>
      </w:r>
      <w:r w:rsidR="00310483">
        <w:t xml:space="preserve"> na dálku</w:t>
      </w:r>
      <w:r w:rsidR="001A4FF6">
        <w:t>,</w:t>
      </w:r>
      <w:r w:rsidR="00310483">
        <w:t xml:space="preserve"> v rozumném formátu, přístup bez udání důvodů a na libovolné legální použití</w:t>
      </w:r>
    </w:p>
    <w:p w14:paraId="1F620D45" w14:textId="067AB7FD" w:rsidR="00DF368C" w:rsidRDefault="001A4FF6" w:rsidP="00DF368C">
      <w:pPr>
        <w:pStyle w:val="Odstavecseseznamem"/>
        <w:numPr>
          <w:ilvl w:val="2"/>
          <w:numId w:val="5"/>
        </w:numPr>
        <w:tabs>
          <w:tab w:val="left" w:pos="540"/>
        </w:tabs>
      </w:pPr>
      <w:r>
        <w:t>specifikuje povinné subjekty</w:t>
      </w:r>
      <w:r w:rsidR="003D7F4D">
        <w:t xml:space="preserve"> a jejich povinnosti</w:t>
      </w:r>
    </w:p>
    <w:p w14:paraId="2CF1128B" w14:textId="6B648FAD" w:rsidR="003D7F4D" w:rsidRDefault="003D7F4D" w:rsidP="00DF368C">
      <w:pPr>
        <w:pStyle w:val="Odstavecseseznamem"/>
        <w:numPr>
          <w:ilvl w:val="2"/>
          <w:numId w:val="5"/>
        </w:numPr>
        <w:tabs>
          <w:tab w:val="left" w:pos="540"/>
        </w:tabs>
      </w:pPr>
      <w:r>
        <w:t>Národní katalog otevřených dat (NKOD) – správcem je ministerstvo vnitra</w:t>
      </w:r>
    </w:p>
    <w:p w14:paraId="4DB63474" w14:textId="038A1E57" w:rsidR="00626FE4" w:rsidRDefault="002300E9" w:rsidP="00F53C4B">
      <w:pPr>
        <w:pStyle w:val="Odstavecseseznamem"/>
        <w:numPr>
          <w:ilvl w:val="0"/>
          <w:numId w:val="5"/>
        </w:numPr>
        <w:tabs>
          <w:tab w:val="left" w:pos="540"/>
        </w:tabs>
        <w:rPr>
          <w:b/>
          <w:bCs/>
        </w:rPr>
      </w:pPr>
      <w:r w:rsidRPr="00C813D2">
        <w:rPr>
          <w:b/>
          <w:bCs/>
        </w:rPr>
        <w:t>Právní překážky při poskytování informací a otevírání da</w:t>
      </w:r>
      <w:r w:rsidR="000951E9" w:rsidRPr="00C813D2">
        <w:rPr>
          <w:b/>
          <w:bCs/>
        </w:rPr>
        <w:t>t</w:t>
      </w:r>
    </w:p>
    <w:p w14:paraId="64BAB07E" w14:textId="4224D4A7" w:rsidR="00C813D2" w:rsidRPr="009878FC" w:rsidRDefault="00C813D2" w:rsidP="00C813D2">
      <w:pPr>
        <w:pStyle w:val="Odstavecseseznamem"/>
        <w:numPr>
          <w:ilvl w:val="1"/>
          <w:numId w:val="5"/>
        </w:numPr>
        <w:tabs>
          <w:tab w:val="left" w:pos="540"/>
        </w:tabs>
        <w:rPr>
          <w:b/>
          <w:bCs/>
        </w:rPr>
      </w:pPr>
      <w:r w:rsidRPr="009878FC">
        <w:rPr>
          <w:b/>
          <w:bCs/>
        </w:rPr>
        <w:t>Anonymizace dat (ochrana osobních údajů)</w:t>
      </w:r>
    </w:p>
    <w:p w14:paraId="19FEF405" w14:textId="338A87C4" w:rsidR="0019660D" w:rsidRDefault="0019660D" w:rsidP="0019660D">
      <w:pPr>
        <w:pStyle w:val="Odstavecseseznamem"/>
        <w:numPr>
          <w:ilvl w:val="2"/>
          <w:numId w:val="5"/>
        </w:numPr>
        <w:tabs>
          <w:tab w:val="left" w:pos="540"/>
        </w:tabs>
      </w:pPr>
      <w:r>
        <w:t>Můžeme začernit</w:t>
      </w:r>
    </w:p>
    <w:p w14:paraId="64872CE3" w14:textId="207633CD" w:rsidR="00922AF5" w:rsidRDefault="00922AF5" w:rsidP="0019660D">
      <w:pPr>
        <w:pStyle w:val="Odstavecseseznamem"/>
        <w:numPr>
          <w:ilvl w:val="2"/>
          <w:numId w:val="5"/>
        </w:numPr>
        <w:tabs>
          <w:tab w:val="left" w:pos="540"/>
        </w:tabs>
      </w:pPr>
      <w:r>
        <w:t>Porovnáváme právo na informace a ochranu soukromí(osobních údajů)</w:t>
      </w:r>
    </w:p>
    <w:p w14:paraId="105D4E99" w14:textId="71252789" w:rsidR="008F30F6" w:rsidRDefault="001151A7" w:rsidP="0019660D">
      <w:pPr>
        <w:pStyle w:val="Odstavecseseznamem"/>
        <w:numPr>
          <w:ilvl w:val="2"/>
          <w:numId w:val="5"/>
        </w:numPr>
        <w:tabs>
          <w:tab w:val="left" w:pos="540"/>
        </w:tabs>
      </w:pPr>
      <w:r>
        <w:t>Ústavní soud ve věci seznamu soudců, kteří byli členy KSČ před listopadem 1989. Ústavní soud poměřoval právo na ochranu soukromí</w:t>
      </w:r>
      <w:r w:rsidR="00BC0527">
        <w:t xml:space="preserve"> a osobních údajů soudců, proti kterému převážilo právo veřejnosti znát případnou komunistickou minulost</w:t>
      </w:r>
      <w:r w:rsidR="004F5984">
        <w:t xml:space="preserve"> toho, kdo rozhoduje o právech a povinnostech z pozice soudce.</w:t>
      </w:r>
    </w:p>
    <w:p w14:paraId="729C8546" w14:textId="68D66166" w:rsidR="005F16A8" w:rsidRDefault="00D37432" w:rsidP="005F16A8">
      <w:pPr>
        <w:pStyle w:val="Odstavecseseznamem"/>
        <w:numPr>
          <w:ilvl w:val="2"/>
          <w:numId w:val="5"/>
        </w:numPr>
        <w:tabs>
          <w:tab w:val="left" w:pos="540"/>
        </w:tabs>
      </w:pPr>
      <w:r>
        <w:t>Platy</w:t>
      </w:r>
      <w:r w:rsidR="005F16A8">
        <w:t xml:space="preserve"> státních zaměstnanců spadají do definice „veřejných prostředků“.</w:t>
      </w:r>
    </w:p>
    <w:p w14:paraId="342537E5" w14:textId="2437F28D" w:rsidR="00DD132F" w:rsidRPr="009878FC" w:rsidRDefault="00C813D2" w:rsidP="00005434">
      <w:pPr>
        <w:pStyle w:val="Odstavecseseznamem"/>
        <w:numPr>
          <w:ilvl w:val="1"/>
          <w:numId w:val="5"/>
        </w:numPr>
        <w:tabs>
          <w:tab w:val="left" w:pos="540"/>
        </w:tabs>
        <w:rPr>
          <w:b/>
          <w:bCs/>
        </w:rPr>
      </w:pPr>
      <w:r w:rsidRPr="009878FC">
        <w:rPr>
          <w:b/>
          <w:bCs/>
        </w:rPr>
        <w:t>Licence, autorská práva</w:t>
      </w:r>
    </w:p>
    <w:p w14:paraId="1160D4A8" w14:textId="023E2193" w:rsidR="00641884" w:rsidRDefault="00AB0EF5" w:rsidP="00641884">
      <w:pPr>
        <w:pStyle w:val="Odstavecseseznamem"/>
        <w:numPr>
          <w:ilvl w:val="2"/>
          <w:numId w:val="5"/>
        </w:numPr>
        <w:tabs>
          <w:tab w:val="left" w:pos="540"/>
        </w:tabs>
      </w:pPr>
      <w:r>
        <w:t xml:space="preserve">Většina open </w:t>
      </w:r>
      <w:proofErr w:type="spellStart"/>
      <w:r>
        <w:t>datasetů</w:t>
      </w:r>
      <w:proofErr w:type="spellEnd"/>
      <w:r>
        <w:t xml:space="preserve"> nemá vůbec </w:t>
      </w:r>
      <w:proofErr w:type="spellStart"/>
      <w:r>
        <w:t>licencovatelný</w:t>
      </w:r>
      <w:proofErr w:type="spellEnd"/>
      <w:r>
        <w:t xml:space="preserve"> obsah, i když se čeští poskytovatelé snaží aplikovat licence</w:t>
      </w:r>
      <w:r w:rsidR="00BF49EE">
        <w:t xml:space="preserve"> na obsah.</w:t>
      </w:r>
    </w:p>
    <w:p w14:paraId="249AC212" w14:textId="5A2A920A" w:rsidR="00D47D69" w:rsidRDefault="00D47D69" w:rsidP="00641884">
      <w:pPr>
        <w:pStyle w:val="Odstavecseseznamem"/>
        <w:numPr>
          <w:ilvl w:val="2"/>
          <w:numId w:val="5"/>
        </w:numPr>
        <w:tabs>
          <w:tab w:val="left" w:pos="540"/>
        </w:tabs>
      </w:pPr>
      <w:r>
        <w:lastRenderedPageBreak/>
        <w:t xml:space="preserve">Například </w:t>
      </w:r>
      <w:r w:rsidR="00357631">
        <w:t xml:space="preserve">mapy </w:t>
      </w:r>
      <w:r w:rsidR="008A46B0">
        <w:t>– jsou kartografické dílo, se může jednat o autorskoprávní obsah</w:t>
      </w:r>
    </w:p>
    <w:p w14:paraId="2E316546" w14:textId="4D15B84A" w:rsidR="008A46B0" w:rsidRDefault="008A46B0" w:rsidP="00641884">
      <w:pPr>
        <w:pStyle w:val="Odstavecseseznamem"/>
        <w:numPr>
          <w:ilvl w:val="2"/>
          <w:numId w:val="5"/>
        </w:numPr>
        <w:tabs>
          <w:tab w:val="left" w:pos="540"/>
        </w:tabs>
      </w:pPr>
      <w:r>
        <w:t>V případě databází autorské právo chrání její struktura, obsah samotný ne.</w:t>
      </w:r>
    </w:p>
    <w:p w14:paraId="554BC413" w14:textId="493D866A" w:rsidR="00C14B4B" w:rsidRDefault="00C14B4B" w:rsidP="00641884">
      <w:pPr>
        <w:pStyle w:val="Odstavecseseznamem"/>
        <w:numPr>
          <w:ilvl w:val="2"/>
          <w:numId w:val="5"/>
        </w:numPr>
        <w:tabs>
          <w:tab w:val="left" w:pos="540"/>
        </w:tabs>
      </w:pPr>
      <w:r w:rsidRPr="009A641A">
        <w:rPr>
          <w:b/>
          <w:bCs/>
        </w:rPr>
        <w:t xml:space="preserve">Velká množina dokumentů, které by jinak podléhaly </w:t>
      </w:r>
      <w:proofErr w:type="spellStart"/>
      <w:r w:rsidRPr="009A641A">
        <w:rPr>
          <w:b/>
          <w:bCs/>
        </w:rPr>
        <w:t>autorsko</w:t>
      </w:r>
      <w:proofErr w:type="spellEnd"/>
      <w:r w:rsidRPr="009A641A">
        <w:rPr>
          <w:b/>
          <w:bCs/>
        </w:rPr>
        <w:t xml:space="preserve"> právní ochraně, je z ní vyloučena působením výjimky úředního díla</w:t>
      </w:r>
      <w:r>
        <w:t>.</w:t>
      </w:r>
    </w:p>
    <w:p w14:paraId="4FB1C64B" w14:textId="3E9643A8" w:rsidR="00C813D2" w:rsidRPr="00A13828" w:rsidRDefault="00A63464" w:rsidP="00C813D2">
      <w:pPr>
        <w:pStyle w:val="Odstavecseseznamem"/>
        <w:numPr>
          <w:ilvl w:val="1"/>
          <w:numId w:val="5"/>
        </w:numPr>
        <w:tabs>
          <w:tab w:val="left" w:pos="540"/>
        </w:tabs>
        <w:rPr>
          <w:b/>
          <w:bCs/>
        </w:rPr>
      </w:pPr>
      <w:r w:rsidRPr="00A13828">
        <w:rPr>
          <w:b/>
          <w:bCs/>
        </w:rPr>
        <w:t>Citlivá, tajná a nebo potenciálně zneužitelná data</w:t>
      </w:r>
    </w:p>
    <w:p w14:paraId="25AE4A17" w14:textId="77777777" w:rsidR="009878FC" w:rsidRDefault="009878FC" w:rsidP="009878FC">
      <w:pPr>
        <w:pStyle w:val="Odstavecseseznamem"/>
        <w:tabs>
          <w:tab w:val="left" w:pos="540"/>
        </w:tabs>
        <w:ind w:left="1440"/>
      </w:pPr>
    </w:p>
    <w:p w14:paraId="35D35593" w14:textId="2DDE499E" w:rsidR="00A63464" w:rsidRPr="009878FC" w:rsidRDefault="00A63464" w:rsidP="00C813D2">
      <w:pPr>
        <w:pStyle w:val="Odstavecseseznamem"/>
        <w:numPr>
          <w:ilvl w:val="1"/>
          <w:numId w:val="5"/>
        </w:numPr>
        <w:tabs>
          <w:tab w:val="left" w:pos="540"/>
        </w:tabs>
        <w:rPr>
          <w:b/>
          <w:bCs/>
        </w:rPr>
      </w:pPr>
      <w:r w:rsidRPr="009878FC">
        <w:rPr>
          <w:b/>
          <w:bCs/>
        </w:rPr>
        <w:t>Zvláštní právo autora databáze</w:t>
      </w:r>
    </w:p>
    <w:p w14:paraId="43BAF649" w14:textId="710BBA8F" w:rsidR="003A4CAF" w:rsidRDefault="00940EE3" w:rsidP="003A4CAF">
      <w:pPr>
        <w:pStyle w:val="Odstavecseseznamem"/>
        <w:numPr>
          <w:ilvl w:val="2"/>
          <w:numId w:val="5"/>
        </w:numPr>
        <w:tabs>
          <w:tab w:val="left" w:pos="540"/>
        </w:tabs>
      </w:pPr>
      <w:r>
        <w:t>Pro st</w:t>
      </w:r>
      <w:r w:rsidR="005275FE">
        <w:t>atus pořizovatele databáze je podstatné, aby daný subjekt do vzniku databáze investoval a zároveň její vznik podnítil.</w:t>
      </w:r>
    </w:p>
    <w:p w14:paraId="73FA7FE7" w14:textId="7361141A" w:rsidR="00AB6412" w:rsidRDefault="00AB6412" w:rsidP="003A4CAF">
      <w:pPr>
        <w:pStyle w:val="Odstavecseseznamem"/>
        <w:numPr>
          <w:ilvl w:val="2"/>
          <w:numId w:val="5"/>
        </w:numPr>
        <w:tabs>
          <w:tab w:val="left" w:pos="540"/>
        </w:tabs>
      </w:pPr>
      <w:r>
        <w:t>Pořizovatel databáze má právo na vytěžování</w:t>
      </w:r>
      <w:r w:rsidR="00910F55">
        <w:t xml:space="preserve"> nebo zužitkování celého obsahu databáze, nebo její kvantitativně nebo kvalitativně podstatné části.</w:t>
      </w:r>
    </w:p>
    <w:p w14:paraId="743FAF46" w14:textId="4E644F7C" w:rsidR="00122C0F" w:rsidRDefault="002F65BB" w:rsidP="00122C0F">
      <w:pPr>
        <w:pStyle w:val="Odstavecseseznamem"/>
        <w:numPr>
          <w:ilvl w:val="3"/>
          <w:numId w:val="5"/>
        </w:numPr>
        <w:tabs>
          <w:tab w:val="left" w:pos="540"/>
        </w:tabs>
      </w:pPr>
      <w:r>
        <w:t>Jedná se o právo absolutní a nikdo do něj nemůže bez povolení zasáhnout tak, že by sám podstatnou část databáze vytěžil nebo zužitkoval</w:t>
      </w:r>
      <w:r w:rsidR="00122C0F">
        <w:t>. Poskytovatel však může udělit jiné osobě právo k výkonu tohoto práva.</w:t>
      </w:r>
    </w:p>
    <w:p w14:paraId="794A26D4" w14:textId="5BBA127A" w:rsidR="00A925FA" w:rsidRDefault="00A925FA" w:rsidP="00122C0F">
      <w:pPr>
        <w:pStyle w:val="Odstavecseseznamem"/>
        <w:numPr>
          <w:ilvl w:val="3"/>
          <w:numId w:val="5"/>
        </w:numPr>
        <w:tabs>
          <w:tab w:val="left" w:pos="540"/>
        </w:tabs>
      </w:pPr>
      <w:r>
        <w:t>Vytěžování je prakticky rozmnožování nebo kopírování</w:t>
      </w:r>
      <w:r w:rsidR="00C149BA">
        <w:t>.</w:t>
      </w:r>
    </w:p>
    <w:p w14:paraId="2C887633" w14:textId="2A20FFDA" w:rsidR="008B6B93" w:rsidRDefault="00C149BA" w:rsidP="006C75D8">
      <w:pPr>
        <w:pStyle w:val="Odstavecseseznamem"/>
        <w:numPr>
          <w:ilvl w:val="3"/>
          <w:numId w:val="5"/>
        </w:numPr>
        <w:tabs>
          <w:tab w:val="left" w:pos="540"/>
        </w:tabs>
      </w:pPr>
      <w:r>
        <w:t>Zužitkování je jakákoliv činnost, které zpřístupní obsah databáze veřejnosti.</w:t>
      </w:r>
    </w:p>
    <w:p w14:paraId="32F78498" w14:textId="7EB8A2E7" w:rsidR="00E87E39" w:rsidRPr="00C813D2" w:rsidRDefault="00E87E39" w:rsidP="00E87E39">
      <w:r>
        <w:br w:type="page"/>
      </w:r>
    </w:p>
    <w:p w14:paraId="1D2F0C29" w14:textId="097B813E" w:rsidR="00C71988" w:rsidRPr="00F53C4B" w:rsidRDefault="00C71988" w:rsidP="00F53C4B">
      <w:pPr>
        <w:pStyle w:val="Nadpis1"/>
        <w:rPr>
          <w:b/>
          <w:bCs/>
        </w:rPr>
      </w:pPr>
      <w:bookmarkStart w:id="6" w:name="_Toc61990546"/>
      <w:r w:rsidRPr="00F53C4B">
        <w:rPr>
          <w:b/>
          <w:bCs/>
        </w:rPr>
        <w:lastRenderedPageBreak/>
        <w:t>Výběr z přednášek</w:t>
      </w:r>
      <w:bookmarkEnd w:id="6"/>
    </w:p>
    <w:p w14:paraId="67770ED1" w14:textId="396FCEB6" w:rsidR="00E90D06" w:rsidRPr="00257143" w:rsidRDefault="00E90D06" w:rsidP="00F53C4B">
      <w:pPr>
        <w:pStyle w:val="Odstavecseseznamem"/>
        <w:numPr>
          <w:ilvl w:val="0"/>
          <w:numId w:val="6"/>
        </w:numPr>
        <w:tabs>
          <w:tab w:val="left" w:pos="540"/>
        </w:tabs>
        <w:rPr>
          <w:b/>
          <w:bCs/>
        </w:rPr>
      </w:pPr>
      <w:r w:rsidRPr="00257143">
        <w:rPr>
          <w:b/>
          <w:bCs/>
        </w:rPr>
        <w:t>Předmět a účel právní regulace elektronických komunikací</w:t>
      </w:r>
    </w:p>
    <w:p w14:paraId="1159F1B0" w14:textId="1D29F779" w:rsidR="000A35D4" w:rsidRDefault="000A35D4" w:rsidP="000A35D4">
      <w:pPr>
        <w:pStyle w:val="Odstavecseseznamem"/>
        <w:numPr>
          <w:ilvl w:val="1"/>
          <w:numId w:val="6"/>
        </w:numPr>
        <w:tabs>
          <w:tab w:val="left" w:pos="540"/>
        </w:tabs>
      </w:pPr>
      <w:r w:rsidRPr="000A35D4">
        <w:t>https://www.ctu.cz/regulace-e-komunikaci</w:t>
      </w:r>
    </w:p>
    <w:p w14:paraId="2EA5BC76" w14:textId="1761A647" w:rsidR="00DC37DA" w:rsidRDefault="000A35D4" w:rsidP="00DC37DA">
      <w:pPr>
        <w:pStyle w:val="Odstavecseseznamem"/>
        <w:numPr>
          <w:ilvl w:val="1"/>
          <w:numId w:val="6"/>
        </w:numPr>
        <w:tabs>
          <w:tab w:val="left" w:pos="540"/>
        </w:tabs>
      </w:pPr>
      <w:r>
        <w:t>Ochrana trhu elektronických komunikací</w:t>
      </w:r>
    </w:p>
    <w:p w14:paraId="1834A74B" w14:textId="2E4D4727" w:rsidR="00051222" w:rsidRDefault="00051222" w:rsidP="00051222">
      <w:pPr>
        <w:pStyle w:val="Odstavecseseznamem"/>
        <w:numPr>
          <w:ilvl w:val="2"/>
          <w:numId w:val="6"/>
        </w:numPr>
        <w:tabs>
          <w:tab w:val="left" w:pos="540"/>
        </w:tabs>
      </w:pPr>
      <w:r>
        <w:t>Vytvářet předpoklady pro řádné fungování hospodářské soutěže</w:t>
      </w:r>
      <w:r w:rsidR="00257143">
        <w:t>, konkuren</w:t>
      </w:r>
      <w:r w:rsidR="00103DD7">
        <w:t>čního prostředí</w:t>
      </w:r>
      <w:r w:rsidR="00257143">
        <w:t xml:space="preserve"> a otevřeného trhu</w:t>
      </w:r>
    </w:p>
    <w:p w14:paraId="7D373EB4" w14:textId="0C6B3639" w:rsidR="00E325A9" w:rsidRDefault="00E325A9" w:rsidP="00051222">
      <w:pPr>
        <w:pStyle w:val="Odstavecseseznamem"/>
        <w:numPr>
          <w:ilvl w:val="2"/>
          <w:numId w:val="6"/>
        </w:numPr>
        <w:tabs>
          <w:tab w:val="left" w:pos="540"/>
        </w:tabs>
      </w:pPr>
      <w:r>
        <w:t>Technologická neutralita</w:t>
      </w:r>
      <w:r w:rsidR="001315BA">
        <w:t xml:space="preserve"> – neukládá povinnost použít konkrétní druh technologie, ani žádný druh technologie nezvýhodňuje.</w:t>
      </w:r>
    </w:p>
    <w:p w14:paraId="5189F427" w14:textId="0BDD9A1C" w:rsidR="00257143" w:rsidRDefault="00BE66D3" w:rsidP="00BE66D3">
      <w:pPr>
        <w:pStyle w:val="Odstavecseseznamem"/>
        <w:numPr>
          <w:ilvl w:val="1"/>
          <w:numId w:val="6"/>
        </w:numPr>
        <w:tabs>
          <w:tab w:val="left" w:pos="540"/>
        </w:tabs>
      </w:pPr>
      <w:r>
        <w:t>Ochrana uživatele</w:t>
      </w:r>
    </w:p>
    <w:p w14:paraId="4F6DE732" w14:textId="751D28E7" w:rsidR="00BE193A" w:rsidRDefault="003B5E20" w:rsidP="00BE193A">
      <w:pPr>
        <w:pStyle w:val="Odstavecseseznamem"/>
        <w:numPr>
          <w:ilvl w:val="2"/>
          <w:numId w:val="6"/>
        </w:numPr>
        <w:tabs>
          <w:tab w:val="left" w:pos="540"/>
        </w:tabs>
      </w:pPr>
      <w:r>
        <w:t>M</w:t>
      </w:r>
      <w:r w:rsidR="00BE193A">
        <w:t>aximální výhody z hlediska možnosti volby služby, ceny a kvality</w:t>
      </w:r>
    </w:p>
    <w:p w14:paraId="762D9A42" w14:textId="6DF1F89D" w:rsidR="00BE193A" w:rsidRDefault="003B5E20" w:rsidP="00BE193A">
      <w:pPr>
        <w:pStyle w:val="Odstavecseseznamem"/>
        <w:numPr>
          <w:ilvl w:val="2"/>
          <w:numId w:val="6"/>
        </w:numPr>
        <w:tabs>
          <w:tab w:val="left" w:pos="540"/>
        </w:tabs>
      </w:pPr>
      <w:r>
        <w:t>Všichni koncoví uživatelé měli přístup k univerzální službě</w:t>
      </w:r>
    </w:p>
    <w:p w14:paraId="76DB93FF" w14:textId="5861B41F" w:rsidR="00156DDC" w:rsidRDefault="00156DDC" w:rsidP="00BE193A">
      <w:pPr>
        <w:pStyle w:val="Odstavecseseznamem"/>
        <w:numPr>
          <w:ilvl w:val="2"/>
          <w:numId w:val="6"/>
        </w:numPr>
        <w:tabs>
          <w:tab w:val="left" w:pos="540"/>
        </w:tabs>
      </w:pPr>
      <w:r>
        <w:t>Poskytovatel musí poskytovat nepřetržitou službu, informovat spotřebitele</w:t>
      </w:r>
      <w:r w:rsidR="00BB6304">
        <w:t xml:space="preserve"> </w:t>
      </w:r>
      <w:r>
        <w:t>(vyúčtování, podmínky reklamace..)</w:t>
      </w:r>
      <w:r w:rsidR="00DB6801">
        <w:t>, ponechat lhůtu aspoň 1 týden před odpojení služby, pokud se uživatel zpozdí s</w:t>
      </w:r>
      <w:r w:rsidR="003A5E82">
        <w:t> </w:t>
      </w:r>
      <w:r w:rsidR="00DB6801">
        <w:t>platbou</w:t>
      </w:r>
    </w:p>
    <w:p w14:paraId="3C636C1E" w14:textId="408FCB55" w:rsidR="003A5E82" w:rsidRDefault="003A5E82" w:rsidP="00BE193A">
      <w:pPr>
        <w:pStyle w:val="Odstavecseseznamem"/>
        <w:numPr>
          <w:ilvl w:val="2"/>
          <w:numId w:val="6"/>
        </w:numPr>
        <w:tabs>
          <w:tab w:val="left" w:pos="540"/>
        </w:tabs>
      </w:pPr>
      <w:r>
        <w:t>Zajistit vysokou úroveň ochrany osobních údajů</w:t>
      </w:r>
      <w:r w:rsidR="00FD7DF9">
        <w:t xml:space="preserve"> </w:t>
      </w:r>
      <w:r w:rsidR="006F3DED">
        <w:t xml:space="preserve">a </w:t>
      </w:r>
      <w:r w:rsidR="00FD7DF9">
        <w:t>soukromí</w:t>
      </w:r>
    </w:p>
    <w:p w14:paraId="796CD72D" w14:textId="6ECA5BB9" w:rsidR="00DB6801" w:rsidRDefault="00DB6801" w:rsidP="00DB6801">
      <w:pPr>
        <w:pStyle w:val="Odstavecseseznamem"/>
        <w:numPr>
          <w:ilvl w:val="1"/>
          <w:numId w:val="6"/>
        </w:numPr>
        <w:tabs>
          <w:tab w:val="left" w:pos="540"/>
        </w:tabs>
      </w:pPr>
      <w:r>
        <w:t>Modernizace a investice do infrastruktury</w:t>
      </w:r>
    </w:p>
    <w:p w14:paraId="5D8055D8" w14:textId="0C66F1E2" w:rsidR="00E90D06" w:rsidRDefault="00E90D06" w:rsidP="00F53C4B">
      <w:pPr>
        <w:pStyle w:val="Odstavecseseznamem"/>
        <w:numPr>
          <w:ilvl w:val="0"/>
          <w:numId w:val="6"/>
        </w:numPr>
        <w:tabs>
          <w:tab w:val="left" w:pos="540"/>
        </w:tabs>
        <w:rPr>
          <w:b/>
          <w:bCs/>
        </w:rPr>
      </w:pPr>
      <w:r w:rsidRPr="009B2A35">
        <w:rPr>
          <w:b/>
          <w:bCs/>
        </w:rPr>
        <w:t>Síťová neutralita - popis, právní úprava v EU, aktuální výzvy v</w:t>
      </w:r>
      <w:r w:rsidR="009B2A35">
        <w:rPr>
          <w:b/>
          <w:bCs/>
        </w:rPr>
        <w:t> </w:t>
      </w:r>
      <w:r w:rsidRPr="009B2A35">
        <w:rPr>
          <w:b/>
          <w:bCs/>
        </w:rPr>
        <w:t>USA</w:t>
      </w:r>
    </w:p>
    <w:p w14:paraId="30AFE69D" w14:textId="34CF5974" w:rsidR="009B2A35" w:rsidRPr="009B2A35" w:rsidRDefault="009B2A35" w:rsidP="009B2A35">
      <w:pPr>
        <w:pStyle w:val="Odstavecseseznamem"/>
        <w:numPr>
          <w:ilvl w:val="1"/>
          <w:numId w:val="6"/>
        </w:numPr>
        <w:tabs>
          <w:tab w:val="left" w:pos="540"/>
        </w:tabs>
        <w:rPr>
          <w:b/>
          <w:bCs/>
        </w:rPr>
      </w:pPr>
      <w:r>
        <w:t>Síťová neutralita je princip rovnoprávnosti přenášených dat po internetu. Zabraňuje poskytovatelům internetu zvýhodňování nebo naopak zpomalování či blokování přístupu na vybrané internetové stránky nebo k vybranému obsahu.</w:t>
      </w:r>
    </w:p>
    <w:p w14:paraId="4EA551F2" w14:textId="2EA96751" w:rsidR="00EF2211" w:rsidRDefault="002B4902" w:rsidP="00EF2211">
      <w:pPr>
        <w:pStyle w:val="Odstavecseseznamem"/>
        <w:numPr>
          <w:ilvl w:val="1"/>
          <w:numId w:val="6"/>
        </w:numPr>
        <w:tabs>
          <w:tab w:val="left" w:pos="540"/>
        </w:tabs>
      </w:pPr>
      <w:r>
        <w:t>V EU zakotvena v n</w:t>
      </w:r>
      <w:r w:rsidR="007D201C">
        <w:t xml:space="preserve">ařízení </w:t>
      </w:r>
      <w:r w:rsidR="008E4B01">
        <w:t>E</w:t>
      </w:r>
      <w:r w:rsidR="007D201C">
        <w:t>vropského parlamentu 2015/2120 čl. 3:</w:t>
      </w:r>
    </w:p>
    <w:p w14:paraId="6B91E11B" w14:textId="47DD5790" w:rsidR="00655608" w:rsidRDefault="00EF2211" w:rsidP="00655608">
      <w:pPr>
        <w:pStyle w:val="Odstavecseseznamem"/>
        <w:numPr>
          <w:ilvl w:val="2"/>
          <w:numId w:val="6"/>
        </w:numPr>
        <w:tabs>
          <w:tab w:val="left" w:pos="540"/>
        </w:tabs>
      </w:pPr>
      <w:r w:rsidRPr="00EF2211">
        <w:t>Koncoví uživatelé mají právo na přístup k informacím a obsahu a jejich šíření, využívání a poskytování aplikací a služeb a využívání koncového zařízení podle svého vlastního výběru bez ohledu na polohu koncového uživatele nebo poskytovatele či polohu, původ nebo určení dané informace, obsahu, aplikace nebo služby, a to prostřednictvím své služby přístupu k internetu.</w:t>
      </w:r>
    </w:p>
    <w:p w14:paraId="1174F7EC" w14:textId="1EAC4CC1" w:rsidR="0054108B" w:rsidRDefault="0054108B" w:rsidP="0054108B">
      <w:pPr>
        <w:pStyle w:val="Odstavecseseznamem"/>
        <w:numPr>
          <w:ilvl w:val="1"/>
          <w:numId w:val="6"/>
        </w:numPr>
        <w:tabs>
          <w:tab w:val="left" w:pos="540"/>
        </w:tabs>
      </w:pPr>
      <w:r>
        <w:t>V USA byla zavedena síťová neutralita v roce 2015 a v roce 2017 zrušená</w:t>
      </w:r>
    </w:p>
    <w:p w14:paraId="52D8C082" w14:textId="4C75E15D" w:rsidR="00195DEE" w:rsidRDefault="00FF47D9" w:rsidP="00195DEE">
      <w:pPr>
        <w:pStyle w:val="Odstavecseseznamem"/>
        <w:numPr>
          <w:ilvl w:val="2"/>
          <w:numId w:val="6"/>
        </w:numPr>
        <w:tabs>
          <w:tab w:val="left" w:pos="540"/>
        </w:tabs>
      </w:pPr>
      <w:proofErr w:type="spellStart"/>
      <w:r>
        <w:t>ISPs</w:t>
      </w:r>
      <w:proofErr w:type="spellEnd"/>
      <w:r>
        <w:t xml:space="preserve"> v Americe řekli, že nebudou blokovat nebo omezovat nějaký </w:t>
      </w:r>
      <w:proofErr w:type="spellStart"/>
      <w:r>
        <w:t>traffic</w:t>
      </w:r>
      <w:proofErr w:type="spellEnd"/>
      <w:r>
        <w:t xml:space="preserve">, ale </w:t>
      </w:r>
      <w:r w:rsidR="00ED651B">
        <w:t>že možná budou dělat nějakou placenou prioritizaci</w:t>
      </w:r>
    </w:p>
    <w:p w14:paraId="1F6A2B38" w14:textId="73E479F6" w:rsidR="00E90D06" w:rsidRPr="00476D33" w:rsidRDefault="00E90D06" w:rsidP="00655608">
      <w:pPr>
        <w:pStyle w:val="Odstavecseseznamem"/>
        <w:numPr>
          <w:ilvl w:val="0"/>
          <w:numId w:val="6"/>
        </w:numPr>
        <w:tabs>
          <w:tab w:val="left" w:pos="540"/>
        </w:tabs>
        <w:rPr>
          <w:b/>
          <w:bCs/>
        </w:rPr>
      </w:pPr>
      <w:r w:rsidRPr="00476D33">
        <w:rPr>
          <w:b/>
          <w:bCs/>
        </w:rPr>
        <w:t>Základní registry - popis, účel a právní úprava</w:t>
      </w:r>
    </w:p>
    <w:p w14:paraId="7F714515" w14:textId="76BC2848" w:rsidR="00476D33" w:rsidRDefault="00476D33" w:rsidP="008A7A55">
      <w:pPr>
        <w:pStyle w:val="Odstavecseseznamem"/>
        <w:numPr>
          <w:ilvl w:val="1"/>
          <w:numId w:val="6"/>
        </w:numPr>
        <w:tabs>
          <w:tab w:val="left" w:pos="540"/>
        </w:tabs>
      </w:pPr>
      <w:r>
        <w:t>4 základní registry:</w:t>
      </w:r>
    </w:p>
    <w:p w14:paraId="1F27CBAE" w14:textId="5FE555F3" w:rsidR="008A7A55" w:rsidRDefault="00A5024E" w:rsidP="00476D33">
      <w:pPr>
        <w:pStyle w:val="Odstavecseseznamem"/>
        <w:numPr>
          <w:ilvl w:val="2"/>
          <w:numId w:val="6"/>
        </w:numPr>
        <w:tabs>
          <w:tab w:val="left" w:pos="540"/>
        </w:tabs>
      </w:pPr>
      <w:r w:rsidRPr="002759A7">
        <w:rPr>
          <w:b/>
          <w:bCs/>
        </w:rPr>
        <w:t>Registr obyvatel</w:t>
      </w:r>
      <w:r>
        <w:t xml:space="preserve"> – fyzické osoby</w:t>
      </w:r>
      <w:r w:rsidR="00195DEE">
        <w:t xml:space="preserve"> na území ČR, jméno, místo a datum narození atd.</w:t>
      </w:r>
    </w:p>
    <w:p w14:paraId="7C1F4050" w14:textId="51B027B6" w:rsidR="00554442" w:rsidRDefault="00554442" w:rsidP="00554442">
      <w:pPr>
        <w:pStyle w:val="Odstavecseseznamem"/>
        <w:numPr>
          <w:ilvl w:val="3"/>
          <w:numId w:val="6"/>
        </w:numPr>
        <w:tabs>
          <w:tab w:val="left" w:pos="540"/>
        </w:tabs>
      </w:pPr>
      <w:r>
        <w:t>Správcem je Ministerstvo vnitra</w:t>
      </w:r>
    </w:p>
    <w:p w14:paraId="254135AE" w14:textId="5C85C0FC" w:rsidR="0009636B" w:rsidRDefault="00195DEE" w:rsidP="0009636B">
      <w:pPr>
        <w:pStyle w:val="Odstavecseseznamem"/>
        <w:numPr>
          <w:ilvl w:val="2"/>
          <w:numId w:val="6"/>
        </w:numPr>
        <w:tabs>
          <w:tab w:val="left" w:pos="540"/>
        </w:tabs>
      </w:pPr>
      <w:r w:rsidRPr="00E92D27">
        <w:rPr>
          <w:b/>
          <w:bCs/>
        </w:rPr>
        <w:t>Registr osob</w:t>
      </w:r>
      <w:r w:rsidR="00554442">
        <w:t xml:space="preserve"> </w:t>
      </w:r>
      <w:r w:rsidR="0009636B">
        <w:t>–</w:t>
      </w:r>
      <w:r w:rsidR="00554442">
        <w:t xml:space="preserve"> </w:t>
      </w:r>
      <w:r w:rsidR="0009636B">
        <w:t>právnické osoby, podnikající fyzické osoby, svěřenské fondy atd.</w:t>
      </w:r>
      <w:r w:rsidR="006505DA">
        <w:t xml:space="preserve"> Zapisují se referenční údaje, referenční vazby, IČO, IČP a další.</w:t>
      </w:r>
    </w:p>
    <w:p w14:paraId="25629160" w14:textId="68D5D0A3" w:rsidR="006505DA" w:rsidRDefault="006505DA" w:rsidP="006505DA">
      <w:pPr>
        <w:pStyle w:val="Odstavecseseznamem"/>
        <w:numPr>
          <w:ilvl w:val="3"/>
          <w:numId w:val="6"/>
        </w:numPr>
        <w:tabs>
          <w:tab w:val="left" w:pos="540"/>
        </w:tabs>
      </w:pPr>
      <w:r>
        <w:t>Správcem je Český statistický úřad</w:t>
      </w:r>
    </w:p>
    <w:p w14:paraId="5BB378D3" w14:textId="70939831" w:rsidR="006505DA" w:rsidRDefault="00195DEE" w:rsidP="002B0CFC">
      <w:pPr>
        <w:pStyle w:val="Odstavecseseznamem"/>
        <w:numPr>
          <w:ilvl w:val="2"/>
          <w:numId w:val="6"/>
        </w:numPr>
        <w:tabs>
          <w:tab w:val="left" w:pos="540"/>
        </w:tabs>
      </w:pPr>
      <w:r w:rsidRPr="002759A7">
        <w:rPr>
          <w:b/>
          <w:bCs/>
        </w:rPr>
        <w:t>Registr územní identifikace, adres a nemovitostí</w:t>
      </w:r>
      <w:r w:rsidR="002B0CFC" w:rsidRPr="002759A7">
        <w:rPr>
          <w:b/>
          <w:bCs/>
        </w:rPr>
        <w:t>(RÚIAN)</w:t>
      </w:r>
      <w:r w:rsidR="002B0CFC">
        <w:t xml:space="preserve"> </w:t>
      </w:r>
      <w:r w:rsidR="005A3312">
        <w:t>–</w:t>
      </w:r>
      <w:r w:rsidR="002B0CFC">
        <w:t xml:space="preserve"> </w:t>
      </w:r>
      <w:r w:rsidR="005A3312">
        <w:t>základní identifikační a lokalizační údaje</w:t>
      </w:r>
      <w:r w:rsidR="00201204">
        <w:t>, které se vztahují ke sledovaným prvkům/objektům v</w:t>
      </w:r>
      <w:r w:rsidR="002759A7">
        <w:t> </w:t>
      </w:r>
      <w:r w:rsidR="00201204">
        <w:t>území</w:t>
      </w:r>
      <w:r w:rsidR="002759A7">
        <w:t>(</w:t>
      </w:r>
      <w:proofErr w:type="spellStart"/>
      <w:r w:rsidR="002759A7">
        <w:t>linie,plochy,body</w:t>
      </w:r>
      <w:proofErr w:type="spellEnd"/>
      <w:r w:rsidR="002759A7">
        <w:t>)</w:t>
      </w:r>
      <w:r w:rsidR="00DE66BD">
        <w:t>, dále adresy atd.</w:t>
      </w:r>
    </w:p>
    <w:p w14:paraId="6942733A" w14:textId="213BE7C3" w:rsidR="00DE66BD" w:rsidRDefault="00DE66BD" w:rsidP="00DE66BD">
      <w:pPr>
        <w:pStyle w:val="Odstavecseseznamem"/>
        <w:numPr>
          <w:ilvl w:val="3"/>
          <w:numId w:val="6"/>
        </w:numPr>
        <w:tabs>
          <w:tab w:val="left" w:pos="540"/>
        </w:tabs>
      </w:pPr>
      <w:r>
        <w:t>Je zdarma veřejně přístupný(open data)</w:t>
      </w:r>
    </w:p>
    <w:p w14:paraId="18ED6904" w14:textId="15FB04DA" w:rsidR="005A3312" w:rsidRDefault="005A3312" w:rsidP="005A3312">
      <w:pPr>
        <w:pStyle w:val="Odstavecseseznamem"/>
        <w:numPr>
          <w:ilvl w:val="3"/>
          <w:numId w:val="6"/>
        </w:numPr>
        <w:tabs>
          <w:tab w:val="left" w:pos="540"/>
        </w:tabs>
      </w:pPr>
      <w:r>
        <w:t xml:space="preserve">Správcem je </w:t>
      </w:r>
      <w:r w:rsidR="00201204">
        <w:t>Český úřad zeměmě</w:t>
      </w:r>
      <w:r w:rsidR="002759A7">
        <w:t>řičský a katastrální</w:t>
      </w:r>
    </w:p>
    <w:p w14:paraId="44D340C9" w14:textId="0A1D5B87" w:rsidR="00680D9F" w:rsidRPr="00C63EEE" w:rsidRDefault="00195DEE" w:rsidP="00C63EEE">
      <w:pPr>
        <w:pStyle w:val="Odstavecseseznamem"/>
        <w:numPr>
          <w:ilvl w:val="2"/>
          <w:numId w:val="6"/>
        </w:numPr>
        <w:tabs>
          <w:tab w:val="left" w:pos="540"/>
        </w:tabs>
        <w:rPr>
          <w:b/>
          <w:bCs/>
        </w:rPr>
      </w:pPr>
      <w:r w:rsidRPr="002759A7">
        <w:rPr>
          <w:b/>
          <w:bCs/>
        </w:rPr>
        <w:t>Registr práv a</w:t>
      </w:r>
      <w:r w:rsidR="00C63EEE">
        <w:rPr>
          <w:b/>
          <w:bCs/>
        </w:rPr>
        <w:t xml:space="preserve"> </w:t>
      </w:r>
      <w:r w:rsidRPr="002759A7">
        <w:rPr>
          <w:b/>
          <w:bCs/>
        </w:rPr>
        <w:t>povinností</w:t>
      </w:r>
      <w:r w:rsidR="00C63EEE">
        <w:rPr>
          <w:b/>
          <w:bCs/>
        </w:rPr>
        <w:t xml:space="preserve"> </w:t>
      </w:r>
      <w:r w:rsidR="00C63EEE">
        <w:t xml:space="preserve">– </w:t>
      </w:r>
      <w:r w:rsidR="00DF1F49">
        <w:t>oprávnění přístupů do jednotlivých registrů</w:t>
      </w:r>
      <w:r w:rsidR="004D1765">
        <w:t>. Nejsou tam vedeny utajované informace</w:t>
      </w:r>
      <w:r w:rsidR="00E1755B">
        <w:t xml:space="preserve"> a jsou přístupné všem orgánům veřejné moci.</w:t>
      </w:r>
    </w:p>
    <w:p w14:paraId="121FA330" w14:textId="7033F02A" w:rsidR="00CD2E93" w:rsidRPr="00F56881" w:rsidRDefault="00CD2E93" w:rsidP="00CD2E93">
      <w:pPr>
        <w:pStyle w:val="Odstavecseseznamem"/>
        <w:numPr>
          <w:ilvl w:val="3"/>
          <w:numId w:val="6"/>
        </w:numPr>
        <w:tabs>
          <w:tab w:val="left" w:pos="540"/>
        </w:tabs>
        <w:rPr>
          <w:b/>
          <w:bCs/>
        </w:rPr>
      </w:pPr>
      <w:r>
        <w:t>Správcem je Ministerstvo vnitra</w:t>
      </w:r>
    </w:p>
    <w:p w14:paraId="1391808F" w14:textId="77777777" w:rsidR="00F56881" w:rsidRPr="002759A7" w:rsidRDefault="00F56881" w:rsidP="00C4177C">
      <w:pPr>
        <w:pStyle w:val="Odstavecseseznamem"/>
        <w:tabs>
          <w:tab w:val="left" w:pos="540"/>
        </w:tabs>
        <w:ind w:left="2880"/>
        <w:rPr>
          <w:b/>
          <w:bCs/>
        </w:rPr>
      </w:pPr>
    </w:p>
    <w:p w14:paraId="4708BE76" w14:textId="3DADA19E" w:rsidR="00E90D06" w:rsidRPr="009162C3" w:rsidRDefault="00E90D06" w:rsidP="00F53C4B">
      <w:pPr>
        <w:pStyle w:val="Odstavecseseznamem"/>
        <w:numPr>
          <w:ilvl w:val="0"/>
          <w:numId w:val="6"/>
        </w:numPr>
        <w:tabs>
          <w:tab w:val="left" w:pos="540"/>
        </w:tabs>
        <w:rPr>
          <w:b/>
          <w:bCs/>
        </w:rPr>
      </w:pPr>
      <w:r w:rsidRPr="009162C3">
        <w:rPr>
          <w:b/>
          <w:bCs/>
        </w:rPr>
        <w:lastRenderedPageBreak/>
        <w:t xml:space="preserve">Hlavní překážky pro zavedení komplexní </w:t>
      </w:r>
      <w:proofErr w:type="spellStart"/>
      <w:r w:rsidRPr="009162C3">
        <w:rPr>
          <w:b/>
          <w:bCs/>
        </w:rPr>
        <w:t>eJustice</w:t>
      </w:r>
      <w:proofErr w:type="spellEnd"/>
      <w:r w:rsidRPr="009162C3">
        <w:rPr>
          <w:b/>
          <w:bCs/>
        </w:rPr>
        <w:t xml:space="preserve"> v</w:t>
      </w:r>
      <w:r w:rsidR="00160EBC" w:rsidRPr="009162C3">
        <w:rPr>
          <w:b/>
          <w:bCs/>
        </w:rPr>
        <w:t> </w:t>
      </w:r>
      <w:r w:rsidRPr="009162C3">
        <w:rPr>
          <w:b/>
          <w:bCs/>
        </w:rPr>
        <w:t>ČR</w:t>
      </w:r>
    </w:p>
    <w:p w14:paraId="4B85D396" w14:textId="5FC869CB" w:rsidR="00160EBC" w:rsidRDefault="00160EBC" w:rsidP="00160EBC">
      <w:pPr>
        <w:pStyle w:val="Odstavecseseznamem"/>
        <w:numPr>
          <w:ilvl w:val="1"/>
          <w:numId w:val="6"/>
        </w:numPr>
        <w:tabs>
          <w:tab w:val="left" w:pos="540"/>
        </w:tabs>
      </w:pPr>
      <w:r w:rsidRPr="00160EBC">
        <w:t>https://www.mvcr.cz/soubor/5-zasedani-rvis-priloha-c-5-ejustice-2020-v-1-0.aspx</w:t>
      </w:r>
    </w:p>
    <w:p w14:paraId="1C7436AF" w14:textId="6AAE56E0" w:rsidR="009640C0" w:rsidRPr="009162C3" w:rsidRDefault="009640C0" w:rsidP="009640C0">
      <w:pPr>
        <w:pStyle w:val="Odstavecseseznamem"/>
        <w:numPr>
          <w:ilvl w:val="1"/>
          <w:numId w:val="6"/>
        </w:numPr>
        <w:tabs>
          <w:tab w:val="left" w:pos="540"/>
        </w:tabs>
        <w:rPr>
          <w:b/>
          <w:bCs/>
        </w:rPr>
      </w:pPr>
      <w:r w:rsidRPr="009162C3">
        <w:rPr>
          <w:b/>
          <w:bCs/>
        </w:rPr>
        <w:t xml:space="preserve">Problematické řízení procesů uvnitř justice, nedostatečná </w:t>
      </w:r>
      <w:r w:rsidR="00733BDB" w:rsidRPr="009162C3">
        <w:rPr>
          <w:b/>
          <w:bCs/>
        </w:rPr>
        <w:t>vzájemná kompatibilita systémů a nedostatky v komunikacích mezi informačními systémy.</w:t>
      </w:r>
    </w:p>
    <w:p w14:paraId="612B7528" w14:textId="45177FA9" w:rsidR="004E0068" w:rsidRDefault="004E0068" w:rsidP="00041B7C">
      <w:pPr>
        <w:pStyle w:val="Odstavecseseznamem"/>
        <w:numPr>
          <w:ilvl w:val="1"/>
          <w:numId w:val="6"/>
        </w:numPr>
        <w:tabs>
          <w:tab w:val="left" w:pos="540"/>
        </w:tabs>
      </w:pPr>
      <w:r>
        <w:t>Nekoncepčnost rozvoje a roztříštěnosti IT systémů a technologií</w:t>
      </w:r>
    </w:p>
    <w:p w14:paraId="3189545B" w14:textId="09473492" w:rsidR="003547C6" w:rsidRDefault="003547C6" w:rsidP="003547C6">
      <w:pPr>
        <w:pStyle w:val="Odstavecseseznamem"/>
        <w:numPr>
          <w:ilvl w:val="2"/>
          <w:numId w:val="6"/>
        </w:numPr>
        <w:tabs>
          <w:tab w:val="left" w:pos="540"/>
        </w:tabs>
      </w:pPr>
      <w:r>
        <w:t>Nekom</w:t>
      </w:r>
      <w:r w:rsidR="005B540B">
        <w:t>patibilní systémy – problém s komunikací mezi IS</w:t>
      </w:r>
    </w:p>
    <w:p w14:paraId="21C92907" w14:textId="003571E9" w:rsidR="00C71FF9" w:rsidRDefault="00C71FF9" w:rsidP="00C71FF9">
      <w:pPr>
        <w:pStyle w:val="Odstavecseseznamem"/>
        <w:numPr>
          <w:ilvl w:val="2"/>
          <w:numId w:val="6"/>
        </w:numPr>
        <w:tabs>
          <w:tab w:val="left" w:pos="540"/>
        </w:tabs>
      </w:pPr>
      <w:r>
        <w:t>Velký počet dodavatelských společností, které ne vždy dokáží reagovat dostatečně pružně na potřeby justice.</w:t>
      </w:r>
    </w:p>
    <w:p w14:paraId="1D5F9E63" w14:textId="08BA2E75" w:rsidR="00E92412" w:rsidRDefault="00E92412" w:rsidP="00C71FF9">
      <w:pPr>
        <w:pStyle w:val="Odstavecseseznamem"/>
        <w:numPr>
          <w:ilvl w:val="2"/>
          <w:numId w:val="6"/>
        </w:numPr>
        <w:tabs>
          <w:tab w:val="left" w:pos="540"/>
        </w:tabs>
      </w:pPr>
      <w:r>
        <w:t>Některé spisy nevedou v elektronické podobě.</w:t>
      </w:r>
    </w:p>
    <w:p w14:paraId="6994FDAB" w14:textId="235F0EF1" w:rsidR="00AF7E00" w:rsidRDefault="00AF7E00" w:rsidP="00AF7E00">
      <w:pPr>
        <w:pStyle w:val="Odstavecseseznamem"/>
        <w:numPr>
          <w:ilvl w:val="1"/>
          <w:numId w:val="6"/>
        </w:numPr>
        <w:tabs>
          <w:tab w:val="left" w:pos="540"/>
        </w:tabs>
      </w:pPr>
      <w:r>
        <w:t>Uchovávání dat</w:t>
      </w:r>
    </w:p>
    <w:p w14:paraId="10CD053A" w14:textId="3B1B7B43" w:rsidR="00AF7E00" w:rsidRDefault="00AF7E00" w:rsidP="00AF7E00">
      <w:pPr>
        <w:pStyle w:val="Odstavecseseznamem"/>
        <w:numPr>
          <w:ilvl w:val="2"/>
          <w:numId w:val="6"/>
        </w:numPr>
        <w:tabs>
          <w:tab w:val="left" w:pos="540"/>
        </w:tabs>
      </w:pPr>
      <w:r>
        <w:t>Chybí metodický pokyn týkající se</w:t>
      </w:r>
      <w:r w:rsidR="00271094">
        <w:t xml:space="preserve"> bezpečné archivace dat – jak technického charakteru, kdy se nepřetržitě řeší problémy s malou kapacitou diskových polí</w:t>
      </w:r>
    </w:p>
    <w:p w14:paraId="2854883E" w14:textId="767D70A0" w:rsidR="00D71E36" w:rsidRDefault="00D71E36" w:rsidP="00D71E36">
      <w:pPr>
        <w:pStyle w:val="Odstavecseseznamem"/>
        <w:numPr>
          <w:ilvl w:val="1"/>
          <w:numId w:val="6"/>
        </w:numPr>
        <w:tabs>
          <w:tab w:val="left" w:pos="540"/>
        </w:tabs>
      </w:pPr>
      <w:r>
        <w:t xml:space="preserve">Nedostatek finančních a personálních </w:t>
      </w:r>
      <w:r w:rsidR="00391D6B">
        <w:t>zdroj</w:t>
      </w:r>
      <w:r w:rsidR="0045228B">
        <w:t>ů</w:t>
      </w:r>
      <w:r w:rsidR="00391D6B">
        <w:t xml:space="preserve"> – kvalitní pracovníci, vhodná organizace jejich práce a jejich motivac</w:t>
      </w:r>
      <w:r w:rsidR="00B26AF6">
        <w:t>í</w:t>
      </w:r>
    </w:p>
    <w:p w14:paraId="28209E90" w14:textId="0E782C9C" w:rsidR="00C71988" w:rsidRPr="00BE30D1" w:rsidRDefault="00E90D06" w:rsidP="00F53C4B">
      <w:pPr>
        <w:pStyle w:val="Odstavecseseznamem"/>
        <w:numPr>
          <w:ilvl w:val="0"/>
          <w:numId w:val="6"/>
        </w:numPr>
        <w:tabs>
          <w:tab w:val="left" w:pos="540"/>
        </w:tabs>
        <w:rPr>
          <w:b/>
          <w:bCs/>
        </w:rPr>
      </w:pPr>
      <w:r w:rsidRPr="00BE30D1">
        <w:rPr>
          <w:b/>
          <w:bCs/>
        </w:rPr>
        <w:t xml:space="preserve">Co je to princip distinkce a jak se vztahuje ke </w:t>
      </w:r>
      <w:proofErr w:type="spellStart"/>
      <w:r w:rsidRPr="00BE30D1">
        <w:rPr>
          <w:b/>
          <w:bCs/>
        </w:rPr>
        <w:t>kyberzbraním</w:t>
      </w:r>
      <w:proofErr w:type="spellEnd"/>
      <w:r w:rsidRPr="00BE30D1">
        <w:rPr>
          <w:b/>
          <w:bCs/>
        </w:rPr>
        <w:t xml:space="preserve"> a </w:t>
      </w:r>
      <w:proofErr w:type="spellStart"/>
      <w:r w:rsidRPr="00BE30D1">
        <w:rPr>
          <w:b/>
          <w:bCs/>
        </w:rPr>
        <w:t>kyber</w:t>
      </w:r>
      <w:proofErr w:type="spellEnd"/>
      <w:r w:rsidRPr="00BE30D1">
        <w:rPr>
          <w:b/>
          <w:bCs/>
        </w:rPr>
        <w:t>-válce?</w:t>
      </w:r>
    </w:p>
    <w:p w14:paraId="33541398" w14:textId="58DD63DB" w:rsidR="00BE30D1" w:rsidRDefault="003B750C" w:rsidP="00BE30D1">
      <w:pPr>
        <w:pStyle w:val="Odstavecseseznamem"/>
        <w:numPr>
          <w:ilvl w:val="1"/>
          <w:numId w:val="6"/>
        </w:numPr>
        <w:tabs>
          <w:tab w:val="left" w:pos="540"/>
        </w:tabs>
      </w:pPr>
      <w:proofErr w:type="spellStart"/>
      <w:r>
        <w:t>Tallin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Rule 31</w:t>
      </w:r>
    </w:p>
    <w:p w14:paraId="404CAE76" w14:textId="12AA0A61" w:rsidR="003B750C" w:rsidRDefault="003B750C" w:rsidP="003B750C">
      <w:pPr>
        <w:pStyle w:val="Odstavecseseznamem"/>
        <w:numPr>
          <w:ilvl w:val="2"/>
          <w:numId w:val="6"/>
        </w:numPr>
        <w:tabs>
          <w:tab w:val="left" w:pos="540"/>
        </w:tabs>
      </w:pPr>
      <w:r>
        <w:t>Jediný cíl, kte</w:t>
      </w:r>
      <w:r w:rsidR="005A1E8B">
        <w:t>rý by měly Státy dosáhnout ve válce je oslabení armádních sil nepřítele.</w:t>
      </w:r>
      <w:r w:rsidR="00803FBE">
        <w:t xml:space="preserve"> </w:t>
      </w:r>
    </w:p>
    <w:p w14:paraId="205CF3C5" w14:textId="7F7DF45D" w:rsidR="002651A3" w:rsidRDefault="002651A3" w:rsidP="002651A3">
      <w:pPr>
        <w:pStyle w:val="Odstavecseseznamem"/>
        <w:numPr>
          <w:ilvl w:val="1"/>
          <w:numId w:val="6"/>
        </w:numPr>
        <w:tabs>
          <w:tab w:val="left" w:pos="540"/>
        </w:tabs>
      </w:pPr>
      <w:r>
        <w:t>Ženevské úmluvy</w:t>
      </w:r>
      <w:r w:rsidR="00485E9B">
        <w:t xml:space="preserve"> – účastníci konfliktu by měli rozlišovat mezi civilisty, kteří se neúčastní boje a vojáky</w:t>
      </w:r>
    </w:p>
    <w:p w14:paraId="059C8CAF" w14:textId="1484396C" w:rsidR="007A678C" w:rsidRDefault="007A678C" w:rsidP="007A678C">
      <w:pPr>
        <w:pStyle w:val="Odstavecseseznamem"/>
        <w:numPr>
          <w:ilvl w:val="1"/>
          <w:numId w:val="6"/>
        </w:numPr>
        <w:tabs>
          <w:tab w:val="left" w:pos="540"/>
        </w:tabs>
      </w:pPr>
      <w:r>
        <w:t>Útok na civilní objekty je nezákonný, i kdyby pomohl urychlit ukončení války</w:t>
      </w:r>
      <w:r w:rsidR="00485E9B">
        <w:t>.</w:t>
      </w:r>
    </w:p>
    <w:p w14:paraId="2F9B9AA2" w14:textId="06D2B557" w:rsidR="00485E9B" w:rsidRPr="002C49D3" w:rsidRDefault="00485E9B" w:rsidP="00485E9B">
      <w:pPr>
        <w:pStyle w:val="Odstavecseseznamem"/>
        <w:numPr>
          <w:ilvl w:val="1"/>
          <w:numId w:val="6"/>
        </w:numPr>
        <w:tabs>
          <w:tab w:val="left" w:pos="540"/>
        </w:tabs>
      </w:pPr>
      <w:r>
        <w:t>Aplikace ženevské úmluvy neposkytuje dostatečnou ochranu civilistům.</w:t>
      </w:r>
      <w:r w:rsidR="004038A5">
        <w:t xml:space="preserve"> Důležitým faktem je, že data se standardně nepovažují za </w:t>
      </w:r>
      <w:r w:rsidR="00A1461B">
        <w:t xml:space="preserve">civilní </w:t>
      </w:r>
      <w:r w:rsidR="004038A5">
        <w:t xml:space="preserve">objekt. Kromě toho definice útoku v kontextu </w:t>
      </w:r>
      <w:proofErr w:type="spellStart"/>
      <w:r w:rsidR="004038A5">
        <w:t>kyberválky</w:t>
      </w:r>
      <w:proofErr w:type="spellEnd"/>
      <w:r w:rsidR="004038A5">
        <w:t xml:space="preserve"> není velmi jasná</w:t>
      </w:r>
      <w:r w:rsidR="00561853">
        <w:t>. Posouzení, co se dá považovat za armádní/</w:t>
      </w:r>
      <w:r w:rsidR="00A80E0A">
        <w:t>civilní objekt se odvozuje na základě testu proporcionality.</w:t>
      </w:r>
    </w:p>
    <w:sectPr w:rsidR="00485E9B" w:rsidRPr="002C4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026"/>
    <w:multiLevelType w:val="hybridMultilevel"/>
    <w:tmpl w:val="E66C8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5C03"/>
    <w:multiLevelType w:val="hybridMultilevel"/>
    <w:tmpl w:val="9F028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87E848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368C1D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A282E"/>
    <w:multiLevelType w:val="multilevel"/>
    <w:tmpl w:val="4A80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F2437"/>
    <w:multiLevelType w:val="hybridMultilevel"/>
    <w:tmpl w:val="CD640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98A4C4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22E07"/>
    <w:multiLevelType w:val="hybridMultilevel"/>
    <w:tmpl w:val="F5B84B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21EA6"/>
    <w:multiLevelType w:val="hybridMultilevel"/>
    <w:tmpl w:val="8E8E78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A8D688FA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B1388E"/>
    <w:multiLevelType w:val="hybridMultilevel"/>
    <w:tmpl w:val="C0FAE8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B36B68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654FFD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CE29F4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E69FB"/>
    <w:multiLevelType w:val="hybridMultilevel"/>
    <w:tmpl w:val="2110BF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  <w:lvlOverride w:ilvl="0">
      <w:lvl w:ilvl="0">
        <w:numFmt w:val="lowerLetter"/>
        <w:lvlText w:val="%1."/>
        <w:lvlJc w:val="left"/>
      </w:lvl>
    </w:lvlOverride>
  </w:num>
  <w:num w:numId="8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0"/>
    <w:rsid w:val="0000117F"/>
    <w:rsid w:val="00005434"/>
    <w:rsid w:val="00005882"/>
    <w:rsid w:val="000176CF"/>
    <w:rsid w:val="0002204E"/>
    <w:rsid w:val="00022529"/>
    <w:rsid w:val="00022993"/>
    <w:rsid w:val="000241AC"/>
    <w:rsid w:val="00025D94"/>
    <w:rsid w:val="00037597"/>
    <w:rsid w:val="00041B7C"/>
    <w:rsid w:val="00044372"/>
    <w:rsid w:val="00045783"/>
    <w:rsid w:val="00045E9F"/>
    <w:rsid w:val="00045F98"/>
    <w:rsid w:val="00046C67"/>
    <w:rsid w:val="00050277"/>
    <w:rsid w:val="00051222"/>
    <w:rsid w:val="00055CBE"/>
    <w:rsid w:val="00055EF1"/>
    <w:rsid w:val="0005760F"/>
    <w:rsid w:val="0007233E"/>
    <w:rsid w:val="000802C8"/>
    <w:rsid w:val="00083475"/>
    <w:rsid w:val="000909DA"/>
    <w:rsid w:val="00091AEC"/>
    <w:rsid w:val="000951E9"/>
    <w:rsid w:val="0009636B"/>
    <w:rsid w:val="00096A5A"/>
    <w:rsid w:val="000A35D4"/>
    <w:rsid w:val="000A40B5"/>
    <w:rsid w:val="000B493B"/>
    <w:rsid w:val="000B5AE5"/>
    <w:rsid w:val="000B5BA1"/>
    <w:rsid w:val="000C1C5C"/>
    <w:rsid w:val="000C54B3"/>
    <w:rsid w:val="000C5C55"/>
    <w:rsid w:val="000D204F"/>
    <w:rsid w:val="000D2070"/>
    <w:rsid w:val="000E1817"/>
    <w:rsid w:val="000F2E0E"/>
    <w:rsid w:val="000F4ACC"/>
    <w:rsid w:val="000F6E47"/>
    <w:rsid w:val="00103DD7"/>
    <w:rsid w:val="001075B6"/>
    <w:rsid w:val="001151A7"/>
    <w:rsid w:val="0011721E"/>
    <w:rsid w:val="00122C0F"/>
    <w:rsid w:val="001315BA"/>
    <w:rsid w:val="00131FF5"/>
    <w:rsid w:val="0013565F"/>
    <w:rsid w:val="00144DAA"/>
    <w:rsid w:val="00156DDC"/>
    <w:rsid w:val="00160EBC"/>
    <w:rsid w:val="0016641E"/>
    <w:rsid w:val="001703C2"/>
    <w:rsid w:val="00183272"/>
    <w:rsid w:val="001866F4"/>
    <w:rsid w:val="00193BBC"/>
    <w:rsid w:val="001940D8"/>
    <w:rsid w:val="00195DEE"/>
    <w:rsid w:val="0019660D"/>
    <w:rsid w:val="001A4FF6"/>
    <w:rsid w:val="001B382D"/>
    <w:rsid w:val="001C08E1"/>
    <w:rsid w:val="001C08EC"/>
    <w:rsid w:val="001C4C91"/>
    <w:rsid w:val="001C6763"/>
    <w:rsid w:val="001D2460"/>
    <w:rsid w:val="001D5239"/>
    <w:rsid w:val="001E6570"/>
    <w:rsid w:val="001F50A7"/>
    <w:rsid w:val="001F7AF2"/>
    <w:rsid w:val="00201204"/>
    <w:rsid w:val="00204557"/>
    <w:rsid w:val="0020479F"/>
    <w:rsid w:val="00214503"/>
    <w:rsid w:val="0021707A"/>
    <w:rsid w:val="00217342"/>
    <w:rsid w:val="002178FD"/>
    <w:rsid w:val="00224876"/>
    <w:rsid w:val="002300E9"/>
    <w:rsid w:val="00242336"/>
    <w:rsid w:val="00243EE0"/>
    <w:rsid w:val="002448FB"/>
    <w:rsid w:val="0024796F"/>
    <w:rsid w:val="00251861"/>
    <w:rsid w:val="00253FE1"/>
    <w:rsid w:val="00257143"/>
    <w:rsid w:val="002651A3"/>
    <w:rsid w:val="0026550E"/>
    <w:rsid w:val="00270684"/>
    <w:rsid w:val="00271094"/>
    <w:rsid w:val="00274097"/>
    <w:rsid w:val="002759A7"/>
    <w:rsid w:val="00285415"/>
    <w:rsid w:val="0029689D"/>
    <w:rsid w:val="002A5696"/>
    <w:rsid w:val="002A5A8C"/>
    <w:rsid w:val="002B0CFC"/>
    <w:rsid w:val="002B1783"/>
    <w:rsid w:val="002B36DA"/>
    <w:rsid w:val="002B4902"/>
    <w:rsid w:val="002B7FD3"/>
    <w:rsid w:val="002C0B18"/>
    <w:rsid w:val="002C49D3"/>
    <w:rsid w:val="002E1884"/>
    <w:rsid w:val="002E443E"/>
    <w:rsid w:val="002E79CF"/>
    <w:rsid w:val="002F14A0"/>
    <w:rsid w:val="002F2FCA"/>
    <w:rsid w:val="002F65BB"/>
    <w:rsid w:val="00310483"/>
    <w:rsid w:val="0032119D"/>
    <w:rsid w:val="00323624"/>
    <w:rsid w:val="00335801"/>
    <w:rsid w:val="00345FD1"/>
    <w:rsid w:val="003504CB"/>
    <w:rsid w:val="00353BCE"/>
    <w:rsid w:val="003547C6"/>
    <w:rsid w:val="00357631"/>
    <w:rsid w:val="00366D23"/>
    <w:rsid w:val="00373477"/>
    <w:rsid w:val="00382E3B"/>
    <w:rsid w:val="003841CC"/>
    <w:rsid w:val="00391AA4"/>
    <w:rsid w:val="00391D6B"/>
    <w:rsid w:val="0039589F"/>
    <w:rsid w:val="00395E06"/>
    <w:rsid w:val="003A4CAF"/>
    <w:rsid w:val="003A5E82"/>
    <w:rsid w:val="003B42BB"/>
    <w:rsid w:val="003B5E20"/>
    <w:rsid w:val="003B750C"/>
    <w:rsid w:val="003C3495"/>
    <w:rsid w:val="003C4348"/>
    <w:rsid w:val="003D1D8B"/>
    <w:rsid w:val="003D5425"/>
    <w:rsid w:val="003D7F4D"/>
    <w:rsid w:val="003E20CC"/>
    <w:rsid w:val="003E3C8B"/>
    <w:rsid w:val="004038A5"/>
    <w:rsid w:val="00406548"/>
    <w:rsid w:val="00415682"/>
    <w:rsid w:val="004211BA"/>
    <w:rsid w:val="0045228B"/>
    <w:rsid w:val="00457757"/>
    <w:rsid w:val="004624E2"/>
    <w:rsid w:val="004711A7"/>
    <w:rsid w:val="004765D7"/>
    <w:rsid w:val="00476D33"/>
    <w:rsid w:val="00485E9B"/>
    <w:rsid w:val="00486D2C"/>
    <w:rsid w:val="004944AA"/>
    <w:rsid w:val="004B29E3"/>
    <w:rsid w:val="004B2FE9"/>
    <w:rsid w:val="004D07AC"/>
    <w:rsid w:val="004D0DFF"/>
    <w:rsid w:val="004D1765"/>
    <w:rsid w:val="004E0068"/>
    <w:rsid w:val="004E1894"/>
    <w:rsid w:val="004E36E1"/>
    <w:rsid w:val="004F5984"/>
    <w:rsid w:val="00507223"/>
    <w:rsid w:val="00511F57"/>
    <w:rsid w:val="0052100B"/>
    <w:rsid w:val="00521744"/>
    <w:rsid w:val="005275FE"/>
    <w:rsid w:val="00530C86"/>
    <w:rsid w:val="00532ED6"/>
    <w:rsid w:val="00534293"/>
    <w:rsid w:val="0054108B"/>
    <w:rsid w:val="00553A5C"/>
    <w:rsid w:val="00554442"/>
    <w:rsid w:val="0055680D"/>
    <w:rsid w:val="00556D2B"/>
    <w:rsid w:val="00561853"/>
    <w:rsid w:val="00567919"/>
    <w:rsid w:val="00574D83"/>
    <w:rsid w:val="005765C0"/>
    <w:rsid w:val="00577924"/>
    <w:rsid w:val="00582885"/>
    <w:rsid w:val="005A1E8B"/>
    <w:rsid w:val="005A3312"/>
    <w:rsid w:val="005B07FD"/>
    <w:rsid w:val="005B497A"/>
    <w:rsid w:val="005B4E3C"/>
    <w:rsid w:val="005B540B"/>
    <w:rsid w:val="005B744E"/>
    <w:rsid w:val="005C15EF"/>
    <w:rsid w:val="005C380F"/>
    <w:rsid w:val="005C4340"/>
    <w:rsid w:val="005C5030"/>
    <w:rsid w:val="005C55E9"/>
    <w:rsid w:val="005E0467"/>
    <w:rsid w:val="005E0B46"/>
    <w:rsid w:val="005E1097"/>
    <w:rsid w:val="005E1B01"/>
    <w:rsid w:val="005F16A8"/>
    <w:rsid w:val="005F53C9"/>
    <w:rsid w:val="005F641D"/>
    <w:rsid w:val="0060238B"/>
    <w:rsid w:val="0060416C"/>
    <w:rsid w:val="0060640C"/>
    <w:rsid w:val="00606802"/>
    <w:rsid w:val="0062075B"/>
    <w:rsid w:val="00620A8F"/>
    <w:rsid w:val="00626FE4"/>
    <w:rsid w:val="006309AD"/>
    <w:rsid w:val="00641884"/>
    <w:rsid w:val="0064219C"/>
    <w:rsid w:val="006430C5"/>
    <w:rsid w:val="006505DA"/>
    <w:rsid w:val="00650884"/>
    <w:rsid w:val="00655608"/>
    <w:rsid w:val="00656E65"/>
    <w:rsid w:val="006646C9"/>
    <w:rsid w:val="006647FC"/>
    <w:rsid w:val="00665A86"/>
    <w:rsid w:val="00671C43"/>
    <w:rsid w:val="00673D3F"/>
    <w:rsid w:val="00680D9F"/>
    <w:rsid w:val="00684D54"/>
    <w:rsid w:val="00685249"/>
    <w:rsid w:val="006A7310"/>
    <w:rsid w:val="006B60AE"/>
    <w:rsid w:val="006C3225"/>
    <w:rsid w:val="006C3F7B"/>
    <w:rsid w:val="006C5BCB"/>
    <w:rsid w:val="006C75D8"/>
    <w:rsid w:val="006C7907"/>
    <w:rsid w:val="006F16EF"/>
    <w:rsid w:val="006F3DED"/>
    <w:rsid w:val="006F53E6"/>
    <w:rsid w:val="006F75B0"/>
    <w:rsid w:val="006F78FD"/>
    <w:rsid w:val="0070436F"/>
    <w:rsid w:val="00711217"/>
    <w:rsid w:val="00721048"/>
    <w:rsid w:val="00722744"/>
    <w:rsid w:val="00724BED"/>
    <w:rsid w:val="00733BBF"/>
    <w:rsid w:val="00733BDB"/>
    <w:rsid w:val="00736EAE"/>
    <w:rsid w:val="00744235"/>
    <w:rsid w:val="00744FA1"/>
    <w:rsid w:val="0075292F"/>
    <w:rsid w:val="0075755E"/>
    <w:rsid w:val="00762A63"/>
    <w:rsid w:val="00764E19"/>
    <w:rsid w:val="00765E1C"/>
    <w:rsid w:val="0076671D"/>
    <w:rsid w:val="0077623D"/>
    <w:rsid w:val="00776C51"/>
    <w:rsid w:val="0079779A"/>
    <w:rsid w:val="007A678C"/>
    <w:rsid w:val="007A7E74"/>
    <w:rsid w:val="007B0730"/>
    <w:rsid w:val="007C1861"/>
    <w:rsid w:val="007C6FB4"/>
    <w:rsid w:val="007C7224"/>
    <w:rsid w:val="007D12CE"/>
    <w:rsid w:val="007D201C"/>
    <w:rsid w:val="007D25CF"/>
    <w:rsid w:val="007D66BD"/>
    <w:rsid w:val="007E1526"/>
    <w:rsid w:val="007E5995"/>
    <w:rsid w:val="007E6B7C"/>
    <w:rsid w:val="007E7215"/>
    <w:rsid w:val="00802EF4"/>
    <w:rsid w:val="00803FBE"/>
    <w:rsid w:val="00806D26"/>
    <w:rsid w:val="00812469"/>
    <w:rsid w:val="008174C8"/>
    <w:rsid w:val="00822855"/>
    <w:rsid w:val="00824D53"/>
    <w:rsid w:val="00836514"/>
    <w:rsid w:val="0085166D"/>
    <w:rsid w:val="00860861"/>
    <w:rsid w:val="008633C1"/>
    <w:rsid w:val="00865EE3"/>
    <w:rsid w:val="00880665"/>
    <w:rsid w:val="008A3AEB"/>
    <w:rsid w:val="008A46B0"/>
    <w:rsid w:val="008A5AA5"/>
    <w:rsid w:val="008A6A11"/>
    <w:rsid w:val="008A7A55"/>
    <w:rsid w:val="008A7CC9"/>
    <w:rsid w:val="008B6B93"/>
    <w:rsid w:val="008B7747"/>
    <w:rsid w:val="008B7D89"/>
    <w:rsid w:val="008C2ECF"/>
    <w:rsid w:val="008C5530"/>
    <w:rsid w:val="008C6EF5"/>
    <w:rsid w:val="008D18A1"/>
    <w:rsid w:val="008D27EA"/>
    <w:rsid w:val="008E4B01"/>
    <w:rsid w:val="008E6415"/>
    <w:rsid w:val="008F140B"/>
    <w:rsid w:val="008F1489"/>
    <w:rsid w:val="008F30F6"/>
    <w:rsid w:val="008F59EB"/>
    <w:rsid w:val="008F5BB3"/>
    <w:rsid w:val="008F6B5B"/>
    <w:rsid w:val="008F6F85"/>
    <w:rsid w:val="00900633"/>
    <w:rsid w:val="00900DDD"/>
    <w:rsid w:val="009034A9"/>
    <w:rsid w:val="00910F55"/>
    <w:rsid w:val="00912989"/>
    <w:rsid w:val="009162C3"/>
    <w:rsid w:val="00922AF5"/>
    <w:rsid w:val="009257B5"/>
    <w:rsid w:val="00927DD7"/>
    <w:rsid w:val="00940EE3"/>
    <w:rsid w:val="00943857"/>
    <w:rsid w:val="00957E7F"/>
    <w:rsid w:val="009615B9"/>
    <w:rsid w:val="009640C0"/>
    <w:rsid w:val="009657EA"/>
    <w:rsid w:val="00965827"/>
    <w:rsid w:val="00972C46"/>
    <w:rsid w:val="00973996"/>
    <w:rsid w:val="00980358"/>
    <w:rsid w:val="00982ED7"/>
    <w:rsid w:val="00983955"/>
    <w:rsid w:val="009841FA"/>
    <w:rsid w:val="0098423C"/>
    <w:rsid w:val="009878FC"/>
    <w:rsid w:val="00995E8F"/>
    <w:rsid w:val="009A06A5"/>
    <w:rsid w:val="009A23E1"/>
    <w:rsid w:val="009A6345"/>
    <w:rsid w:val="009A641A"/>
    <w:rsid w:val="009B2A35"/>
    <w:rsid w:val="009B473E"/>
    <w:rsid w:val="009B4B75"/>
    <w:rsid w:val="009B6458"/>
    <w:rsid w:val="009C3336"/>
    <w:rsid w:val="009C53B1"/>
    <w:rsid w:val="009D19B9"/>
    <w:rsid w:val="009D6130"/>
    <w:rsid w:val="009E04ED"/>
    <w:rsid w:val="009E063F"/>
    <w:rsid w:val="009E5A2E"/>
    <w:rsid w:val="009F448E"/>
    <w:rsid w:val="00A065BD"/>
    <w:rsid w:val="00A13828"/>
    <w:rsid w:val="00A1461B"/>
    <w:rsid w:val="00A1481D"/>
    <w:rsid w:val="00A174E3"/>
    <w:rsid w:val="00A230E1"/>
    <w:rsid w:val="00A31E9F"/>
    <w:rsid w:val="00A327D6"/>
    <w:rsid w:val="00A34A52"/>
    <w:rsid w:val="00A35AE7"/>
    <w:rsid w:val="00A43805"/>
    <w:rsid w:val="00A476EC"/>
    <w:rsid w:val="00A5024E"/>
    <w:rsid w:val="00A56520"/>
    <w:rsid w:val="00A6040C"/>
    <w:rsid w:val="00A63464"/>
    <w:rsid w:val="00A80568"/>
    <w:rsid w:val="00A80A44"/>
    <w:rsid w:val="00A80E0A"/>
    <w:rsid w:val="00A925FA"/>
    <w:rsid w:val="00A95894"/>
    <w:rsid w:val="00AB0EF5"/>
    <w:rsid w:val="00AB3690"/>
    <w:rsid w:val="00AB45B1"/>
    <w:rsid w:val="00AB5B30"/>
    <w:rsid w:val="00AB6412"/>
    <w:rsid w:val="00AC2C70"/>
    <w:rsid w:val="00AC2EDD"/>
    <w:rsid w:val="00AC5A26"/>
    <w:rsid w:val="00AC7B16"/>
    <w:rsid w:val="00AE28D9"/>
    <w:rsid w:val="00AE7338"/>
    <w:rsid w:val="00AF7E00"/>
    <w:rsid w:val="00B073B2"/>
    <w:rsid w:val="00B23F27"/>
    <w:rsid w:val="00B24BCA"/>
    <w:rsid w:val="00B26AF6"/>
    <w:rsid w:val="00B3045A"/>
    <w:rsid w:val="00B32846"/>
    <w:rsid w:val="00B34596"/>
    <w:rsid w:val="00B407FA"/>
    <w:rsid w:val="00B4114C"/>
    <w:rsid w:val="00B5441E"/>
    <w:rsid w:val="00B66461"/>
    <w:rsid w:val="00B70A24"/>
    <w:rsid w:val="00B736AD"/>
    <w:rsid w:val="00B76C06"/>
    <w:rsid w:val="00B76D08"/>
    <w:rsid w:val="00B8510E"/>
    <w:rsid w:val="00B85D55"/>
    <w:rsid w:val="00BA6D53"/>
    <w:rsid w:val="00BB6304"/>
    <w:rsid w:val="00BC0527"/>
    <w:rsid w:val="00BC45ED"/>
    <w:rsid w:val="00BC5AF7"/>
    <w:rsid w:val="00BC7CD0"/>
    <w:rsid w:val="00BD7FE4"/>
    <w:rsid w:val="00BE193A"/>
    <w:rsid w:val="00BE2C25"/>
    <w:rsid w:val="00BE30D1"/>
    <w:rsid w:val="00BE42B6"/>
    <w:rsid w:val="00BE66D3"/>
    <w:rsid w:val="00BF15A0"/>
    <w:rsid w:val="00BF1921"/>
    <w:rsid w:val="00BF49EE"/>
    <w:rsid w:val="00C01C93"/>
    <w:rsid w:val="00C078BD"/>
    <w:rsid w:val="00C07DD8"/>
    <w:rsid w:val="00C108E9"/>
    <w:rsid w:val="00C110C7"/>
    <w:rsid w:val="00C1439E"/>
    <w:rsid w:val="00C149BA"/>
    <w:rsid w:val="00C14B4B"/>
    <w:rsid w:val="00C15750"/>
    <w:rsid w:val="00C160F6"/>
    <w:rsid w:val="00C226A5"/>
    <w:rsid w:val="00C22EDF"/>
    <w:rsid w:val="00C23BEF"/>
    <w:rsid w:val="00C3210A"/>
    <w:rsid w:val="00C32B75"/>
    <w:rsid w:val="00C32E17"/>
    <w:rsid w:val="00C34E00"/>
    <w:rsid w:val="00C4177C"/>
    <w:rsid w:val="00C50834"/>
    <w:rsid w:val="00C50C3E"/>
    <w:rsid w:val="00C57082"/>
    <w:rsid w:val="00C63EEE"/>
    <w:rsid w:val="00C64F91"/>
    <w:rsid w:val="00C67018"/>
    <w:rsid w:val="00C71988"/>
    <w:rsid w:val="00C71FF9"/>
    <w:rsid w:val="00C77617"/>
    <w:rsid w:val="00C813D2"/>
    <w:rsid w:val="00C82103"/>
    <w:rsid w:val="00CA0617"/>
    <w:rsid w:val="00CA54E3"/>
    <w:rsid w:val="00CA585C"/>
    <w:rsid w:val="00CA6FED"/>
    <w:rsid w:val="00CD1FD5"/>
    <w:rsid w:val="00CD2E93"/>
    <w:rsid w:val="00CE3B57"/>
    <w:rsid w:val="00CE573A"/>
    <w:rsid w:val="00CE650C"/>
    <w:rsid w:val="00CE6AF1"/>
    <w:rsid w:val="00CF6691"/>
    <w:rsid w:val="00CF7BA4"/>
    <w:rsid w:val="00D0078D"/>
    <w:rsid w:val="00D01B30"/>
    <w:rsid w:val="00D03B70"/>
    <w:rsid w:val="00D04FD5"/>
    <w:rsid w:val="00D069A3"/>
    <w:rsid w:val="00D14B21"/>
    <w:rsid w:val="00D151F7"/>
    <w:rsid w:val="00D30259"/>
    <w:rsid w:val="00D307FB"/>
    <w:rsid w:val="00D32621"/>
    <w:rsid w:val="00D32D79"/>
    <w:rsid w:val="00D37432"/>
    <w:rsid w:val="00D45953"/>
    <w:rsid w:val="00D474C0"/>
    <w:rsid w:val="00D47844"/>
    <w:rsid w:val="00D47D69"/>
    <w:rsid w:val="00D60D4D"/>
    <w:rsid w:val="00D64B84"/>
    <w:rsid w:val="00D66ECD"/>
    <w:rsid w:val="00D67F41"/>
    <w:rsid w:val="00D719A9"/>
    <w:rsid w:val="00D71E36"/>
    <w:rsid w:val="00D74B41"/>
    <w:rsid w:val="00D81FCC"/>
    <w:rsid w:val="00D844E7"/>
    <w:rsid w:val="00D86EAA"/>
    <w:rsid w:val="00D9729B"/>
    <w:rsid w:val="00DA04E5"/>
    <w:rsid w:val="00DA24E9"/>
    <w:rsid w:val="00DA3837"/>
    <w:rsid w:val="00DB3535"/>
    <w:rsid w:val="00DB6801"/>
    <w:rsid w:val="00DC25C6"/>
    <w:rsid w:val="00DC37DA"/>
    <w:rsid w:val="00DC3D99"/>
    <w:rsid w:val="00DC7A9C"/>
    <w:rsid w:val="00DD132F"/>
    <w:rsid w:val="00DE0420"/>
    <w:rsid w:val="00DE66BD"/>
    <w:rsid w:val="00DE77E2"/>
    <w:rsid w:val="00DF1F49"/>
    <w:rsid w:val="00DF368C"/>
    <w:rsid w:val="00E0269B"/>
    <w:rsid w:val="00E13AE5"/>
    <w:rsid w:val="00E160FA"/>
    <w:rsid w:val="00E1755B"/>
    <w:rsid w:val="00E176F6"/>
    <w:rsid w:val="00E24702"/>
    <w:rsid w:val="00E310D8"/>
    <w:rsid w:val="00E318BF"/>
    <w:rsid w:val="00E325A9"/>
    <w:rsid w:val="00E413B0"/>
    <w:rsid w:val="00E44342"/>
    <w:rsid w:val="00E50B4D"/>
    <w:rsid w:val="00E51A3D"/>
    <w:rsid w:val="00E52B93"/>
    <w:rsid w:val="00E65787"/>
    <w:rsid w:val="00E66675"/>
    <w:rsid w:val="00E67D49"/>
    <w:rsid w:val="00E719F8"/>
    <w:rsid w:val="00E76970"/>
    <w:rsid w:val="00E76ACD"/>
    <w:rsid w:val="00E77A21"/>
    <w:rsid w:val="00E87E39"/>
    <w:rsid w:val="00E90A1A"/>
    <w:rsid w:val="00E90D06"/>
    <w:rsid w:val="00E922D5"/>
    <w:rsid w:val="00E92412"/>
    <w:rsid w:val="00E92D27"/>
    <w:rsid w:val="00E95A3D"/>
    <w:rsid w:val="00EA6A93"/>
    <w:rsid w:val="00EB3957"/>
    <w:rsid w:val="00EB48A0"/>
    <w:rsid w:val="00EB4A69"/>
    <w:rsid w:val="00EB6A76"/>
    <w:rsid w:val="00EC3DA9"/>
    <w:rsid w:val="00ED651B"/>
    <w:rsid w:val="00EE0116"/>
    <w:rsid w:val="00EF2211"/>
    <w:rsid w:val="00F04E83"/>
    <w:rsid w:val="00F13869"/>
    <w:rsid w:val="00F14DEE"/>
    <w:rsid w:val="00F16C85"/>
    <w:rsid w:val="00F17D9B"/>
    <w:rsid w:val="00F21013"/>
    <w:rsid w:val="00F25F97"/>
    <w:rsid w:val="00F2693D"/>
    <w:rsid w:val="00F3295D"/>
    <w:rsid w:val="00F436CC"/>
    <w:rsid w:val="00F515F4"/>
    <w:rsid w:val="00F53AD5"/>
    <w:rsid w:val="00F53C4B"/>
    <w:rsid w:val="00F558AF"/>
    <w:rsid w:val="00F55A6F"/>
    <w:rsid w:val="00F56881"/>
    <w:rsid w:val="00F6188E"/>
    <w:rsid w:val="00F622C8"/>
    <w:rsid w:val="00F65833"/>
    <w:rsid w:val="00F65B38"/>
    <w:rsid w:val="00F67D9C"/>
    <w:rsid w:val="00F80AD7"/>
    <w:rsid w:val="00FA21B7"/>
    <w:rsid w:val="00FA7B6B"/>
    <w:rsid w:val="00FB5A69"/>
    <w:rsid w:val="00FC0CE8"/>
    <w:rsid w:val="00FD7393"/>
    <w:rsid w:val="00FD7DF9"/>
    <w:rsid w:val="00FE1056"/>
    <w:rsid w:val="00F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75A2"/>
  <w15:chartTrackingRefBased/>
  <w15:docId w15:val="{E2763A53-E962-4F09-A4BF-A5FF217A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2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26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A6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211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32119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626F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styleId="Hypertextovodkaz">
    <w:name w:val="Hyperlink"/>
    <w:basedOn w:val="Standardnpsmoodstavce"/>
    <w:uiPriority w:val="99"/>
    <w:unhideWhenUsed/>
    <w:rsid w:val="00BD7FE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D7FE4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2E1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A63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F515F4"/>
    <w:pPr>
      <w:outlineLvl w:val="9"/>
    </w:pPr>
    <w:rPr>
      <w:lang w:val="en-GB" w:eastAsia="en-GB"/>
    </w:rPr>
  </w:style>
  <w:style w:type="paragraph" w:styleId="Obsah1">
    <w:name w:val="toc 1"/>
    <w:basedOn w:val="Normln"/>
    <w:next w:val="Normln"/>
    <w:autoRedefine/>
    <w:uiPriority w:val="39"/>
    <w:unhideWhenUsed/>
    <w:rsid w:val="00F515F4"/>
    <w:pPr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2248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cience.law.muni.cz/knihy/monografie/Polcak_Kyberneticka_bezpecnos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mg.ihned.cz/attachment.php/300/61041300/CER0yIPTNf9SMhwjnH6qz8Wm1Jd5OQAL/2schemakii-cz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36381-3EB7-4B5A-A8E7-99A139E48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15</Pages>
  <Words>4801</Words>
  <Characters>27372</Characters>
  <Application>Microsoft Office Word</Application>
  <DocSecurity>0</DocSecurity>
  <Lines>228</Lines>
  <Paragraphs>64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Kocinec</dc:creator>
  <cp:keywords/>
  <dc:description/>
  <cp:lastModifiedBy>Patrik Kocinec</cp:lastModifiedBy>
  <cp:revision>568</cp:revision>
  <dcterms:created xsi:type="dcterms:W3CDTF">2021-01-14T18:49:00Z</dcterms:created>
  <dcterms:modified xsi:type="dcterms:W3CDTF">2021-01-20T13:08:00Z</dcterms:modified>
</cp:coreProperties>
</file>