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jc w:val="center"/>
      </w:pPr>
      <w:r>
        <w:rPr>
          <w:rFonts w:ascii="Arial" w:hAnsi="Arial"/>
          <w:b/>
          <w:color w:val="1F497D"/>
          <w:sz w:val="64"/>
        </w:rPr>
        <w:t>Myconote_CLI</w:t>
      </w:r>
    </w:p>
    <w:p>
      <w:pPr>
        <w:spacing w:after="120"/>
        <w:jc w:val="center"/>
      </w:pPr>
      <w:r>
        <w:rPr>
          <w:rFonts w:ascii="Arial" w:hAnsi="Arial"/>
          <w:color w:val="2E74B5"/>
          <w:sz w:val="32"/>
        </w:rPr>
        <w:t>Genome Annotation Pipeline</w:t>
      </w:r>
    </w:p>
    <w:p>
      <w:pPr>
        <w:spacing w:after="1000"/>
        <w:jc w:val="center"/>
      </w:pPr>
      <w:r>
        <w:rPr>
          <w:rFonts w:ascii="Arial" w:hAnsi="Arial"/>
          <w:color w:val="707070"/>
          <w:sz w:val="22"/>
        </w:rPr>
        <w:t>User Guide · v0.1.0</w:t>
      </w:r>
    </w:p>
    <w:p>
      <w:pPr>
        <w:spacing w:before="80" w:after="80"/>
        <w:pBdr>
          <w:bottom w:val="single" w:sz="6" w:space="1" w:color="2E74B5"/>
        </w:pBdr>
      </w:pPr>
    </w:p>
    <w:p>
      <w:pPr>
        <w:spacing w:before="320"/>
        <w:jc w:val="center"/>
      </w:pPr>
      <w:r>
        <w:rPr>
          <w:rFonts w:ascii="Arial" w:hAnsi="Arial"/>
          <w:b/>
          <w:sz w:val="24"/>
        </w:rPr>
        <w:t>Benjamin Narh-Madey</w:t>
      </w:r>
    </w:p>
    <w:p>
      <w:pPr>
        <w:jc w:val="center"/>
      </w:pPr>
      <w:r>
        <w:rPr>
          <w:rFonts w:ascii="Arial" w:hAnsi="Arial"/>
          <w:color w:val="505050"/>
          <w:sz w:val="21"/>
        </w:rPr>
        <w:t>Hittinger Lab · University of Wisconsin–Madison</w:t>
      </w:r>
    </w:p>
    <w:p>
      <w:pPr>
        <w:jc w:val="center"/>
      </w:pPr>
      <w:r>
        <w:rPr>
          <w:rFonts w:ascii="Arial" w:hAnsi="Arial"/>
          <w:color w:val="2E74B5"/>
          <w:sz w:val="21"/>
        </w:rPr>
        <w:t>narhmadey@wisc.edu</w:t>
      </w:r>
    </w:p>
    <w:p>
      <w:r>
        <w:br w:type="page"/>
      </w:r>
    </w:p>
    <w:p>
      <w:pPr>
        <w:pStyle w:val="Heading1"/>
      </w:pPr>
      <w:r>
        <w:t>1. Introduction</w:t>
      </w:r>
    </w:p>
    <w:p>
      <w:pPr>
        <w:spacing w:after="100"/>
      </w:pPr>
      <w:r>
        <w:t>Myconote_CLI is a modular, command-line genome annotation pipeline designed for eukaryotic organisms, with an emphasis on fungal genomes. It takes a raw genome assembly through repeat masking, ab initio gene prediction, RNA-seq evidence integration, and functional annotation in a structured, reproducible sequence of steps.</w:t>
      </w:r>
    </w:p>
    <w:p>
      <w:pPr>
        <w:spacing w:after="100"/>
      </w:pPr>
      <w:r>
        <w:t>Each stage is a separate subcommand, giving researchers full control over where to start, pause, or resume. All intermediate and final outputs use standard bioinformatics formats (GFF3, FASTA, GenBank) compatible with downstream tools including IGV, JBrowse2, Geneious, SnapGene, and UCSC Genome Browser.</w:t>
      </w:r>
    </w:p>
    <w:p>
      <w:pPr>
        <w:pStyle w:val="Heading2"/>
      </w:pPr>
      <w:r>
        <w:t>Pipeline overview</w:t>
      </w:r>
    </w:p>
    <w:p>
      <w:pPr>
        <w:spacing w:after="100"/>
      </w:pPr>
      <w:r>
        <w:t>The core annotation pipeline runs in six ordered steps:</w:t>
      </w:r>
    </w:p>
    <w:tbl>
      <w:tblPr>
        <w:tblStyle w:val="TableGrid"/>
        <w:tblW w:type="auto" w:w="0"/>
        <w:jc w:val="left"/>
        <w:tblLook w:firstColumn="1" w:firstRow="1" w:lastColumn="0" w:lastRow="0" w:noHBand="0" w:noVBand="1" w:val="04A0"/>
      </w:tblPr>
      <w:tblGrid>
        <w:gridCol w:w="3120"/>
        <w:gridCol w:w="3120"/>
        <w:gridCol w:w="3120"/>
      </w:tblGrid>
      <w:tr>
        <w:tc>
          <w:tcPr>
            <w:tcW w:type="dxa" w:w="576"/>
            <w:vAlign w:val="center"/>
            <w:shd w:val="clear" w:color="auto" w:fill="2E74B5"/>
          </w:tcPr>
          <w:p>
            <w:pPr>
              <w:jc w:val="center"/>
            </w:pPr>
            <w:r>
              <w:rPr>
                <w:b/>
                <w:color w:val="FFFFFF"/>
                <w:sz w:val="19"/>
              </w:rPr>
              <w:t>Step</w:t>
            </w:r>
          </w:p>
        </w:tc>
        <w:tc>
          <w:tcPr>
            <w:tcW w:type="dxa" w:w="1440"/>
            <w:vAlign w:val="center"/>
            <w:shd w:val="clear" w:color="auto" w:fill="2E74B5"/>
          </w:tcPr>
          <w:p>
            <w:pPr>
              <w:jc w:val="center"/>
            </w:pPr>
            <w:r>
              <w:rPr>
                <w:b/>
                <w:color w:val="FFFFFF"/>
                <w:sz w:val="19"/>
              </w:rPr>
              <w:t>Command</w:t>
            </w:r>
          </w:p>
        </w:tc>
        <w:tc>
          <w:tcPr>
            <w:tcW w:type="dxa" w:w="8064"/>
            <w:vAlign w:val="center"/>
            <w:shd w:val="clear" w:color="auto" w:fill="2E74B5"/>
          </w:tcPr>
          <w:p>
            <w:pPr>
              <w:jc w:val="center"/>
            </w:pPr>
            <w:r>
              <w:rPr>
                <w:b/>
                <w:color w:val="FFFFFF"/>
                <w:sz w:val="19"/>
              </w:rPr>
              <w:t>Description</w:t>
            </w:r>
          </w:p>
        </w:tc>
      </w:tr>
      <w:tr>
        <w:tc>
          <w:tcPr>
            <w:tcW w:type="dxa" w:w="576"/>
            <w:shd w:val="clear" w:color="auto" w:fill="FFFFFF"/>
          </w:tcPr>
          <w:p>
            <w:r>
              <w:rPr>
                <w:sz w:val="19"/>
              </w:rPr>
              <w:t>1</w:t>
            </w:r>
          </w:p>
        </w:tc>
        <w:tc>
          <w:tcPr>
            <w:tcW w:type="dxa" w:w="1440"/>
            <w:shd w:val="clear" w:color="auto" w:fill="FFFFFF"/>
          </w:tcPr>
          <w:p>
            <w:r>
              <w:rPr>
                <w:sz w:val="19"/>
              </w:rPr>
              <w:t>sort</w:t>
            </w:r>
          </w:p>
        </w:tc>
        <w:tc>
          <w:tcPr>
            <w:tcW w:type="dxa" w:w="8064"/>
            <w:shd w:val="clear" w:color="auto" w:fill="FFFFFF"/>
          </w:tcPr>
          <w:p>
            <w:r>
              <w:rPr>
                <w:sz w:val="19"/>
              </w:rPr>
              <w:t>Sort contigs by length, rename headers, filter short scaffolds</w:t>
            </w:r>
          </w:p>
        </w:tc>
      </w:tr>
      <w:tr>
        <w:tc>
          <w:tcPr>
            <w:tcW w:type="dxa" w:w="576"/>
            <w:shd w:val="clear" w:color="auto" w:fill="EEF3F9"/>
          </w:tcPr>
          <w:p>
            <w:r>
              <w:rPr>
                <w:sz w:val="19"/>
              </w:rPr>
              <w:t>2</w:t>
            </w:r>
          </w:p>
        </w:tc>
        <w:tc>
          <w:tcPr>
            <w:tcW w:type="dxa" w:w="1440"/>
            <w:shd w:val="clear" w:color="auto" w:fill="EEF3F9"/>
          </w:tcPr>
          <w:p>
            <w:r>
              <w:rPr>
                <w:sz w:val="19"/>
              </w:rPr>
              <w:t>mask</w:t>
            </w:r>
          </w:p>
        </w:tc>
        <w:tc>
          <w:tcPr>
            <w:tcW w:type="dxa" w:w="8064"/>
            <w:shd w:val="clear" w:color="auto" w:fill="EEF3F9"/>
          </w:tcPr>
          <w:p>
            <w:r>
              <w:rPr>
                <w:sz w:val="19"/>
              </w:rPr>
              <w:t>Identify and soft-mask repeats (RepeatModeler + RepeatMasker)</w:t>
            </w:r>
          </w:p>
        </w:tc>
      </w:tr>
      <w:tr>
        <w:tc>
          <w:tcPr>
            <w:tcW w:type="dxa" w:w="576"/>
            <w:shd w:val="clear" w:color="auto" w:fill="FFFFFF"/>
          </w:tcPr>
          <w:p>
            <w:r>
              <w:rPr>
                <w:sz w:val="19"/>
              </w:rPr>
              <w:t>3</w:t>
            </w:r>
          </w:p>
        </w:tc>
        <w:tc>
          <w:tcPr>
            <w:tcW w:type="dxa" w:w="1440"/>
            <w:shd w:val="clear" w:color="auto" w:fill="FFFFFF"/>
          </w:tcPr>
          <w:p>
            <w:r>
              <w:rPr>
                <w:sz w:val="19"/>
              </w:rPr>
              <w:t>train</w:t>
            </w:r>
          </w:p>
        </w:tc>
        <w:tc>
          <w:tcPr>
            <w:tcW w:type="dxa" w:w="8064"/>
            <w:shd w:val="clear" w:color="auto" w:fill="FFFFFF"/>
          </w:tcPr>
          <w:p>
            <w:r>
              <w:rPr>
                <w:sz w:val="19"/>
              </w:rPr>
              <w:t>RNA-seq–guided training of Augustus and SNAP (Trinity + PASA)</w:t>
            </w:r>
          </w:p>
        </w:tc>
      </w:tr>
      <w:tr>
        <w:tc>
          <w:tcPr>
            <w:tcW w:type="dxa" w:w="576"/>
            <w:shd w:val="clear" w:color="auto" w:fill="EEF3F9"/>
          </w:tcPr>
          <w:p>
            <w:r>
              <w:rPr>
                <w:sz w:val="19"/>
              </w:rPr>
              <w:t>4</w:t>
            </w:r>
          </w:p>
        </w:tc>
        <w:tc>
          <w:tcPr>
            <w:tcW w:type="dxa" w:w="1440"/>
            <w:shd w:val="clear" w:color="auto" w:fill="EEF3F9"/>
          </w:tcPr>
          <w:p>
            <w:r>
              <w:rPr>
                <w:sz w:val="19"/>
              </w:rPr>
              <w:t>predict</w:t>
            </w:r>
          </w:p>
        </w:tc>
        <w:tc>
          <w:tcPr>
            <w:tcW w:type="dxa" w:w="8064"/>
            <w:shd w:val="clear" w:color="auto" w:fill="EEF3F9"/>
          </w:tcPr>
          <w:p>
            <w:r>
              <w:rPr>
                <w:sz w:val="19"/>
              </w:rPr>
              <w:t>Multi-tool gene prediction (Augustus, SNAP, GlimmerHMM, GeneMark, EVM)</w:t>
            </w:r>
          </w:p>
        </w:tc>
      </w:tr>
      <w:tr>
        <w:tc>
          <w:tcPr>
            <w:tcW w:type="dxa" w:w="576"/>
            <w:shd w:val="clear" w:color="auto" w:fill="FFFFFF"/>
          </w:tcPr>
          <w:p>
            <w:r>
              <w:rPr>
                <w:sz w:val="19"/>
              </w:rPr>
              <w:t>5</w:t>
            </w:r>
          </w:p>
        </w:tc>
        <w:tc>
          <w:tcPr>
            <w:tcW w:type="dxa" w:w="1440"/>
            <w:shd w:val="clear" w:color="auto" w:fill="FFFFFF"/>
          </w:tcPr>
          <w:p>
            <w:r>
              <w:rPr>
                <w:sz w:val="19"/>
              </w:rPr>
              <w:t>update</w:t>
            </w:r>
          </w:p>
        </w:tc>
        <w:tc>
          <w:tcPr>
            <w:tcW w:type="dxa" w:w="8064"/>
            <w:shd w:val="clear" w:color="auto" w:fill="FFFFFF"/>
          </w:tcPr>
          <w:p>
            <w:r>
              <w:rPr>
                <w:sz w:val="19"/>
              </w:rPr>
              <w:t>Refine gene models with RNA-seq evidence (PASA UTR extension)</w:t>
            </w:r>
          </w:p>
        </w:tc>
      </w:tr>
      <w:tr>
        <w:tc>
          <w:tcPr>
            <w:tcW w:type="dxa" w:w="576"/>
            <w:shd w:val="clear" w:color="auto" w:fill="EEF3F9"/>
          </w:tcPr>
          <w:p>
            <w:r>
              <w:rPr>
                <w:sz w:val="19"/>
              </w:rPr>
              <w:t>6</w:t>
            </w:r>
          </w:p>
        </w:tc>
        <w:tc>
          <w:tcPr>
            <w:tcW w:type="dxa" w:w="1440"/>
            <w:shd w:val="clear" w:color="auto" w:fill="EEF3F9"/>
          </w:tcPr>
          <w:p>
            <w:r>
              <w:rPr>
                <w:sz w:val="19"/>
              </w:rPr>
              <w:t>annotate</w:t>
            </w:r>
          </w:p>
        </w:tc>
        <w:tc>
          <w:tcPr>
            <w:tcW w:type="dxa" w:w="8064"/>
            <w:shd w:val="clear" w:color="auto" w:fill="EEF3F9"/>
          </w:tcPr>
          <w:p>
            <w:r>
              <w:rPr>
                <w:sz w:val="19"/>
              </w:rPr>
              <w:t>Functional annotation (MMseqs2, Pfam, eggNOG, CAZyme, MEROPS, BUSCO, antiSMASH)</w:t>
            </w:r>
          </w:p>
        </w:tc>
      </w:tr>
    </w:tbl>
    <w:p/>
    <w:p>
      <w:r>
        <w:br w:type="page"/>
      </w:r>
    </w:p>
    <w:p>
      <w:pPr>
        <w:pStyle w:val="Heading1"/>
      </w:pPr>
      <w:r>
        <w:t>2. Installation</w:t>
      </w:r>
    </w:p>
    <w:p>
      <w:pPr>
        <w:pStyle w:val="Heading2"/>
      </w:pPr>
      <w:r>
        <w:t>System requirements</w:t>
      </w:r>
    </w:p>
    <w:tbl>
      <w:tblPr>
        <w:tblStyle w:val="TableGrid"/>
        <w:tblW w:type="auto" w:w="0"/>
        <w:jc w:val="left"/>
        <w:tblLook w:firstColumn="1" w:firstRow="1" w:lastColumn="0" w:lastRow="0" w:noHBand="0" w:noVBand="1" w:val="04A0"/>
      </w:tblPr>
      <w:tblGrid>
        <w:gridCol w:w="4680"/>
        <w:gridCol w:w="4680"/>
      </w:tblGrid>
      <w:tr>
        <w:tc>
          <w:tcPr>
            <w:tcW w:type="dxa" w:w="2880"/>
            <w:vAlign w:val="center"/>
            <w:shd w:val="clear" w:color="auto" w:fill="2E74B5"/>
          </w:tcPr>
          <w:p>
            <w:pPr>
              <w:jc w:val="center"/>
            </w:pPr>
            <w:r>
              <w:rPr>
                <w:b/>
                <w:color w:val="FFFFFF"/>
                <w:sz w:val="19"/>
              </w:rPr>
              <w:t>Requirement</w:t>
            </w:r>
          </w:p>
        </w:tc>
        <w:tc>
          <w:tcPr>
            <w:tcW w:type="dxa" w:w="7200"/>
            <w:vAlign w:val="center"/>
            <w:shd w:val="clear" w:color="auto" w:fill="2E74B5"/>
          </w:tcPr>
          <w:p>
            <w:pPr>
              <w:jc w:val="center"/>
            </w:pPr>
            <w:r>
              <w:rPr>
                <w:b/>
                <w:color w:val="FFFFFF"/>
                <w:sz w:val="19"/>
              </w:rPr>
              <w:t>Details</w:t>
            </w:r>
          </w:p>
        </w:tc>
      </w:tr>
      <w:tr>
        <w:tc>
          <w:tcPr>
            <w:tcW w:type="dxa" w:w="2880"/>
            <w:shd w:val="clear" w:color="auto" w:fill="FFFFFF"/>
          </w:tcPr>
          <w:p>
            <w:r>
              <w:rPr>
                <w:sz w:val="19"/>
              </w:rPr>
              <w:t>Operating system</w:t>
            </w:r>
          </w:p>
        </w:tc>
        <w:tc>
          <w:tcPr>
            <w:tcW w:type="dxa" w:w="7200"/>
            <w:shd w:val="clear" w:color="auto" w:fill="FFFFFF"/>
          </w:tcPr>
          <w:p>
            <w:r>
              <w:rPr>
                <w:sz w:val="19"/>
              </w:rPr>
              <w:t>macOS (Apple Silicon or Intel) or Linux (x86-64)</w:t>
            </w:r>
          </w:p>
        </w:tc>
      </w:tr>
      <w:tr>
        <w:tc>
          <w:tcPr>
            <w:tcW w:type="dxa" w:w="2880"/>
            <w:shd w:val="clear" w:color="auto" w:fill="EEF3F9"/>
          </w:tcPr>
          <w:p>
            <w:r>
              <w:rPr>
                <w:sz w:val="19"/>
              </w:rPr>
              <w:t>Conda</w:t>
            </w:r>
          </w:p>
        </w:tc>
        <w:tc>
          <w:tcPr>
            <w:tcW w:type="dxa" w:w="7200"/>
            <w:shd w:val="clear" w:color="auto" w:fill="EEF3F9"/>
          </w:tcPr>
          <w:p>
            <w:r>
              <w:rPr>
                <w:sz w:val="19"/>
              </w:rPr>
              <w:t>Miniconda ≥ 23.x or Anaconda</w:t>
            </w:r>
          </w:p>
        </w:tc>
      </w:tr>
      <w:tr>
        <w:tc>
          <w:tcPr>
            <w:tcW w:type="dxa" w:w="2880"/>
            <w:shd w:val="clear" w:color="auto" w:fill="FFFFFF"/>
          </w:tcPr>
          <w:p>
            <w:r>
              <w:rPr>
                <w:sz w:val="19"/>
              </w:rPr>
              <w:t>Rust</w:t>
            </w:r>
          </w:p>
        </w:tc>
        <w:tc>
          <w:tcPr>
            <w:tcW w:type="dxa" w:w="7200"/>
            <w:shd w:val="clear" w:color="auto" w:fill="FFFFFF"/>
          </w:tcPr>
          <w:p>
            <w:r>
              <w:rPr>
                <w:sz w:val="19"/>
              </w:rPr>
              <w:t>≥ 1.74  (installed automatically by install.sh if missing)</w:t>
            </w:r>
          </w:p>
        </w:tc>
      </w:tr>
      <w:tr>
        <w:tc>
          <w:tcPr>
            <w:tcW w:type="dxa" w:w="2880"/>
            <w:shd w:val="clear" w:color="auto" w:fill="EEF3F9"/>
          </w:tcPr>
          <w:p>
            <w:r>
              <w:rPr>
                <w:sz w:val="19"/>
              </w:rPr>
              <w:t>Disk space</w:t>
            </w:r>
          </w:p>
        </w:tc>
        <w:tc>
          <w:tcPr>
            <w:tcW w:type="dxa" w:w="7200"/>
            <w:shd w:val="clear" w:color="auto" w:fill="EEF3F9"/>
          </w:tcPr>
          <w:p>
            <w:r>
              <w:rPr>
                <w:sz w:val="19"/>
              </w:rPr>
              <w:t>~15 GB without eggNOG; ~65 GB with full eggNOG database</w:t>
            </w:r>
          </w:p>
        </w:tc>
      </w:tr>
      <w:tr>
        <w:tc>
          <w:tcPr>
            <w:tcW w:type="dxa" w:w="2880"/>
            <w:shd w:val="clear" w:color="auto" w:fill="FFFFFF"/>
          </w:tcPr>
          <w:p>
            <w:r>
              <w:rPr>
                <w:sz w:val="19"/>
              </w:rPr>
              <w:t>RAM</w:t>
            </w:r>
          </w:p>
        </w:tc>
        <w:tc>
          <w:tcPr>
            <w:tcW w:type="dxa" w:w="7200"/>
            <w:shd w:val="clear" w:color="auto" w:fill="FFFFFF"/>
          </w:tcPr>
          <w:p>
            <w:r>
              <w:rPr>
                <w:sz w:val="19"/>
              </w:rPr>
              <w:t>8 GB minimum; 32 GB recommended for large genomes</w:t>
            </w:r>
          </w:p>
        </w:tc>
      </w:tr>
      <w:tr>
        <w:tc>
          <w:tcPr>
            <w:tcW w:type="dxa" w:w="2880"/>
            <w:shd w:val="clear" w:color="auto" w:fill="EEF3F9"/>
          </w:tcPr>
          <w:p>
            <w:r>
              <w:rPr>
                <w:sz w:val="19"/>
              </w:rPr>
              <w:t>CPU cores</w:t>
            </w:r>
          </w:p>
        </w:tc>
        <w:tc>
          <w:tcPr>
            <w:tcW w:type="dxa" w:w="7200"/>
            <w:shd w:val="clear" w:color="auto" w:fill="EEF3F9"/>
          </w:tcPr>
          <w:p>
            <w:r>
              <w:rPr>
                <w:sz w:val="19"/>
              </w:rPr>
              <w:t>4 minimum; 16+ recommended for parallel prediction</w:t>
            </w:r>
          </w:p>
        </w:tc>
      </w:tr>
    </w:tbl>
    <w:p/>
    <w:p>
      <w:pPr>
        <w:pStyle w:val="Heading2"/>
      </w:pPr>
      <w:r>
        <w:t>Installation options</w:t>
      </w:r>
    </w:p>
    <w:p>
      <w:pPr>
        <w:spacing w:after="100"/>
      </w:pPr>
      <w:r>
        <w:t xml:space="preserve">There are three ways to install Myconote_CLI. </w:t>
      </w:r>
      <w:r>
        <w:rPr>
          <w:b/>
        </w:rPr>
        <w:t>Option A is recommended</w:t>
      </w:r>
      <w:r>
        <w:t xml:space="preserve"> for most users.</w:t>
      </w:r>
    </w:p>
    <w:p>
      <w:pPr>
        <w:pStyle w:val="Heading3"/>
      </w:pPr>
      <w:r>
        <w:t>Option A: One-shot installer (recommended)</w:t>
      </w:r>
    </w:p>
    <w:p>
      <w:pPr>
        <w:spacing w:after="100"/>
      </w:pPr>
      <w:r>
        <w:t>Handles everything automatically — Miniconda, Rust, the binary, all 25 external tools, and core databases:</w:t>
      </w:r>
    </w:p>
    <w:p>
      <w:pPr>
        <w:spacing w:before="80" w:after="80"/>
        <w:ind w:left="432"/>
        <w:shd w:val="clear" w:color="auto" w:fill="F2F2F2"/>
      </w:pPr>
      <w:r>
        <w:rPr>
          <w:rFonts w:ascii="Courier New" w:hAnsi="Courier New"/>
          <w:color w:val="1A1A2E"/>
          <w:sz w:val="18"/>
        </w:rPr>
        <w:t>git clone https://github.com/K-nie/myconote-cli</w:t>
        <w:br/>
        <w:t>cd myconote-cli</w:t>
        <w:br/>
        <w:t>bash install.sh</w:t>
      </w:r>
    </w:p>
    <w:p>
      <w:pPr>
        <w:spacing w:after="100"/>
      </w:pPr>
      <w:r>
        <w:t>I recommend Option A because it correctly handles Rust version requirements, installs all tools into an isolated conda environment, and downloads the core annotation databases in a single step.</w:t>
      </w:r>
    </w:p>
    <w:p>
      <w:pPr>
        <w:pStyle w:val="Heading3"/>
      </w:pPr>
      <w:r>
        <w:t>Option B: Manual build</w:t>
      </w:r>
    </w:p>
    <w:p>
      <w:pPr>
        <w:spacing w:after="100"/>
      </w:pPr>
      <w:r>
        <w:t>For users who already have conda and Rust ≥ 1.74 and want control over each step:</w:t>
      </w:r>
    </w:p>
    <w:p>
      <w:pPr>
        <w:spacing w:before="80" w:after="80"/>
        <w:ind w:left="432"/>
        <w:shd w:val="clear" w:color="auto" w:fill="F2F2F2"/>
      </w:pPr>
      <w:r>
        <w:rPr>
          <w:rFonts w:ascii="Courier New" w:hAnsi="Courier New"/>
          <w:color w:val="1A1A2E"/>
          <w:sz w:val="18"/>
        </w:rPr>
        <w:t>conda create -n myconote python=3.10</w:t>
        <w:br/>
        <w:t>conda activate myconote</w:t>
        <w:br/>
        <w:t>cargo build --release</w:t>
        <w:br/>
        <w:t>myconote-cli install --yes</w:t>
      </w:r>
    </w:p>
    <w:p>
      <w:pPr>
        <w:pStyle w:val="Heading3"/>
      </w:pPr>
      <w:r>
        <w:t>Option C: Build only</w:t>
      </w:r>
    </w:p>
    <w:p>
      <w:pPr>
        <w:spacing w:after="100"/>
      </w:pPr>
      <w:r>
        <w:t>For users who will install external tools themselves:</w:t>
      </w:r>
    </w:p>
    <w:p>
      <w:pPr>
        <w:spacing w:before="80" w:after="80"/>
        <w:ind w:left="432"/>
        <w:shd w:val="clear" w:color="auto" w:fill="F2F2F2"/>
      </w:pPr>
      <w:r>
        <w:rPr>
          <w:rFonts w:ascii="Courier New" w:hAnsi="Courier New"/>
          <w:color w:val="1A1A2E"/>
          <w:sz w:val="18"/>
        </w:rPr>
        <w:t>cargo build --release</w:t>
        <w:br/>
        <w:t># Binary: target/release/myconote-cli</w:t>
      </w:r>
    </w:p>
    <w:p>
      <w:pPr>
        <w:pStyle w:val="Heading2"/>
      </w:pPr>
      <w:r>
        <w:t>Verifying the installation</w:t>
      </w:r>
    </w:p>
    <w:p>
      <w:pPr>
        <w:spacing w:before="80" w:after="80"/>
        <w:ind w:left="432"/>
        <w:shd w:val="clear" w:color="auto" w:fill="F2F2F2"/>
      </w:pPr>
      <w:r>
        <w:rPr>
          <w:rFonts w:ascii="Courier New" w:hAnsi="Courier New"/>
          <w:color w:val="1A1A2E"/>
          <w:sz w:val="18"/>
        </w:rPr>
        <w:t>myconote-cli --version      # banner and version number</w:t>
        <w:br/>
        <w:t>myconote-cli check          # status of all 27 external tools</w:t>
        <w:br/>
        <w:t>myconote-cli setup --list   # annotation database status</w:t>
      </w:r>
    </w:p>
    <w:p>
      <w:pPr>
        <w:spacing w:before="120" w:after="120"/>
        <w:ind w:left="432"/>
        <w:shd w:val="clear" w:color="auto" w:fill="EEF3F9"/>
      </w:pPr>
      <w:r>
        <w:rPr>
          <w:b/>
          <w:color w:val="2E74B5"/>
          <w:sz w:val="20"/>
        </w:rPr>
        <w:t xml:space="preserve">Note: </w:t>
      </w:r>
      <w:r>
        <w:rPr>
          <w:sz w:val="20"/>
        </w:rPr>
        <w:t>You do not need every tool installed to run the pipeline. Myconote skips steps where a required tool is missing and reports exactly what to install.</w:t>
      </w:r>
    </w:p>
    <w:p>
      <w:pPr>
        <w:pStyle w:val="Heading2"/>
      </w:pPr>
      <w:r>
        <w:t>Tools requiring manual installation</w:t>
      </w:r>
    </w:p>
    <w:p>
      <w:pPr>
        <w:spacing w:after="100"/>
      </w:pPr>
      <w:r>
        <w:t>Two tools cannot be installed automatically due to licensing restrictions: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4B5"/>
          </w:tcPr>
          <w:p>
            <w:pPr>
              <w:jc w:val="center"/>
            </w:pPr>
            <w:r>
              <w:rPr>
                <w:b/>
                <w:color w:val="FFFFFF"/>
                <w:sz w:val="19"/>
              </w:rPr>
              <w:t>Tool</w:t>
            </w:r>
          </w:p>
        </w:tc>
        <w:tc>
          <w:tcPr>
            <w:tcW w:type="dxa" w:w="3600"/>
            <w:vAlign w:val="center"/>
            <w:shd w:val="clear" w:color="auto" w:fill="2E74B5"/>
          </w:tcPr>
          <w:p>
            <w:pPr>
              <w:jc w:val="center"/>
            </w:pPr>
            <w:r>
              <w:rPr>
                <w:b/>
                <w:color w:val="FFFFFF"/>
                <w:sz w:val="19"/>
              </w:rPr>
              <w:t>Reason</w:t>
            </w:r>
          </w:p>
        </w:tc>
        <w:tc>
          <w:tcPr>
            <w:tcW w:type="dxa" w:w="4320"/>
            <w:vAlign w:val="center"/>
            <w:shd w:val="clear" w:color="auto" w:fill="2E74B5"/>
          </w:tcPr>
          <w:p>
            <w:pPr>
              <w:jc w:val="center"/>
            </w:pPr>
            <w:r>
              <w:rPr>
                <w:b/>
                <w:color w:val="FFFFFF"/>
                <w:sz w:val="19"/>
              </w:rPr>
              <w:t>Where to download</w:t>
            </w:r>
          </w:p>
        </w:tc>
      </w:tr>
      <w:tr>
        <w:tc>
          <w:tcPr>
            <w:tcW w:type="dxa" w:w="2160"/>
            <w:shd w:val="clear" w:color="auto" w:fill="FFFFFF"/>
          </w:tcPr>
          <w:p>
            <w:r>
              <w:rPr>
                <w:sz w:val="19"/>
              </w:rPr>
              <w:t>SignalP 6</w:t>
            </w:r>
          </w:p>
        </w:tc>
        <w:tc>
          <w:tcPr>
            <w:tcW w:type="dxa" w:w="3600"/>
            <w:shd w:val="clear" w:color="auto" w:fill="FFFFFF"/>
          </w:tcPr>
          <w:p>
            <w:r>
              <w:rPr>
                <w:sz w:val="19"/>
              </w:rPr>
              <w:t>Academic license required</w:t>
            </w:r>
          </w:p>
        </w:tc>
        <w:tc>
          <w:tcPr>
            <w:tcW w:type="dxa" w:w="4320"/>
            <w:shd w:val="clear" w:color="auto" w:fill="FFFFFF"/>
          </w:tcPr>
          <w:p>
            <w:r>
              <w:rPr>
                <w:sz w:val="19"/>
              </w:rPr>
              <w:t>services.healthtech.dtu.dk</w:t>
            </w:r>
          </w:p>
        </w:tc>
      </w:tr>
      <w:tr>
        <w:tc>
          <w:tcPr>
            <w:tcW w:type="dxa" w:w="2160"/>
            <w:shd w:val="clear" w:color="auto" w:fill="EEF3F9"/>
          </w:tcPr>
          <w:p>
            <w:r>
              <w:rPr>
                <w:sz w:val="19"/>
              </w:rPr>
              <w:t>GeneMark-ES</w:t>
            </w:r>
          </w:p>
        </w:tc>
        <w:tc>
          <w:tcPr>
            <w:tcW w:type="dxa" w:w="3600"/>
            <w:shd w:val="clear" w:color="auto" w:fill="EEF3F9"/>
          </w:tcPr>
          <w:p>
            <w:r>
              <w:rPr>
                <w:sz w:val="19"/>
              </w:rPr>
              <w:t>License agreement required</w:t>
            </w:r>
          </w:p>
        </w:tc>
        <w:tc>
          <w:tcPr>
            <w:tcW w:type="dxa" w:w="4320"/>
            <w:shd w:val="clear" w:color="auto" w:fill="EEF3F9"/>
          </w:tcPr>
          <w:p>
            <w:r>
              <w:rPr>
                <w:sz w:val="19"/>
              </w:rPr>
              <w:t>topaz.gatech.edu/GeneMark</w:t>
            </w:r>
          </w:p>
        </w:tc>
      </w:tr>
    </w:tbl>
    <w:p/>
    <w:p>
      <w:r>
        <w:br w:type="page"/>
      </w:r>
    </w:p>
    <w:p>
      <w:pPr>
        <w:pStyle w:val="Heading1"/>
      </w:pPr>
      <w:r>
        <w:t>3. Pipeline Commands</w:t>
      </w:r>
    </w:p>
    <w:p>
      <w:pPr>
        <w:pStyle w:val="Heading2"/>
      </w:pPr>
      <w:r>
        <w:t>3.1  sort — Prepare the genome assembly</w:t>
      </w:r>
    </w:p>
    <w:p>
      <w:pPr>
        <w:spacing w:after="100"/>
      </w:pPr>
      <w:r>
        <w:t>The sort command prepares a genome assembly for annotation by ordering contigs from longest to shortest, renaming headers to clean sequential identifiers, and filtering out very short sequences that would add noise without contributing gene models.</w:t>
      </w:r>
    </w:p>
    <w:p>
      <w:pPr>
        <w:spacing w:before="80" w:after="80"/>
        <w:ind w:left="432"/>
        <w:shd w:val="clear" w:color="auto" w:fill="F2F2F2"/>
      </w:pPr>
      <w:r>
        <w:rPr>
          <w:rFonts w:ascii="Courier New" w:hAnsi="Courier New"/>
          <w:color w:val="1A1A2E"/>
          <w:sz w:val="18"/>
        </w:rPr>
        <w:t>myconote-cli sort genome.fa \</w:t>
        <w:br/>
        <w:t xml:space="preserve">    --prefix scaffold \</w:t>
        <w:br/>
        <w:t xml:space="preserve">    --min-length 1000 \</w:t>
        <w:br/>
        <w:t xml:space="preserve">    --rename-table rename_table.tsv \</w:t>
        <w:br/>
        <w:t xml:space="preserve">    -o sorted.fa</w:t>
      </w:r>
    </w:p>
    <w:p>
      <w:pPr>
        <w:spacing w:after="100"/>
      </w:pPr>
      <w:r>
        <w:t>Key options:</w:t>
      </w:r>
    </w:p>
    <w:p>
      <w:pPr>
        <w:pStyle w:val="ListBullet"/>
        <w:spacing w:after="60"/>
        <w:ind w:left="360"/>
      </w:pPr>
      <w:r>
        <w:t>--prefix — contig name prefix (default: scaffold)</w:t>
      </w:r>
    </w:p>
    <w:p>
      <w:pPr>
        <w:pStyle w:val="ListBullet"/>
        <w:spacing w:after="60"/>
        <w:ind w:left="360"/>
      </w:pPr>
      <w:r>
        <w:t>--min-length — exclude contigs shorter than this (bp)</w:t>
      </w:r>
    </w:p>
    <w:p>
      <w:pPr>
        <w:pStyle w:val="ListBullet"/>
        <w:spacing w:after="60"/>
        <w:ind w:left="360"/>
      </w:pPr>
      <w:r>
        <w:t>--rename-table — save original→new ID mapping for traceability</w:t>
      </w:r>
    </w:p>
    <w:p>
      <w:pPr>
        <w:spacing w:after="100"/>
      </w:pPr>
      <w:r/>
    </w:p>
    <w:p>
      <w:pPr>
        <w:pStyle w:val="Heading2"/>
      </w:pPr>
      <w:r>
        <w:t>3.2  mask — Repeat masking</w:t>
      </w:r>
    </w:p>
    <w:p>
      <w:pPr>
        <w:spacing w:after="100"/>
      </w:pPr>
      <w:r>
        <w:t>Repeats must be soft-masked before gene prediction so that predictors do not call false genes inside transposable elements. Myconote supports two masking engines: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4B5"/>
          </w:tcPr>
          <w:p>
            <w:pPr>
              <w:jc w:val="center"/>
            </w:pPr>
            <w:r>
              <w:rPr>
                <w:b/>
                <w:color w:val="FFFFFF"/>
                <w:sz w:val="19"/>
              </w:rPr>
              <w:t>Engine</w:t>
            </w:r>
          </w:p>
        </w:tc>
        <w:tc>
          <w:tcPr>
            <w:tcW w:type="dxa" w:w="4320"/>
            <w:vAlign w:val="center"/>
            <w:shd w:val="clear" w:color="auto" w:fill="2E74B5"/>
          </w:tcPr>
          <w:p>
            <w:pPr>
              <w:jc w:val="center"/>
            </w:pPr>
            <w:r>
              <w:rPr>
                <w:b/>
                <w:color w:val="FFFFFF"/>
                <w:sz w:val="19"/>
              </w:rPr>
              <w:t>Approach</w:t>
            </w:r>
          </w:p>
        </w:tc>
        <w:tc>
          <w:tcPr>
            <w:tcW w:type="dxa" w:w="3600"/>
            <w:vAlign w:val="center"/>
            <w:shd w:val="clear" w:color="auto" w:fill="2E74B5"/>
          </w:tcPr>
          <w:p>
            <w:pPr>
              <w:jc w:val="center"/>
            </w:pPr>
            <w:r>
              <w:rPr>
                <w:b/>
                <w:color w:val="FFFFFF"/>
                <w:sz w:val="19"/>
              </w:rPr>
              <w:t>Recommended when</w:t>
            </w:r>
          </w:p>
        </w:tc>
      </w:tr>
      <w:tr>
        <w:tc>
          <w:tcPr>
            <w:tcW w:type="dxa" w:w="2160"/>
            <w:shd w:val="clear" w:color="auto" w:fill="FFFFFF"/>
          </w:tcPr>
          <w:p>
            <w:r>
              <w:rPr>
                <w:sz w:val="19"/>
              </w:rPr>
              <w:t>repeatmasker</w:t>
            </w:r>
          </w:p>
        </w:tc>
        <w:tc>
          <w:tcPr>
            <w:tcW w:type="dxa" w:w="4320"/>
            <w:shd w:val="clear" w:color="auto" w:fill="FFFFFF"/>
          </w:tcPr>
          <w:p>
            <w:r>
              <w:rPr>
                <w:sz w:val="19"/>
              </w:rPr>
              <w:t>Uses Dfam repeat library</w:t>
            </w:r>
          </w:p>
        </w:tc>
        <w:tc>
          <w:tcPr>
            <w:tcW w:type="dxa" w:w="3600"/>
            <w:shd w:val="clear" w:color="auto" w:fill="FFFFFF"/>
          </w:tcPr>
          <w:p>
            <w:r>
              <w:rPr>
                <w:sz w:val="19"/>
              </w:rPr>
              <w:t>Well-studied organism with Dfam representation</w:t>
            </w:r>
          </w:p>
        </w:tc>
      </w:tr>
      <w:tr>
        <w:tc>
          <w:tcPr>
            <w:tcW w:type="dxa" w:w="2160"/>
            <w:shd w:val="clear" w:color="auto" w:fill="EEF3F9"/>
          </w:tcPr>
          <w:p>
            <w:r>
              <w:rPr>
                <w:sz w:val="19"/>
              </w:rPr>
              <w:t>repeatmodeler</w:t>
            </w:r>
          </w:p>
        </w:tc>
        <w:tc>
          <w:tcPr>
            <w:tcW w:type="dxa" w:w="4320"/>
            <w:shd w:val="clear" w:color="auto" w:fill="EEF3F9"/>
          </w:tcPr>
          <w:p>
            <w:r>
              <w:rPr>
                <w:sz w:val="19"/>
              </w:rPr>
              <w:t>Builds custom library de novo</w:t>
            </w:r>
          </w:p>
        </w:tc>
        <w:tc>
          <w:tcPr>
            <w:tcW w:type="dxa" w:w="3600"/>
            <w:shd w:val="clear" w:color="auto" w:fill="EEF3F9"/>
          </w:tcPr>
          <w:p>
            <w:r>
              <w:rPr>
                <w:sz w:val="19"/>
              </w:rPr>
              <w:t>Novel organism — more accurate (slower)</w:t>
            </w:r>
          </w:p>
        </w:tc>
      </w:tr>
    </w:tbl>
    <w:p/>
    <w:p>
      <w:pPr>
        <w:spacing w:before="80" w:after="80"/>
        <w:ind w:left="432"/>
        <w:shd w:val="clear" w:color="auto" w:fill="F2F2F2"/>
      </w:pPr>
      <w:r>
        <w:rPr>
          <w:rFonts w:ascii="Courier New" w:hAnsi="Courier New"/>
          <w:color w:val="1A1A2E"/>
          <w:sz w:val="18"/>
        </w:rPr>
        <w:t># RepeatModeler + RepeatMasker (recommended for novel genomes)</w:t>
        <w:br/>
        <w:t>myconote-cli mask sorted.fa --engine repeatmodeler --threads 16</w:t>
      </w:r>
    </w:p>
    <w:p>
      <w:pPr>
        <w:pStyle w:val="Heading2"/>
      </w:pPr>
      <w:r>
        <w:t>3.3  train — Gene predictor training</w:t>
      </w:r>
    </w:p>
    <w:p>
      <w:pPr>
        <w:spacing w:after="100"/>
      </w:pPr>
      <w:r>
        <w:t>If RNA-seq data is available, training Augustus and SNAP on species-specific transcripts substantially improves gene model accuracy. This step uses Trinity to assemble transcripts from BAM alignments and PASA to build training sets.</w:t>
      </w:r>
    </w:p>
    <w:p>
      <w:pPr>
        <w:spacing w:before="80" w:after="80"/>
        <w:ind w:left="432"/>
        <w:shd w:val="clear" w:color="auto" w:fill="F2F2F2"/>
      </w:pPr>
      <w:r>
        <w:rPr>
          <w:rFonts w:ascii="Courier New" w:hAnsi="Courier New"/>
          <w:color w:val="1A1A2E"/>
          <w:sz w:val="18"/>
        </w:rPr>
        <w:t>myconote-cli train sorted.fa.masked \</w:t>
        <w:br/>
        <w:t xml:space="preserve">    --rna-bam rna_sorted.bam \</w:t>
        <w:br/>
        <w:t xml:space="preserve">    --prefix myorg \</w:t>
        <w:br/>
        <w:t xml:space="preserve">    --threads 16</w:t>
      </w:r>
    </w:p>
    <w:p>
      <w:pPr>
        <w:spacing w:before="120" w:after="120"/>
        <w:ind w:left="432"/>
        <w:shd w:val="clear" w:color="auto" w:fill="EEF3F9"/>
      </w:pPr>
      <w:r>
        <w:rPr>
          <w:b/>
          <w:color w:val="217346"/>
          <w:sz w:val="20"/>
        </w:rPr>
        <w:t xml:space="preserve">Tip: </w:t>
      </w:r>
      <w:r>
        <w:rPr>
          <w:sz w:val="20"/>
        </w:rPr>
        <w:t>train is optional but strongly recommended. Without it, Myconote uses the default saccharomyces_cerevisiae_S288C Augustus model for fungi.</w:t>
      </w:r>
    </w:p>
    <w:p>
      <w:pPr>
        <w:pStyle w:val="Heading2"/>
      </w:pPr>
      <w:r>
        <w:t>3.4  predict — Gene prediction</w:t>
      </w:r>
    </w:p>
    <w:p>
      <w:pPr>
        <w:spacing w:after="100"/>
      </w:pPr>
      <w:r>
        <w:t>Myconote runs up to four ab initio gene predictors and combines their predictions using EvidenceModeler (EVM), producing a consensus gene set more accurate than any single predictor alone.</w:t>
      </w:r>
    </w:p>
    <w:p>
      <w:pPr>
        <w:spacing w:before="80" w:after="80"/>
        <w:ind w:left="432"/>
        <w:shd w:val="clear" w:color="auto" w:fill="F2F2F2"/>
      </w:pPr>
      <w:r>
        <w:rPr>
          <w:rFonts w:ascii="Courier New" w:hAnsi="Courier New"/>
          <w:color w:val="1A1A2E"/>
          <w:sz w:val="18"/>
        </w:rPr>
        <w:t>myconote-cli predict sorted.fa.masked \</w:t>
        <w:br/>
        <w:t xml:space="preserve">    --kingdom fungi \</w:t>
        <w:br/>
        <w:t xml:space="preserve">    --augustus --snap --glimmerhmm \</w:t>
        <w:br/>
        <w:t xml:space="preserve">    --threads 8 \</w:t>
        <w:br/>
        <w:t xml:space="preserve">    --out predict_out/</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4B5"/>
          </w:tcPr>
          <w:p>
            <w:pPr>
              <w:jc w:val="center"/>
            </w:pPr>
            <w:r>
              <w:rPr>
                <w:b/>
                <w:color w:val="FFFFFF"/>
                <w:sz w:val="19"/>
              </w:rPr>
              <w:t>Predictor</w:t>
            </w:r>
          </w:p>
        </w:tc>
        <w:tc>
          <w:tcPr>
            <w:tcW w:type="dxa" w:w="5040"/>
            <w:vAlign w:val="center"/>
            <w:shd w:val="clear" w:color="auto" w:fill="2E74B5"/>
          </w:tcPr>
          <w:p>
            <w:pPr>
              <w:jc w:val="center"/>
            </w:pPr>
            <w:r>
              <w:rPr>
                <w:b/>
                <w:color w:val="FFFFFF"/>
                <w:sz w:val="19"/>
              </w:rPr>
              <w:t>Approach</w:t>
            </w:r>
          </w:p>
        </w:tc>
        <w:tc>
          <w:tcPr>
            <w:tcW w:type="dxa" w:w="2880"/>
            <w:vAlign w:val="center"/>
            <w:shd w:val="clear" w:color="auto" w:fill="2E74B5"/>
          </w:tcPr>
          <w:p>
            <w:pPr>
              <w:jc w:val="center"/>
            </w:pPr>
            <w:r>
              <w:rPr>
                <w:b/>
                <w:color w:val="FFFFFF"/>
                <w:sz w:val="19"/>
              </w:rPr>
              <w:t>Default weight (fungi)</w:t>
            </w:r>
          </w:p>
        </w:tc>
      </w:tr>
      <w:tr>
        <w:tc>
          <w:tcPr>
            <w:tcW w:type="dxa" w:w="2160"/>
            <w:shd w:val="clear" w:color="auto" w:fill="FFFFFF"/>
          </w:tcPr>
          <w:p>
            <w:r>
              <w:rPr>
                <w:sz w:val="19"/>
              </w:rPr>
              <w:t>Augustus</w:t>
            </w:r>
          </w:p>
        </w:tc>
        <w:tc>
          <w:tcPr>
            <w:tcW w:type="dxa" w:w="5040"/>
            <w:shd w:val="clear" w:color="auto" w:fill="FFFFFF"/>
          </w:tcPr>
          <w:p>
            <w:r>
              <w:rPr>
                <w:sz w:val="19"/>
              </w:rPr>
              <w:t>Generalised HMM</w:t>
            </w:r>
          </w:p>
        </w:tc>
        <w:tc>
          <w:tcPr>
            <w:tcW w:type="dxa" w:w="2880"/>
            <w:shd w:val="clear" w:color="auto" w:fill="FFFFFF"/>
          </w:tcPr>
          <w:p>
            <w:r>
              <w:rPr>
                <w:sz w:val="19"/>
              </w:rPr>
              <w:t>6</w:t>
            </w:r>
          </w:p>
        </w:tc>
      </w:tr>
      <w:tr>
        <w:tc>
          <w:tcPr>
            <w:tcW w:type="dxa" w:w="2160"/>
            <w:shd w:val="clear" w:color="auto" w:fill="EEF3F9"/>
          </w:tcPr>
          <w:p>
            <w:r>
              <w:rPr>
                <w:sz w:val="19"/>
              </w:rPr>
              <w:t>SNAP</w:t>
            </w:r>
          </w:p>
        </w:tc>
        <w:tc>
          <w:tcPr>
            <w:tcW w:type="dxa" w:w="5040"/>
            <w:shd w:val="clear" w:color="auto" w:fill="EEF3F9"/>
          </w:tcPr>
          <w:p>
            <w:r>
              <w:rPr>
                <w:sz w:val="19"/>
              </w:rPr>
              <w:t>Hidden Markov Model</w:t>
            </w:r>
          </w:p>
        </w:tc>
        <w:tc>
          <w:tcPr>
            <w:tcW w:type="dxa" w:w="2880"/>
            <w:shd w:val="clear" w:color="auto" w:fill="EEF3F9"/>
          </w:tcPr>
          <w:p>
            <w:r>
              <w:rPr>
                <w:sz w:val="19"/>
              </w:rPr>
              <w:t>2</w:t>
            </w:r>
          </w:p>
        </w:tc>
      </w:tr>
      <w:tr>
        <w:tc>
          <w:tcPr>
            <w:tcW w:type="dxa" w:w="2160"/>
            <w:shd w:val="clear" w:color="auto" w:fill="FFFFFF"/>
          </w:tcPr>
          <w:p>
            <w:r>
              <w:rPr>
                <w:sz w:val="19"/>
              </w:rPr>
              <w:t>GlimmerHMM</w:t>
            </w:r>
          </w:p>
        </w:tc>
        <w:tc>
          <w:tcPr>
            <w:tcW w:type="dxa" w:w="5040"/>
            <w:shd w:val="clear" w:color="auto" w:fill="FFFFFF"/>
          </w:tcPr>
          <w:p>
            <w:r>
              <w:rPr>
                <w:sz w:val="19"/>
              </w:rPr>
              <w:t>Generalised HMM</w:t>
            </w:r>
          </w:p>
        </w:tc>
        <w:tc>
          <w:tcPr>
            <w:tcW w:type="dxa" w:w="2880"/>
            <w:shd w:val="clear" w:color="auto" w:fill="FFFFFF"/>
          </w:tcPr>
          <w:p>
            <w:r>
              <w:rPr>
                <w:sz w:val="19"/>
              </w:rPr>
              <w:t>2</w:t>
            </w:r>
          </w:p>
        </w:tc>
      </w:tr>
      <w:tr>
        <w:tc>
          <w:tcPr>
            <w:tcW w:type="dxa" w:w="2160"/>
            <w:shd w:val="clear" w:color="auto" w:fill="EEF3F9"/>
          </w:tcPr>
          <w:p>
            <w:r>
              <w:rPr>
                <w:sz w:val="19"/>
              </w:rPr>
              <w:t>GeneMark-ES</w:t>
            </w:r>
          </w:p>
        </w:tc>
        <w:tc>
          <w:tcPr>
            <w:tcW w:type="dxa" w:w="5040"/>
            <w:shd w:val="clear" w:color="auto" w:fill="EEF3F9"/>
          </w:tcPr>
          <w:p>
            <w:r>
              <w:rPr>
                <w:sz w:val="19"/>
              </w:rPr>
              <w:t>Self-training HMM</w:t>
            </w:r>
          </w:p>
        </w:tc>
        <w:tc>
          <w:tcPr>
            <w:tcW w:type="dxa" w:w="2880"/>
            <w:shd w:val="clear" w:color="auto" w:fill="EEF3F9"/>
          </w:tcPr>
          <w:p>
            <w:r>
              <w:rPr>
                <w:sz w:val="19"/>
              </w:rPr>
              <w:t>4</w:t>
            </w:r>
          </w:p>
        </w:tc>
      </w:tr>
    </w:tbl>
    <w:p/>
    <w:p>
      <w:pPr>
        <w:pStyle w:val="Heading2"/>
      </w:pPr>
      <w:r>
        <w:t>3.5  update — RNA-seq model refinement</w:t>
      </w:r>
    </w:p>
    <w:p>
      <w:pPr>
        <w:spacing w:after="100"/>
      </w:pPr>
      <w:r>
        <w:t>After initial prediction, PASA compares gene models against RNA-seq transcript alignments and extends UTR boundaries, corrects splice sites, and adds isoforms supported by transcript evidence.</w:t>
      </w:r>
    </w:p>
    <w:p>
      <w:pPr>
        <w:spacing w:before="80" w:after="80"/>
        <w:ind w:left="432"/>
        <w:shd w:val="clear" w:color="auto" w:fill="F2F2F2"/>
      </w:pPr>
      <w:r>
        <w:rPr>
          <w:rFonts w:ascii="Courier New" w:hAnsi="Courier New"/>
          <w:color w:val="1A1A2E"/>
          <w:sz w:val="18"/>
        </w:rPr>
        <w:t>myconote-cli update sorted.fa.masked \</w:t>
        <w:br/>
        <w:t xml:space="preserve">    --gff evm.gff3 --bam rna_sorted.bam --out update_out/</w:t>
      </w:r>
    </w:p>
    <w:p>
      <w:pPr>
        <w:pStyle w:val="Heading2"/>
      </w:pPr>
      <w:r>
        <w:t>3.6  annotate — Functional annotation</w:t>
      </w:r>
    </w:p>
    <w:p>
      <w:pPr>
        <w:spacing w:after="100"/>
      </w:pPr>
      <w:r>
        <w:t>Assigns biological functions to predicted proteins using multiple complementary databases:</w:t>
      </w:r>
    </w:p>
    <w:tbl>
      <w:tblPr>
        <w:tblStyle w:val="TableGrid"/>
        <w:tblW w:type="auto" w:w="0"/>
        <w:jc w:val="left"/>
        <w:tblLook w:firstColumn="1" w:firstRow="1" w:lastColumn="0" w:lastRow="0" w:noHBand="0" w:noVBand="1" w:val="04A0"/>
      </w:tblPr>
      <w:tblGrid>
        <w:gridCol w:w="3120"/>
        <w:gridCol w:w="3120"/>
        <w:gridCol w:w="3120"/>
      </w:tblGrid>
      <w:tr>
        <w:tc>
          <w:tcPr>
            <w:tcW w:type="dxa" w:w="1728"/>
            <w:vAlign w:val="center"/>
            <w:shd w:val="clear" w:color="auto" w:fill="2E74B5"/>
          </w:tcPr>
          <w:p>
            <w:pPr>
              <w:jc w:val="center"/>
            </w:pPr>
            <w:r>
              <w:rPr>
                <w:b/>
                <w:color w:val="FFFFFF"/>
                <w:sz w:val="19"/>
              </w:rPr>
              <w:t>Flag</w:t>
            </w:r>
          </w:p>
        </w:tc>
        <w:tc>
          <w:tcPr>
            <w:tcW w:type="dxa" w:w="2880"/>
            <w:vAlign w:val="center"/>
            <w:shd w:val="clear" w:color="auto" w:fill="2E74B5"/>
          </w:tcPr>
          <w:p>
            <w:pPr>
              <w:jc w:val="center"/>
            </w:pPr>
            <w:r>
              <w:rPr>
                <w:b/>
                <w:color w:val="FFFFFF"/>
                <w:sz w:val="19"/>
              </w:rPr>
              <w:t>Database</w:t>
            </w:r>
          </w:p>
        </w:tc>
        <w:tc>
          <w:tcPr>
            <w:tcW w:type="dxa" w:w="5472"/>
            <w:vAlign w:val="center"/>
            <w:shd w:val="clear" w:color="auto" w:fill="2E74B5"/>
          </w:tcPr>
          <w:p>
            <w:pPr>
              <w:jc w:val="center"/>
            </w:pPr>
            <w:r>
              <w:rPr>
                <w:b/>
                <w:color w:val="FFFFFF"/>
                <w:sz w:val="19"/>
              </w:rPr>
              <w:t>Provides</w:t>
            </w:r>
          </w:p>
        </w:tc>
      </w:tr>
      <w:tr>
        <w:tc>
          <w:tcPr>
            <w:tcW w:type="dxa" w:w="1728"/>
            <w:shd w:val="clear" w:color="auto" w:fill="FFFFFF"/>
          </w:tcPr>
          <w:p>
            <w:r>
              <w:rPr>
                <w:sz w:val="19"/>
              </w:rPr>
              <w:t>--mmseqs</w:t>
            </w:r>
          </w:p>
        </w:tc>
        <w:tc>
          <w:tcPr>
            <w:tcW w:type="dxa" w:w="2880"/>
            <w:shd w:val="clear" w:color="auto" w:fill="FFFFFF"/>
          </w:tcPr>
          <w:p>
            <w:r>
              <w:rPr>
                <w:sz w:val="19"/>
              </w:rPr>
              <w:t>UniProt/Swiss-Prot</w:t>
            </w:r>
          </w:p>
        </w:tc>
        <w:tc>
          <w:tcPr>
            <w:tcW w:type="dxa" w:w="5472"/>
            <w:shd w:val="clear" w:color="auto" w:fill="FFFFFF"/>
          </w:tcPr>
          <w:p>
            <w:r>
              <w:rPr>
                <w:sz w:val="19"/>
              </w:rPr>
              <w:t>Gene names, best-hit species</w:t>
            </w:r>
          </w:p>
        </w:tc>
      </w:tr>
      <w:tr>
        <w:tc>
          <w:tcPr>
            <w:tcW w:type="dxa" w:w="1728"/>
            <w:shd w:val="clear" w:color="auto" w:fill="EEF3F9"/>
          </w:tcPr>
          <w:p>
            <w:r>
              <w:rPr>
                <w:sz w:val="19"/>
              </w:rPr>
              <w:t>--pfam</w:t>
            </w:r>
          </w:p>
        </w:tc>
        <w:tc>
          <w:tcPr>
            <w:tcW w:type="dxa" w:w="2880"/>
            <w:shd w:val="clear" w:color="auto" w:fill="EEF3F9"/>
          </w:tcPr>
          <w:p>
            <w:r>
              <w:rPr>
                <w:sz w:val="19"/>
              </w:rPr>
              <w:t>Pfam-A HMM profiles</w:t>
            </w:r>
          </w:p>
        </w:tc>
        <w:tc>
          <w:tcPr>
            <w:tcW w:type="dxa" w:w="5472"/>
            <w:shd w:val="clear" w:color="auto" w:fill="EEF3F9"/>
          </w:tcPr>
          <w:p>
            <w:r>
              <w:rPr>
                <w:sz w:val="19"/>
              </w:rPr>
              <w:t>Protein domain families</w:t>
            </w:r>
          </w:p>
        </w:tc>
      </w:tr>
      <w:tr>
        <w:tc>
          <w:tcPr>
            <w:tcW w:type="dxa" w:w="1728"/>
            <w:shd w:val="clear" w:color="auto" w:fill="FFFFFF"/>
          </w:tcPr>
          <w:p>
            <w:r>
              <w:rPr>
                <w:sz w:val="19"/>
              </w:rPr>
              <w:t>--eggnog</w:t>
            </w:r>
          </w:p>
        </w:tc>
        <w:tc>
          <w:tcPr>
            <w:tcW w:type="dxa" w:w="2880"/>
            <w:shd w:val="clear" w:color="auto" w:fill="FFFFFF"/>
          </w:tcPr>
          <w:p>
            <w:r>
              <w:rPr>
                <w:sz w:val="19"/>
              </w:rPr>
              <w:t>EggNOG / COG</w:t>
            </w:r>
          </w:p>
        </w:tc>
        <w:tc>
          <w:tcPr>
            <w:tcW w:type="dxa" w:w="5472"/>
            <w:shd w:val="clear" w:color="auto" w:fill="FFFFFF"/>
          </w:tcPr>
          <w:p>
            <w:r>
              <w:rPr>
                <w:sz w:val="19"/>
              </w:rPr>
              <w:t>GO terms, KEGG pathways, COG categories</w:t>
            </w:r>
          </w:p>
        </w:tc>
      </w:tr>
      <w:tr>
        <w:tc>
          <w:tcPr>
            <w:tcW w:type="dxa" w:w="1728"/>
            <w:shd w:val="clear" w:color="auto" w:fill="EEF3F9"/>
          </w:tcPr>
          <w:p>
            <w:r>
              <w:rPr>
                <w:sz w:val="19"/>
              </w:rPr>
              <w:t>--cazyme</w:t>
            </w:r>
          </w:p>
        </w:tc>
        <w:tc>
          <w:tcPr>
            <w:tcW w:type="dxa" w:w="2880"/>
            <w:shd w:val="clear" w:color="auto" w:fill="EEF3F9"/>
          </w:tcPr>
          <w:p>
            <w:r>
              <w:rPr>
                <w:sz w:val="19"/>
              </w:rPr>
              <w:t>CAZy</w:t>
            </w:r>
          </w:p>
        </w:tc>
        <w:tc>
          <w:tcPr>
            <w:tcW w:type="dxa" w:w="5472"/>
            <w:shd w:val="clear" w:color="auto" w:fill="EEF3F9"/>
          </w:tcPr>
          <w:p>
            <w:r>
              <w:rPr>
                <w:sz w:val="19"/>
              </w:rPr>
              <w:t>Carbohydrate-active enzyme families</w:t>
            </w:r>
          </w:p>
        </w:tc>
      </w:tr>
      <w:tr>
        <w:tc>
          <w:tcPr>
            <w:tcW w:type="dxa" w:w="1728"/>
            <w:shd w:val="clear" w:color="auto" w:fill="FFFFFF"/>
          </w:tcPr>
          <w:p>
            <w:r>
              <w:rPr>
                <w:sz w:val="19"/>
              </w:rPr>
              <w:t>--merops</w:t>
            </w:r>
          </w:p>
        </w:tc>
        <w:tc>
          <w:tcPr>
            <w:tcW w:type="dxa" w:w="2880"/>
            <w:shd w:val="clear" w:color="auto" w:fill="FFFFFF"/>
          </w:tcPr>
          <w:p>
            <w:r>
              <w:rPr>
                <w:sz w:val="19"/>
              </w:rPr>
              <w:t>MEROPS</w:t>
            </w:r>
          </w:p>
        </w:tc>
        <w:tc>
          <w:tcPr>
            <w:tcW w:type="dxa" w:w="5472"/>
            <w:shd w:val="clear" w:color="auto" w:fill="FFFFFF"/>
          </w:tcPr>
          <w:p>
            <w:r>
              <w:rPr>
                <w:sz w:val="19"/>
              </w:rPr>
              <w:t>Protease families</w:t>
            </w:r>
          </w:p>
        </w:tc>
      </w:tr>
      <w:tr>
        <w:tc>
          <w:tcPr>
            <w:tcW w:type="dxa" w:w="1728"/>
            <w:shd w:val="clear" w:color="auto" w:fill="EEF3F9"/>
          </w:tcPr>
          <w:p>
            <w:r>
              <w:rPr>
                <w:sz w:val="19"/>
              </w:rPr>
              <w:t>--busco</w:t>
            </w:r>
          </w:p>
        </w:tc>
        <w:tc>
          <w:tcPr>
            <w:tcW w:type="dxa" w:w="2880"/>
            <w:shd w:val="clear" w:color="auto" w:fill="EEF3F9"/>
          </w:tcPr>
          <w:p>
            <w:r>
              <w:rPr>
                <w:sz w:val="19"/>
              </w:rPr>
              <w:t>BUSCO fungi_odb10</w:t>
            </w:r>
          </w:p>
        </w:tc>
        <w:tc>
          <w:tcPr>
            <w:tcW w:type="dxa" w:w="5472"/>
            <w:shd w:val="clear" w:color="auto" w:fill="EEF3F9"/>
          </w:tcPr>
          <w:p>
            <w:r>
              <w:rPr>
                <w:sz w:val="19"/>
              </w:rPr>
              <w:t>Assembly and annotation completeness</w:t>
            </w:r>
          </w:p>
        </w:tc>
      </w:tr>
      <w:tr>
        <w:tc>
          <w:tcPr>
            <w:tcW w:type="dxa" w:w="1728"/>
            <w:shd w:val="clear" w:color="auto" w:fill="FFFFFF"/>
          </w:tcPr>
          <w:p>
            <w:r>
              <w:rPr>
                <w:sz w:val="19"/>
              </w:rPr>
              <w:t>--antismash</w:t>
            </w:r>
          </w:p>
        </w:tc>
        <w:tc>
          <w:tcPr>
            <w:tcW w:type="dxa" w:w="2880"/>
            <w:shd w:val="clear" w:color="auto" w:fill="FFFFFF"/>
          </w:tcPr>
          <w:p>
            <w:r>
              <w:rPr>
                <w:sz w:val="19"/>
              </w:rPr>
              <w:t>antiSMASH</w:t>
            </w:r>
          </w:p>
        </w:tc>
        <w:tc>
          <w:tcPr>
            <w:tcW w:type="dxa" w:w="5472"/>
            <w:shd w:val="clear" w:color="auto" w:fill="FFFFFF"/>
          </w:tcPr>
          <w:p>
            <w:r>
              <w:rPr>
                <w:sz w:val="19"/>
              </w:rPr>
              <w:t>Secondary metabolite gene clusters</w:t>
            </w:r>
          </w:p>
        </w:tc>
      </w:tr>
    </w:tbl>
    <w:p/>
    <w:p>
      <w:pPr>
        <w:spacing w:before="80" w:after="80"/>
        <w:ind w:left="432"/>
        <w:shd w:val="clear" w:color="auto" w:fill="F2F2F2"/>
      </w:pPr>
      <w:r>
        <w:rPr>
          <w:rFonts w:ascii="Courier New" w:hAnsi="Courier New"/>
          <w:color w:val="1A1A2E"/>
          <w:sz w:val="18"/>
        </w:rPr>
        <w:t>myconote-cli annotate sorted.fa.masked \</w:t>
        <w:br/>
        <w:t xml:space="preserve">    --gff updated.gff3 \</w:t>
        <w:br/>
        <w:t xml:space="preserve">    --eggnog --pfam --cazyme --merops --busco --antismash \</w:t>
        <w:br/>
        <w:t xml:space="preserve">    --threads 8 --out annotation/</w:t>
      </w:r>
    </w:p>
    <w:p>
      <w:r>
        <w:br w:type="page"/>
      </w:r>
    </w:p>
    <w:p>
      <w:pPr>
        <w:pStyle w:val="Heading1"/>
      </w:pPr>
      <w:r>
        <w:t>4. Analysis Commands</w:t>
      </w:r>
    </w:p>
    <w:p>
      <w:pPr>
        <w:pStyle w:val="Heading2"/>
      </w:pPr>
      <w:r>
        <w:t>4.1  stats — Annotation statistics</w:t>
      </w:r>
    </w:p>
    <w:p>
      <w:pPr>
        <w:spacing w:before="80" w:after="80"/>
        <w:ind w:left="432"/>
        <w:shd w:val="clear" w:color="auto" w:fill="F2F2F2"/>
      </w:pPr>
      <w:r>
        <w:rPr>
          <w:rFonts w:ascii="Courier New" w:hAnsi="Courier New"/>
          <w:color w:val="1A1A2E"/>
          <w:sz w:val="18"/>
        </w:rPr>
        <w:t>myconote-cli stats annotation/final.gff3</w:t>
        <w:br/>
        <w:t>myconote-cli stats annotation/final.gff3 --format json</w:t>
        <w:br/>
        <w:t>myconote-cli stats annotation/final.gff3 --format csv --taxon fungi</w:t>
      </w:r>
    </w:p>
    <w:p>
      <w:pPr>
        <w:pStyle w:val="Heading2"/>
      </w:pPr>
      <w:r>
        <w:t>4.2  convert — Format conversion</w:t>
      </w:r>
    </w:p>
    <w:tbl>
      <w:tblPr>
        <w:tblStyle w:val="TableGrid"/>
        <w:tblW w:type="auto" w:w="0"/>
        <w:jc w:val="left"/>
        <w:tblLook w:firstColumn="1" w:firstRow="1" w:lastColumn="0" w:lastRow="0" w:noHBand="0" w:noVBand="1" w:val="04A0"/>
      </w:tblPr>
      <w:tblGrid>
        <w:gridCol w:w="3120"/>
        <w:gridCol w:w="3120"/>
        <w:gridCol w:w="3120"/>
      </w:tblGrid>
      <w:tr>
        <w:tc>
          <w:tcPr>
            <w:tcW w:type="dxa" w:w="2592"/>
            <w:vAlign w:val="center"/>
            <w:shd w:val="clear" w:color="auto" w:fill="2E74B5"/>
          </w:tcPr>
          <w:p>
            <w:pPr>
              <w:jc w:val="center"/>
            </w:pPr>
            <w:r>
              <w:rPr>
                <w:b/>
                <w:color w:val="FFFFFF"/>
                <w:sz w:val="19"/>
              </w:rPr>
              <w:t>Target format</w:t>
            </w:r>
          </w:p>
        </w:tc>
        <w:tc>
          <w:tcPr>
            <w:tcW w:type="dxa" w:w="2160"/>
            <w:vAlign w:val="center"/>
            <w:shd w:val="clear" w:color="auto" w:fill="2E74B5"/>
          </w:tcPr>
          <w:p>
            <w:pPr>
              <w:jc w:val="center"/>
            </w:pPr>
            <w:r>
              <w:rPr>
                <w:b/>
                <w:color w:val="FFFFFF"/>
                <w:sz w:val="19"/>
              </w:rPr>
              <w:t>Flag</w:t>
            </w:r>
          </w:p>
        </w:tc>
        <w:tc>
          <w:tcPr>
            <w:tcW w:type="dxa" w:w="5328"/>
            <w:vAlign w:val="center"/>
            <w:shd w:val="clear" w:color="auto" w:fill="2E74B5"/>
          </w:tcPr>
          <w:p>
            <w:pPr>
              <w:jc w:val="center"/>
            </w:pPr>
            <w:r>
              <w:rPr>
                <w:b/>
                <w:color w:val="FFFFFF"/>
                <w:sz w:val="19"/>
              </w:rPr>
              <w:t>Compatible with</w:t>
            </w:r>
          </w:p>
        </w:tc>
      </w:tr>
      <w:tr>
        <w:tc>
          <w:tcPr>
            <w:tcW w:type="dxa" w:w="2592"/>
            <w:shd w:val="clear" w:color="auto" w:fill="FFFFFF"/>
          </w:tcPr>
          <w:p>
            <w:r>
              <w:rPr>
                <w:sz w:val="19"/>
              </w:rPr>
              <w:t>GTF</w:t>
            </w:r>
          </w:p>
        </w:tc>
        <w:tc>
          <w:tcPr>
            <w:tcW w:type="dxa" w:w="2160"/>
            <w:shd w:val="clear" w:color="auto" w:fill="FFFFFF"/>
          </w:tcPr>
          <w:p>
            <w:r>
              <w:rPr>
                <w:sz w:val="19"/>
              </w:rPr>
              <w:t>--to gtf</w:t>
            </w:r>
          </w:p>
        </w:tc>
        <w:tc>
          <w:tcPr>
            <w:tcW w:type="dxa" w:w="5328"/>
            <w:shd w:val="clear" w:color="auto" w:fill="FFFFFF"/>
          </w:tcPr>
          <w:p>
            <w:r>
              <w:rPr>
                <w:sz w:val="19"/>
              </w:rPr>
              <w:t>STAR, StringTie, DESeq2</w:t>
            </w:r>
          </w:p>
        </w:tc>
      </w:tr>
      <w:tr>
        <w:tc>
          <w:tcPr>
            <w:tcW w:type="dxa" w:w="2592"/>
            <w:shd w:val="clear" w:color="auto" w:fill="EEF3F9"/>
          </w:tcPr>
          <w:p>
            <w:r>
              <w:rPr>
                <w:sz w:val="19"/>
              </w:rPr>
              <w:t>BED6</w:t>
            </w:r>
          </w:p>
        </w:tc>
        <w:tc>
          <w:tcPr>
            <w:tcW w:type="dxa" w:w="2160"/>
            <w:shd w:val="clear" w:color="auto" w:fill="EEF3F9"/>
          </w:tcPr>
          <w:p>
            <w:r>
              <w:rPr>
                <w:sz w:val="19"/>
              </w:rPr>
              <w:t>--to bed</w:t>
            </w:r>
          </w:p>
        </w:tc>
        <w:tc>
          <w:tcPr>
            <w:tcW w:type="dxa" w:w="5328"/>
            <w:shd w:val="clear" w:color="auto" w:fill="EEF3F9"/>
          </w:tcPr>
          <w:p>
            <w:r>
              <w:rPr>
                <w:sz w:val="19"/>
              </w:rPr>
              <w:t>BEDTools, IGV, UCSC</w:t>
            </w:r>
          </w:p>
        </w:tc>
      </w:tr>
      <w:tr>
        <w:tc>
          <w:tcPr>
            <w:tcW w:type="dxa" w:w="2592"/>
            <w:shd w:val="clear" w:color="auto" w:fill="FFFFFF"/>
          </w:tcPr>
          <w:p>
            <w:r>
              <w:rPr>
                <w:sz w:val="19"/>
              </w:rPr>
              <w:t>BED12</w:t>
            </w:r>
          </w:p>
        </w:tc>
        <w:tc>
          <w:tcPr>
            <w:tcW w:type="dxa" w:w="2160"/>
            <w:shd w:val="clear" w:color="auto" w:fill="FFFFFF"/>
          </w:tcPr>
          <w:p>
            <w:r>
              <w:rPr>
                <w:sz w:val="19"/>
              </w:rPr>
              <w:t>--to bed12</w:t>
            </w:r>
          </w:p>
        </w:tc>
        <w:tc>
          <w:tcPr>
            <w:tcW w:type="dxa" w:w="5328"/>
            <w:shd w:val="clear" w:color="auto" w:fill="FFFFFF"/>
          </w:tcPr>
          <w:p>
            <w:r>
              <w:rPr>
                <w:sz w:val="19"/>
              </w:rPr>
              <w:t>UCSC bigBed tracks</w:t>
            </w:r>
          </w:p>
        </w:tc>
      </w:tr>
      <w:tr>
        <w:tc>
          <w:tcPr>
            <w:tcW w:type="dxa" w:w="2592"/>
            <w:shd w:val="clear" w:color="auto" w:fill="EEF3F9"/>
          </w:tcPr>
          <w:p>
            <w:r>
              <w:rPr>
                <w:sz w:val="19"/>
              </w:rPr>
              <w:t>TSV table</w:t>
            </w:r>
          </w:p>
        </w:tc>
        <w:tc>
          <w:tcPr>
            <w:tcW w:type="dxa" w:w="2160"/>
            <w:shd w:val="clear" w:color="auto" w:fill="EEF3F9"/>
          </w:tcPr>
          <w:p>
            <w:r>
              <w:rPr>
                <w:sz w:val="19"/>
              </w:rPr>
              <w:t>--to table</w:t>
            </w:r>
          </w:p>
        </w:tc>
        <w:tc>
          <w:tcPr>
            <w:tcW w:type="dxa" w:w="5328"/>
            <w:shd w:val="clear" w:color="auto" w:fill="EEF3F9"/>
          </w:tcPr>
          <w:p>
            <w:r>
              <w:rPr>
                <w:sz w:val="19"/>
              </w:rPr>
              <w:t>R, Python, Excel</w:t>
            </w:r>
          </w:p>
        </w:tc>
      </w:tr>
      <w:tr>
        <w:tc>
          <w:tcPr>
            <w:tcW w:type="dxa" w:w="2592"/>
            <w:shd w:val="clear" w:color="auto" w:fill="FFFFFF"/>
          </w:tcPr>
          <w:p>
            <w:r>
              <w:rPr>
                <w:sz w:val="19"/>
              </w:rPr>
              <w:t>Protein FASTA</w:t>
            </w:r>
          </w:p>
        </w:tc>
        <w:tc>
          <w:tcPr>
            <w:tcW w:type="dxa" w:w="2160"/>
            <w:shd w:val="clear" w:color="auto" w:fill="FFFFFF"/>
          </w:tcPr>
          <w:p>
            <w:r>
              <w:rPr>
                <w:sz w:val="19"/>
              </w:rPr>
              <w:t>--to protein</w:t>
            </w:r>
          </w:p>
        </w:tc>
        <w:tc>
          <w:tcPr>
            <w:tcW w:type="dxa" w:w="5328"/>
            <w:shd w:val="clear" w:color="auto" w:fill="FFFFFF"/>
          </w:tcPr>
          <w:p>
            <w:r>
              <w:rPr>
                <w:sz w:val="19"/>
              </w:rPr>
              <w:t>BLAST, OrthoFinder, InterProScan</w:t>
            </w:r>
          </w:p>
        </w:tc>
      </w:tr>
      <w:tr>
        <w:tc>
          <w:tcPr>
            <w:tcW w:type="dxa" w:w="2592"/>
            <w:shd w:val="clear" w:color="auto" w:fill="EEF3F9"/>
          </w:tcPr>
          <w:p>
            <w:r>
              <w:rPr>
                <w:sz w:val="19"/>
              </w:rPr>
              <w:t>GenBank</w:t>
            </w:r>
          </w:p>
        </w:tc>
        <w:tc>
          <w:tcPr>
            <w:tcW w:type="dxa" w:w="2160"/>
            <w:shd w:val="clear" w:color="auto" w:fill="EEF3F9"/>
          </w:tcPr>
          <w:p>
            <w:r>
              <w:rPr>
                <w:sz w:val="19"/>
              </w:rPr>
              <w:t>--to genbank</w:t>
            </w:r>
          </w:p>
        </w:tc>
        <w:tc>
          <w:tcPr>
            <w:tcW w:type="dxa" w:w="5328"/>
            <w:shd w:val="clear" w:color="auto" w:fill="EEF3F9"/>
          </w:tcPr>
          <w:p>
            <w:r>
              <w:rPr>
                <w:sz w:val="19"/>
              </w:rPr>
              <w:t>Geneious, SnapGene, BioPython</w:t>
            </w:r>
          </w:p>
        </w:tc>
      </w:tr>
    </w:tbl>
    <w:p/>
    <w:p>
      <w:pPr>
        <w:pStyle w:val="Heading2"/>
      </w:pPr>
      <w:r>
        <w:t>4.3  plot — Genome visualisation</w:t>
      </w:r>
    </w:p>
    <w:p>
      <w:pPr>
        <w:spacing w:before="80" w:after="80"/>
        <w:ind w:left="432"/>
        <w:shd w:val="clear" w:color="auto" w:fill="F2F2F2"/>
      </w:pPr>
      <w:r>
        <w:rPr>
          <w:rFonts w:ascii="Courier New" w:hAnsi="Courier New"/>
          <w:color w:val="1A1A2E"/>
          <w:sz w:val="18"/>
        </w:rPr>
        <w:t># Linear map of a specific region</w:t>
        <w:br/>
        <w:t>myconote-cli plot annotation.gff3 --type linear \</w:t>
        <w:br/>
        <w:t xml:space="preserve">    --region scaffold_1:1-500000 --output region.png</w:t>
        <w:br/>
        <w:br/>
        <w:t># Circular whole-genome map</w:t>
        <w:br/>
        <w:t>myconote-cli plot annotation.gff3 --type circular --output genome.png</w:t>
      </w:r>
    </w:p>
    <w:p>
      <w:pPr>
        <w:pStyle w:val="Heading2"/>
      </w:pPr>
      <w:r>
        <w:t>4.4  view — Interactive browser</w:t>
      </w:r>
    </w:p>
    <w:p>
      <w:pPr>
        <w:spacing w:before="80" w:after="80"/>
        <w:ind w:left="432"/>
        <w:shd w:val="clear" w:color="auto" w:fill="F2F2F2"/>
      </w:pPr>
      <w:r>
        <w:rPr>
          <w:rFonts w:ascii="Courier New" w:hAnsi="Courier New"/>
          <w:color w:val="1A1A2E"/>
          <w:sz w:val="18"/>
        </w:rPr>
        <w:t>myconote-cli view annotation.gff3 --fasta sorted.fa -o browser.html</w:t>
      </w:r>
    </w:p>
    <w:p>
      <w:pPr>
        <w:spacing w:after="100"/>
      </w:pPr>
      <w:r>
        <w:t>Opens a self-contained JBrowse2 HTML file — no internet connection required.</w:t>
      </w:r>
    </w:p>
    <w:p>
      <w:pPr>
        <w:pStyle w:val="Heading2"/>
      </w:pPr>
      <w:r>
        <w:t>4.5  phylogeny — Phylogenetic tree</w:t>
      </w:r>
    </w:p>
    <w:p>
      <w:pPr>
        <w:spacing w:before="80" w:after="80"/>
        <w:ind w:left="432"/>
        <w:shd w:val="clear" w:color="auto" w:fill="F2F2F2"/>
      </w:pPr>
      <w:r>
        <w:rPr>
          <w:rFonts w:ascii="Courier New" w:hAnsi="Courier New"/>
          <w:color w:val="1A1A2E"/>
          <w:sz w:val="18"/>
        </w:rPr>
        <w:t>myconote-cli phylogeny aligned_cds.fa \</w:t>
        <w:br/>
        <w:t xml:space="preserve">    --model MFP --bootstrap 1000 --threads 8</w:t>
      </w:r>
    </w:p>
    <w:p>
      <w:r>
        <w:br w:type="page"/>
      </w:r>
    </w:p>
    <w:p>
      <w:pPr>
        <w:pStyle w:val="Heading1"/>
      </w:pPr>
      <w:r>
        <w:t>5. Databases</w:t>
      </w:r>
    </w:p>
    <w:p>
      <w:pPr>
        <w:pStyle w:val="Heading2"/>
      </w:pPr>
      <w:r>
        <w:t>Downloading databases</w:t>
      </w:r>
    </w:p>
    <w:p>
      <w:pPr>
        <w:spacing w:before="80" w:after="80"/>
        <w:ind w:left="432"/>
        <w:shd w:val="clear" w:color="auto" w:fill="F2F2F2"/>
      </w:pPr>
      <w:r>
        <w:rPr>
          <w:rFonts w:ascii="Courier New" w:hAnsi="Courier New"/>
          <w:color w:val="1A1A2E"/>
          <w:sz w:val="18"/>
        </w:rPr>
        <w:t>myconote-cli setup                         # download everything</w:t>
        <w:br/>
        <w:t>myconote-cli setup --db swiss-prot pfam    # specific databases</w:t>
        <w:br/>
        <w:t>myconote-cli setup --list                  # check download status</w:t>
      </w:r>
    </w:p>
    <w:tbl>
      <w:tblPr>
        <w:tblStyle w:val="TableGrid"/>
        <w:tblW w:type="auto" w:w="0"/>
        <w:jc w:val="left"/>
        <w:tblLook w:firstColumn="1" w:firstRow="1" w:lastColumn="0" w:lastRow="0" w:noHBand="0" w:noVBand="1" w:val="04A0"/>
      </w:tblPr>
      <w:tblGrid>
        <w:gridCol w:w="3120"/>
        <w:gridCol w:w="3120"/>
        <w:gridCol w:w="3120"/>
      </w:tblGrid>
      <w:tr>
        <w:tc>
          <w:tcPr>
            <w:tcW w:type="dxa" w:w="4032"/>
            <w:vAlign w:val="center"/>
            <w:shd w:val="clear" w:color="auto" w:fill="2E74B5"/>
          </w:tcPr>
          <w:p>
            <w:pPr>
              <w:jc w:val="center"/>
            </w:pPr>
            <w:r>
              <w:rPr>
                <w:b/>
                <w:color w:val="FFFFFF"/>
                <w:sz w:val="19"/>
              </w:rPr>
              <w:t>Database</w:t>
            </w:r>
          </w:p>
        </w:tc>
        <w:tc>
          <w:tcPr>
            <w:tcW w:type="dxa" w:w="1440"/>
            <w:vAlign w:val="center"/>
            <w:shd w:val="clear" w:color="auto" w:fill="2E74B5"/>
          </w:tcPr>
          <w:p>
            <w:pPr>
              <w:jc w:val="center"/>
            </w:pPr>
            <w:r>
              <w:rPr>
                <w:b/>
                <w:color w:val="FFFFFF"/>
                <w:sz w:val="19"/>
              </w:rPr>
              <w:t>Size</w:t>
            </w:r>
          </w:p>
        </w:tc>
        <w:tc>
          <w:tcPr>
            <w:tcW w:type="dxa" w:w="4608"/>
            <w:vAlign w:val="center"/>
            <w:shd w:val="clear" w:color="auto" w:fill="2E74B5"/>
          </w:tcPr>
          <w:p>
            <w:pPr>
              <w:jc w:val="center"/>
            </w:pPr>
            <w:r>
              <w:rPr>
                <w:b/>
                <w:color w:val="FFFFFF"/>
                <w:sz w:val="19"/>
              </w:rPr>
              <w:t>Downloaded by setup</w:t>
            </w:r>
          </w:p>
        </w:tc>
      </w:tr>
      <w:tr>
        <w:tc>
          <w:tcPr>
            <w:tcW w:type="dxa" w:w="4032"/>
            <w:shd w:val="clear" w:color="auto" w:fill="FFFFFF"/>
          </w:tcPr>
          <w:p>
            <w:r>
              <w:rPr>
                <w:sz w:val="19"/>
              </w:rPr>
              <w:t>UniProt/Swiss-Prot (MMseqs2)</w:t>
            </w:r>
          </w:p>
        </w:tc>
        <w:tc>
          <w:tcPr>
            <w:tcW w:type="dxa" w:w="1440"/>
            <w:shd w:val="clear" w:color="auto" w:fill="FFFFFF"/>
          </w:tcPr>
          <w:p>
            <w:r>
              <w:rPr>
                <w:sz w:val="19"/>
              </w:rPr>
              <w:t>~1 GB</w:t>
            </w:r>
          </w:p>
        </w:tc>
        <w:tc>
          <w:tcPr>
            <w:tcW w:type="dxa" w:w="4608"/>
            <w:shd w:val="clear" w:color="auto" w:fill="FFFFFF"/>
          </w:tcPr>
          <w:p>
            <w:r>
              <w:rPr>
                <w:sz w:val="19"/>
              </w:rPr>
              <w:t>Yes</w:t>
            </w:r>
          </w:p>
        </w:tc>
      </w:tr>
      <w:tr>
        <w:tc>
          <w:tcPr>
            <w:tcW w:type="dxa" w:w="4032"/>
            <w:shd w:val="clear" w:color="auto" w:fill="EEF3F9"/>
          </w:tcPr>
          <w:p>
            <w:r>
              <w:rPr>
                <w:sz w:val="19"/>
              </w:rPr>
              <w:t>Pfam-A HMM profiles</w:t>
            </w:r>
          </w:p>
        </w:tc>
        <w:tc>
          <w:tcPr>
            <w:tcW w:type="dxa" w:w="1440"/>
            <w:shd w:val="clear" w:color="auto" w:fill="EEF3F9"/>
          </w:tcPr>
          <w:p>
            <w:r>
              <w:rPr>
                <w:sz w:val="19"/>
              </w:rPr>
              <w:t>~300 MB</w:t>
            </w:r>
          </w:p>
        </w:tc>
        <w:tc>
          <w:tcPr>
            <w:tcW w:type="dxa" w:w="4608"/>
            <w:shd w:val="clear" w:color="auto" w:fill="EEF3F9"/>
          </w:tcPr>
          <w:p>
            <w:r>
              <w:rPr>
                <w:sz w:val="19"/>
              </w:rPr>
              <w:t>Yes</w:t>
            </w:r>
          </w:p>
        </w:tc>
      </w:tr>
      <w:tr>
        <w:tc>
          <w:tcPr>
            <w:tcW w:type="dxa" w:w="4032"/>
            <w:shd w:val="clear" w:color="auto" w:fill="FFFFFF"/>
          </w:tcPr>
          <w:p>
            <w:r>
              <w:rPr>
                <w:sz w:val="19"/>
              </w:rPr>
              <w:t>BUSCO fungi_odb10</w:t>
            </w:r>
          </w:p>
        </w:tc>
        <w:tc>
          <w:tcPr>
            <w:tcW w:type="dxa" w:w="1440"/>
            <w:shd w:val="clear" w:color="auto" w:fill="FFFFFF"/>
          </w:tcPr>
          <w:p>
            <w:r>
              <w:rPr>
                <w:sz w:val="19"/>
              </w:rPr>
              <w:t>~50 MB</w:t>
            </w:r>
          </w:p>
        </w:tc>
        <w:tc>
          <w:tcPr>
            <w:tcW w:type="dxa" w:w="4608"/>
            <w:shd w:val="clear" w:color="auto" w:fill="FFFFFF"/>
          </w:tcPr>
          <w:p>
            <w:r>
              <w:rPr>
                <w:sz w:val="19"/>
              </w:rPr>
              <w:t>Yes</w:t>
            </w:r>
          </w:p>
        </w:tc>
      </w:tr>
      <w:tr>
        <w:tc>
          <w:tcPr>
            <w:tcW w:type="dxa" w:w="4032"/>
            <w:shd w:val="clear" w:color="auto" w:fill="EEF3F9"/>
          </w:tcPr>
          <w:p>
            <w:r>
              <w:rPr>
                <w:sz w:val="19"/>
              </w:rPr>
              <w:t>CAZyme (DIAMOND)</w:t>
            </w:r>
          </w:p>
        </w:tc>
        <w:tc>
          <w:tcPr>
            <w:tcW w:type="dxa" w:w="1440"/>
            <w:shd w:val="clear" w:color="auto" w:fill="EEF3F9"/>
          </w:tcPr>
          <w:p>
            <w:r>
              <w:rPr>
                <w:sz w:val="19"/>
              </w:rPr>
              <w:t>~200 MB</w:t>
            </w:r>
          </w:p>
        </w:tc>
        <w:tc>
          <w:tcPr>
            <w:tcW w:type="dxa" w:w="4608"/>
            <w:shd w:val="clear" w:color="auto" w:fill="EEF3F9"/>
          </w:tcPr>
          <w:p>
            <w:r>
              <w:rPr>
                <w:sz w:val="19"/>
              </w:rPr>
              <w:t>Yes</w:t>
            </w:r>
          </w:p>
        </w:tc>
      </w:tr>
      <w:tr>
        <w:tc>
          <w:tcPr>
            <w:tcW w:type="dxa" w:w="4032"/>
            <w:shd w:val="clear" w:color="auto" w:fill="FFFFFF"/>
          </w:tcPr>
          <w:p>
            <w:r>
              <w:rPr>
                <w:sz w:val="19"/>
              </w:rPr>
              <w:t>MEROPS (DIAMOND)</w:t>
            </w:r>
          </w:p>
        </w:tc>
        <w:tc>
          <w:tcPr>
            <w:tcW w:type="dxa" w:w="1440"/>
            <w:shd w:val="clear" w:color="auto" w:fill="FFFFFF"/>
          </w:tcPr>
          <w:p>
            <w:r>
              <w:rPr>
                <w:sz w:val="19"/>
              </w:rPr>
              <w:t>~100 MB</w:t>
            </w:r>
          </w:p>
        </w:tc>
        <w:tc>
          <w:tcPr>
            <w:tcW w:type="dxa" w:w="4608"/>
            <w:shd w:val="clear" w:color="auto" w:fill="FFFFFF"/>
          </w:tcPr>
          <w:p>
            <w:r>
              <w:rPr>
                <w:sz w:val="19"/>
              </w:rPr>
              <w:t>Yes</w:t>
            </w:r>
          </w:p>
        </w:tc>
      </w:tr>
      <w:tr>
        <w:tc>
          <w:tcPr>
            <w:tcW w:type="dxa" w:w="4032"/>
            <w:shd w:val="clear" w:color="auto" w:fill="EEF3F9"/>
          </w:tcPr>
          <w:p>
            <w:r>
              <w:rPr>
                <w:sz w:val="19"/>
              </w:rPr>
              <w:t>eggNOG (~50 GB)</w:t>
            </w:r>
          </w:p>
        </w:tc>
        <w:tc>
          <w:tcPr>
            <w:tcW w:type="dxa" w:w="1440"/>
            <w:shd w:val="clear" w:color="auto" w:fill="EEF3F9"/>
          </w:tcPr>
          <w:p>
            <w:r>
              <w:rPr>
                <w:sz w:val="19"/>
              </w:rPr>
              <w:t>~50 GB</w:t>
            </w:r>
          </w:p>
        </w:tc>
        <w:tc>
          <w:tcPr>
            <w:tcW w:type="dxa" w:w="4608"/>
            <w:shd w:val="clear" w:color="auto" w:fill="EEF3F9"/>
          </w:tcPr>
          <w:p>
            <w:r>
              <w:rPr>
                <w:sz w:val="19"/>
              </w:rPr>
              <w:t>No — manual (see below)</w:t>
            </w:r>
          </w:p>
        </w:tc>
      </w:tr>
    </w:tbl>
    <w:p/>
    <w:p>
      <w:pPr>
        <w:spacing w:before="120" w:after="120"/>
        <w:ind w:left="432"/>
        <w:shd w:val="clear" w:color="auto" w:fill="EEF3F9"/>
      </w:pPr>
      <w:r>
        <w:rPr>
          <w:b/>
          <w:color w:val="2E74B5"/>
          <w:sz w:val="20"/>
        </w:rPr>
        <w:t xml:space="preserve">Note: </w:t>
      </w:r>
      <w:r>
        <w:rPr>
          <w:sz w:val="20"/>
        </w:rPr>
        <w:t>The eggNOG database is not downloaded automatically due to its size (~50 GB). Download it when needed with:</w:t>
        <w:br/>
        <w:t xml:space="preserve">    download_eggnog_data.py -y --data_dir ~/.eggnog_mapper/data</w:t>
      </w:r>
    </w:p>
    <w:p>
      <w:r>
        <w:br w:type="page"/>
      </w:r>
    </w:p>
    <w:p>
      <w:pPr>
        <w:pStyle w:val="Heading1"/>
      </w:pPr>
      <w:r>
        <w:t>6. Kingdom-Aware Defaults</w:t>
      </w:r>
    </w:p>
    <w:p>
      <w:pPr>
        <w:spacing w:after="100"/>
      </w:pPr>
      <w:r>
        <w:t>The --kingdom flag sets organism-appropriate defaults for Augustus species models, EVM predictor weights, BUSCO lineage, and intron size ranges. These can all be overridden individually.</w:t>
      </w:r>
    </w:p>
    <w:tbl>
      <w:tblPr>
        <w:tblStyle w:val="TableGrid"/>
        <w:tblW w:type="auto" w:w="0"/>
        <w:jc w:val="left"/>
        <w:tblLook w:firstColumn="1" w:firstRow="1" w:lastColumn="0" w:lastRow="0" w:noHBand="0" w:noVBand="1" w:val="04A0"/>
      </w:tblPr>
      <w:tblGrid>
        <w:gridCol w:w="3120"/>
        <w:gridCol w:w="3120"/>
        <w:gridCol w:w="3120"/>
      </w:tblGrid>
      <w:tr>
        <w:tc>
          <w:tcPr>
            <w:tcW w:type="dxa" w:w="1728"/>
            <w:vAlign w:val="center"/>
            <w:shd w:val="clear" w:color="auto" w:fill="2E74B5"/>
          </w:tcPr>
          <w:p>
            <w:pPr>
              <w:jc w:val="center"/>
            </w:pPr>
            <w:r>
              <w:rPr>
                <w:b/>
                <w:color w:val="FFFFFF"/>
                <w:sz w:val="19"/>
              </w:rPr>
              <w:t>Kingdom</w:t>
            </w:r>
          </w:p>
        </w:tc>
        <w:tc>
          <w:tcPr>
            <w:tcW w:type="dxa" w:w="4752"/>
            <w:vAlign w:val="center"/>
            <w:shd w:val="clear" w:color="auto" w:fill="2E74B5"/>
          </w:tcPr>
          <w:p>
            <w:pPr>
              <w:jc w:val="center"/>
            </w:pPr>
            <w:r>
              <w:rPr>
                <w:b/>
                <w:color w:val="FFFFFF"/>
                <w:sz w:val="19"/>
              </w:rPr>
              <w:t>Default Augustus model</w:t>
            </w:r>
          </w:p>
        </w:tc>
        <w:tc>
          <w:tcPr>
            <w:tcW w:type="dxa" w:w="3600"/>
            <w:vAlign w:val="center"/>
            <w:shd w:val="clear" w:color="auto" w:fill="2E74B5"/>
          </w:tcPr>
          <w:p>
            <w:pPr>
              <w:jc w:val="center"/>
            </w:pPr>
            <w:r>
              <w:rPr>
                <w:b/>
                <w:color w:val="FFFFFF"/>
                <w:sz w:val="19"/>
              </w:rPr>
              <w:t>BUSCO lineage</w:t>
            </w:r>
          </w:p>
        </w:tc>
      </w:tr>
      <w:tr>
        <w:tc>
          <w:tcPr>
            <w:tcW w:type="dxa" w:w="1728"/>
            <w:shd w:val="clear" w:color="auto" w:fill="FFFFFF"/>
          </w:tcPr>
          <w:p>
            <w:r>
              <w:rPr>
                <w:sz w:val="19"/>
              </w:rPr>
              <w:t>fungi</w:t>
            </w:r>
          </w:p>
        </w:tc>
        <w:tc>
          <w:tcPr>
            <w:tcW w:type="dxa" w:w="4752"/>
            <w:shd w:val="clear" w:color="auto" w:fill="FFFFFF"/>
          </w:tcPr>
          <w:p>
            <w:r>
              <w:rPr>
                <w:sz w:val="19"/>
              </w:rPr>
              <w:t>saccharomyces_cerevisiae_S288C</w:t>
            </w:r>
          </w:p>
        </w:tc>
        <w:tc>
          <w:tcPr>
            <w:tcW w:type="dxa" w:w="3600"/>
            <w:shd w:val="clear" w:color="auto" w:fill="FFFFFF"/>
          </w:tcPr>
          <w:p>
            <w:r>
              <w:rPr>
                <w:sz w:val="19"/>
              </w:rPr>
              <w:t>fungi_odb10</w:t>
            </w:r>
          </w:p>
        </w:tc>
      </w:tr>
      <w:tr>
        <w:tc>
          <w:tcPr>
            <w:tcW w:type="dxa" w:w="1728"/>
            <w:shd w:val="clear" w:color="auto" w:fill="EEF3F9"/>
          </w:tcPr>
          <w:p>
            <w:r>
              <w:rPr>
                <w:sz w:val="19"/>
              </w:rPr>
              <w:t>plant</w:t>
            </w:r>
          </w:p>
        </w:tc>
        <w:tc>
          <w:tcPr>
            <w:tcW w:type="dxa" w:w="4752"/>
            <w:shd w:val="clear" w:color="auto" w:fill="EEF3F9"/>
          </w:tcPr>
          <w:p>
            <w:r>
              <w:rPr>
                <w:sz w:val="19"/>
              </w:rPr>
              <w:t>arabidopsis</w:t>
            </w:r>
          </w:p>
        </w:tc>
        <w:tc>
          <w:tcPr>
            <w:tcW w:type="dxa" w:w="3600"/>
            <w:shd w:val="clear" w:color="auto" w:fill="EEF3F9"/>
          </w:tcPr>
          <w:p>
            <w:r>
              <w:rPr>
                <w:sz w:val="19"/>
              </w:rPr>
              <w:t>viridiplantae_odb10</w:t>
            </w:r>
          </w:p>
        </w:tc>
      </w:tr>
      <w:tr>
        <w:tc>
          <w:tcPr>
            <w:tcW w:type="dxa" w:w="1728"/>
            <w:shd w:val="clear" w:color="auto" w:fill="FFFFFF"/>
          </w:tcPr>
          <w:p>
            <w:r>
              <w:rPr>
                <w:sz w:val="19"/>
              </w:rPr>
              <w:t>animal</w:t>
            </w:r>
          </w:p>
        </w:tc>
        <w:tc>
          <w:tcPr>
            <w:tcW w:type="dxa" w:w="4752"/>
            <w:shd w:val="clear" w:color="auto" w:fill="FFFFFF"/>
          </w:tcPr>
          <w:p>
            <w:r>
              <w:rPr>
                <w:sz w:val="19"/>
              </w:rPr>
              <w:t>human</w:t>
            </w:r>
          </w:p>
        </w:tc>
        <w:tc>
          <w:tcPr>
            <w:tcW w:type="dxa" w:w="3600"/>
            <w:shd w:val="clear" w:color="auto" w:fill="FFFFFF"/>
          </w:tcPr>
          <w:p>
            <w:r>
              <w:rPr>
                <w:sz w:val="19"/>
              </w:rPr>
              <w:t>metazoa_odb10</w:t>
            </w:r>
          </w:p>
        </w:tc>
      </w:tr>
      <w:tr>
        <w:tc>
          <w:tcPr>
            <w:tcW w:type="dxa" w:w="1728"/>
            <w:shd w:val="clear" w:color="auto" w:fill="EEF3F9"/>
          </w:tcPr>
          <w:p>
            <w:r>
              <w:rPr>
                <w:sz w:val="19"/>
              </w:rPr>
              <w:t>insect</w:t>
            </w:r>
          </w:p>
        </w:tc>
        <w:tc>
          <w:tcPr>
            <w:tcW w:type="dxa" w:w="4752"/>
            <w:shd w:val="clear" w:color="auto" w:fill="EEF3F9"/>
          </w:tcPr>
          <w:p>
            <w:r>
              <w:rPr>
                <w:sz w:val="19"/>
              </w:rPr>
              <w:t>fly</w:t>
            </w:r>
          </w:p>
        </w:tc>
        <w:tc>
          <w:tcPr>
            <w:tcW w:type="dxa" w:w="3600"/>
            <w:shd w:val="clear" w:color="auto" w:fill="EEF3F9"/>
          </w:tcPr>
          <w:p>
            <w:r>
              <w:rPr>
                <w:sz w:val="19"/>
              </w:rPr>
              <w:t>insecta_odb10</w:t>
            </w:r>
          </w:p>
        </w:tc>
      </w:tr>
      <w:tr>
        <w:tc>
          <w:tcPr>
            <w:tcW w:type="dxa" w:w="1728"/>
            <w:shd w:val="clear" w:color="auto" w:fill="FFFFFF"/>
          </w:tcPr>
          <w:p>
            <w:r>
              <w:rPr>
                <w:sz w:val="19"/>
              </w:rPr>
              <w:t>protist</w:t>
            </w:r>
          </w:p>
        </w:tc>
        <w:tc>
          <w:tcPr>
            <w:tcW w:type="dxa" w:w="4752"/>
            <w:shd w:val="clear" w:color="auto" w:fill="FFFFFF"/>
          </w:tcPr>
          <w:p>
            <w:r>
              <w:rPr>
                <w:sz w:val="19"/>
              </w:rPr>
              <w:t>toxoplasma</w:t>
            </w:r>
          </w:p>
        </w:tc>
        <w:tc>
          <w:tcPr>
            <w:tcW w:type="dxa" w:w="3600"/>
            <w:shd w:val="clear" w:color="auto" w:fill="FFFFFF"/>
          </w:tcPr>
          <w:p>
            <w:r>
              <w:rPr>
                <w:sz w:val="19"/>
              </w:rPr>
              <w:t>eukaryota_odb10</w:t>
            </w:r>
          </w:p>
        </w:tc>
      </w:tr>
    </w:tbl>
    <w:p/>
    <w:p>
      <w:pPr>
        <w:spacing w:after="100"/>
      </w:pPr>
      <w:r>
        <w:t>To see all available Augustus species models:</w:t>
      </w:r>
    </w:p>
    <w:p>
      <w:pPr>
        <w:spacing w:before="80" w:after="80"/>
        <w:ind w:left="432"/>
        <w:shd w:val="clear" w:color="auto" w:fill="F2F2F2"/>
      </w:pPr>
      <w:r>
        <w:rPr>
          <w:rFonts w:ascii="Courier New" w:hAnsi="Courier New"/>
          <w:color w:val="1A1A2E"/>
          <w:sz w:val="18"/>
        </w:rPr>
        <w:t>myconote-cli species --grouped</w:t>
      </w:r>
    </w:p>
    <w:p>
      <w:r>
        <w:br w:type="page"/>
      </w:r>
    </w:p>
    <w:p>
      <w:pPr>
        <w:pStyle w:val="Heading1"/>
      </w:pPr>
      <w:r>
        <w:t>7. Disk Space Requirements</w:t>
      </w:r>
    </w:p>
    <w:tbl>
      <w:tblPr>
        <w:tblStyle w:val="TableGrid"/>
        <w:tblW w:type="auto" w:w="0"/>
        <w:jc w:val="left"/>
        <w:tblLook w:firstColumn="1" w:firstRow="1" w:lastColumn="0" w:lastRow="0" w:noHBand="0" w:noVBand="1" w:val="04A0"/>
      </w:tblPr>
      <w:tblGrid>
        <w:gridCol w:w="4680"/>
        <w:gridCol w:w="4680"/>
      </w:tblGrid>
      <w:tr>
        <w:tc>
          <w:tcPr>
            <w:tcW w:type="dxa" w:w="6480"/>
            <w:vAlign w:val="center"/>
            <w:shd w:val="clear" w:color="auto" w:fill="2E74B5"/>
          </w:tcPr>
          <w:p>
            <w:pPr>
              <w:jc w:val="center"/>
            </w:pPr>
            <w:r>
              <w:rPr>
                <w:b/>
                <w:color w:val="FFFFFF"/>
                <w:sz w:val="19"/>
              </w:rPr>
              <w:t>Component</w:t>
            </w:r>
          </w:p>
        </w:tc>
        <w:tc>
          <w:tcPr>
            <w:tcW w:type="dxa" w:w="3600"/>
            <w:vAlign w:val="center"/>
            <w:shd w:val="clear" w:color="auto" w:fill="2E74B5"/>
          </w:tcPr>
          <w:p>
            <w:pPr>
              <w:jc w:val="center"/>
            </w:pPr>
            <w:r>
              <w:rPr>
                <w:b/>
                <w:color w:val="FFFFFF"/>
                <w:sz w:val="19"/>
              </w:rPr>
              <w:t>Space</w:t>
            </w:r>
          </w:p>
        </w:tc>
      </w:tr>
      <w:tr>
        <w:tc>
          <w:tcPr>
            <w:tcW w:type="dxa" w:w="6480"/>
            <w:shd w:val="clear" w:color="auto" w:fill="FFFFFF"/>
          </w:tcPr>
          <w:p>
            <w:r>
              <w:rPr>
                <w:sz w:val="19"/>
              </w:rPr>
              <w:t>myconote-cli binary</w:t>
            </w:r>
          </w:p>
        </w:tc>
        <w:tc>
          <w:tcPr>
            <w:tcW w:type="dxa" w:w="3600"/>
            <w:shd w:val="clear" w:color="auto" w:fill="FFFFFF"/>
          </w:tcPr>
          <w:p>
            <w:r>
              <w:rPr>
                <w:sz w:val="19"/>
              </w:rPr>
              <w:t>~5 MB</w:t>
            </w:r>
          </w:p>
        </w:tc>
      </w:tr>
      <w:tr>
        <w:tc>
          <w:tcPr>
            <w:tcW w:type="dxa" w:w="6480"/>
            <w:shd w:val="clear" w:color="auto" w:fill="EEF3F9"/>
          </w:tcPr>
          <w:p>
            <w:r>
              <w:rPr>
                <w:sz w:val="19"/>
              </w:rPr>
              <w:t>conda environment + all tools</w:t>
            </w:r>
          </w:p>
        </w:tc>
        <w:tc>
          <w:tcPr>
            <w:tcW w:type="dxa" w:w="3600"/>
            <w:shd w:val="clear" w:color="auto" w:fill="EEF3F9"/>
          </w:tcPr>
          <w:p>
            <w:r>
              <w:rPr>
                <w:sz w:val="19"/>
              </w:rPr>
              <w:t>~8–12 GB</w:t>
            </w:r>
          </w:p>
        </w:tc>
      </w:tr>
      <w:tr>
        <w:tc>
          <w:tcPr>
            <w:tcW w:type="dxa" w:w="6480"/>
            <w:shd w:val="clear" w:color="auto" w:fill="FFFFFF"/>
          </w:tcPr>
          <w:p>
            <w:r>
              <w:rPr>
                <w:sz w:val="19"/>
              </w:rPr>
              <w:t>Core databases (Swiss-Prot, Pfam, BUSCO, etc.)</w:t>
            </w:r>
          </w:p>
        </w:tc>
        <w:tc>
          <w:tcPr>
            <w:tcW w:type="dxa" w:w="3600"/>
            <w:shd w:val="clear" w:color="auto" w:fill="FFFFFF"/>
          </w:tcPr>
          <w:p>
            <w:r>
              <w:rPr>
                <w:sz w:val="19"/>
              </w:rPr>
              <w:t>~2.5 GB</w:t>
            </w:r>
          </w:p>
        </w:tc>
      </w:tr>
      <w:tr>
        <w:tc>
          <w:tcPr>
            <w:tcW w:type="dxa" w:w="6480"/>
            <w:shd w:val="clear" w:color="auto" w:fill="EEF3F9"/>
          </w:tcPr>
          <w:p>
            <w:r>
              <w:rPr>
                <w:sz w:val="19"/>
              </w:rPr>
              <w:t>eggNOG database (optional)</w:t>
            </w:r>
          </w:p>
        </w:tc>
        <w:tc>
          <w:tcPr>
            <w:tcW w:type="dxa" w:w="3600"/>
            <w:shd w:val="clear" w:color="auto" w:fill="EEF3F9"/>
          </w:tcPr>
          <w:p>
            <w:r>
              <w:rPr>
                <w:sz w:val="19"/>
              </w:rPr>
              <w:t>~50 GB</w:t>
            </w:r>
          </w:p>
        </w:tc>
      </w:tr>
      <w:tr>
        <w:tc>
          <w:tcPr>
            <w:tcW w:type="dxa" w:w="6480"/>
            <w:shd w:val="clear" w:color="auto" w:fill="FFFFFF"/>
          </w:tcPr>
          <w:p>
            <w:r>
              <w:rPr>
                <w:sz w:val="19"/>
              </w:rPr>
              <w:t>Total without eggNOG</w:t>
            </w:r>
          </w:p>
        </w:tc>
        <w:tc>
          <w:tcPr>
            <w:tcW w:type="dxa" w:w="3600"/>
            <w:shd w:val="clear" w:color="auto" w:fill="FFFFFF"/>
          </w:tcPr>
          <w:p>
            <w:r>
              <w:rPr>
                <w:sz w:val="19"/>
              </w:rPr>
              <w:t>~15 GB</w:t>
            </w:r>
          </w:p>
        </w:tc>
      </w:tr>
      <w:tr>
        <w:tc>
          <w:tcPr>
            <w:tcW w:type="dxa" w:w="6480"/>
            <w:shd w:val="clear" w:color="auto" w:fill="EEF3F9"/>
          </w:tcPr>
          <w:p>
            <w:r>
              <w:rPr>
                <w:sz w:val="19"/>
              </w:rPr>
              <w:t>Total with eggNOG</w:t>
            </w:r>
          </w:p>
        </w:tc>
        <w:tc>
          <w:tcPr>
            <w:tcW w:type="dxa" w:w="3600"/>
            <w:shd w:val="clear" w:color="auto" w:fill="EEF3F9"/>
          </w:tcPr>
          <w:p>
            <w:r>
              <w:rPr>
                <w:sz w:val="19"/>
              </w:rPr>
              <w:t>~65 GB</w:t>
            </w:r>
          </w:p>
        </w:tc>
      </w:tr>
    </w:tbl>
    <w:p/>
    <w:p>
      <w:r>
        <w:br w:type="page"/>
      </w:r>
    </w:p>
    <w:p>
      <w:pPr>
        <w:pStyle w:val="Heading1"/>
      </w:pPr>
      <w:r>
        <w:t>8. Citation and Contact</w:t>
      </w:r>
    </w:p>
    <w:p>
      <w:pPr>
        <w:pStyle w:val="Heading2"/>
      </w:pPr>
      <w:r>
        <w:t>Citing Myconote_CLI</w:t>
      </w:r>
    </w:p>
    <w:p>
      <w:pPr>
        <w:spacing w:after="100"/>
      </w:pPr>
      <w:r>
        <w:t>If you use Myconote_CLI in your research, please cite:</w:t>
      </w:r>
    </w:p>
    <w:p>
      <w:pPr>
        <w:spacing w:before="80" w:after="80"/>
        <w:ind w:left="576"/>
      </w:pPr>
      <w:r>
        <w:rPr>
          <w:i/>
          <w:sz w:val="20"/>
        </w:rPr>
        <w:t>Narh-Madey, B. (2026). Myconote_CLI: A modular genome annotation pipeline for eukaryotes. Hittinger Lab, University of Wisconsin–Madison.</w:t>
      </w:r>
    </w:p>
    <w:p>
      <w:pPr>
        <w:spacing w:after="100"/>
      </w:pPr>
      <w:r>
        <w:t>Please also cite the individual tools used in your analysis (Augustus, SNAP, GlimmerHMM, PASA, Trinity, eggNOG-mapper, BUSCO, antiSMASH, RepeatModeler).</w:t>
      </w:r>
    </w:p>
    <w:p>
      <w:pPr>
        <w:pStyle w:val="Heading2"/>
      </w:pPr>
      <w:r>
        <w:t>Contact</w:t>
      </w:r>
    </w:p>
    <w:tbl>
      <w:tblPr>
        <w:tblStyle w:val="TableGrid"/>
        <w:tblW w:type="auto" w:w="0"/>
        <w:jc w:val="left"/>
        <w:tblLook w:firstColumn="1" w:firstRow="1" w:lastColumn="0" w:lastRow="0" w:noHBand="0" w:noVBand="1" w:val="04A0"/>
      </w:tblPr>
      <w:tblGrid>
        <w:gridCol w:w="4680"/>
        <w:gridCol w:w="4680"/>
      </w:tblGrid>
      <w:tr>
        <w:tc>
          <w:tcPr>
            <w:tcW w:type="dxa" w:w="2160"/>
            <w:vAlign w:val="center"/>
            <w:shd w:val="clear" w:color="auto" w:fill="2E74B5"/>
          </w:tcPr>
          <w:p>
            <w:pPr>
              <w:jc w:val="center"/>
            </w:pPr>
            <w:r>
              <w:rPr>
                <w:b/>
                <w:color w:val="FFFFFF"/>
                <w:sz w:val="19"/>
              </w:rPr>
            </w:r>
          </w:p>
        </w:tc>
        <w:tc>
          <w:tcPr>
            <w:tcW w:type="dxa" w:w="7920"/>
            <w:vAlign w:val="center"/>
            <w:shd w:val="clear" w:color="auto" w:fill="2E74B5"/>
          </w:tcPr>
          <w:p>
            <w:pPr>
              <w:jc w:val="center"/>
            </w:pPr>
            <w:r>
              <w:rPr>
                <w:b/>
                <w:color w:val="FFFFFF"/>
                <w:sz w:val="19"/>
              </w:rPr>
            </w:r>
          </w:p>
        </w:tc>
      </w:tr>
      <w:tr>
        <w:tc>
          <w:tcPr>
            <w:tcW w:type="dxa" w:w="2160"/>
            <w:shd w:val="clear" w:color="auto" w:fill="FFFFFF"/>
          </w:tcPr>
          <w:p>
            <w:r>
              <w:rPr>
                <w:sz w:val="19"/>
              </w:rPr>
              <w:t>Author</w:t>
            </w:r>
          </w:p>
        </w:tc>
        <w:tc>
          <w:tcPr>
            <w:tcW w:type="dxa" w:w="7920"/>
            <w:shd w:val="clear" w:color="auto" w:fill="FFFFFF"/>
          </w:tcPr>
          <w:p>
            <w:r>
              <w:rPr>
                <w:sz w:val="19"/>
              </w:rPr>
              <w:t>Benjamin Narh-Madey</w:t>
            </w:r>
          </w:p>
        </w:tc>
      </w:tr>
      <w:tr>
        <w:tc>
          <w:tcPr>
            <w:tcW w:type="dxa" w:w="2160"/>
            <w:shd w:val="clear" w:color="auto" w:fill="EEF3F9"/>
          </w:tcPr>
          <w:p>
            <w:r>
              <w:rPr>
                <w:sz w:val="19"/>
              </w:rPr>
              <w:t>Email</w:t>
            </w:r>
          </w:p>
        </w:tc>
        <w:tc>
          <w:tcPr>
            <w:tcW w:type="dxa" w:w="7920"/>
            <w:shd w:val="clear" w:color="auto" w:fill="EEF3F9"/>
          </w:tcPr>
          <w:p>
            <w:r>
              <w:rPr>
                <w:sz w:val="19"/>
              </w:rPr>
              <w:t>narhmadey@wisc.edu</w:t>
            </w:r>
          </w:p>
        </w:tc>
      </w:tr>
      <w:tr>
        <w:tc>
          <w:tcPr>
            <w:tcW w:type="dxa" w:w="2160"/>
            <w:shd w:val="clear" w:color="auto" w:fill="FFFFFF"/>
          </w:tcPr>
          <w:p>
            <w:r>
              <w:rPr>
                <w:sz w:val="19"/>
              </w:rPr>
              <w:t>Lab</w:t>
            </w:r>
          </w:p>
        </w:tc>
        <w:tc>
          <w:tcPr>
            <w:tcW w:type="dxa" w:w="7920"/>
            <w:shd w:val="clear" w:color="auto" w:fill="FFFFFF"/>
          </w:tcPr>
          <w:p>
            <w:r>
              <w:rPr>
                <w:sz w:val="19"/>
              </w:rPr>
              <w:t>Hittinger Lab, University of Wisconsin–Madison</w:t>
            </w:r>
          </w:p>
        </w:tc>
      </w:tr>
      <w:tr>
        <w:tc>
          <w:tcPr>
            <w:tcW w:type="dxa" w:w="2160"/>
            <w:shd w:val="clear" w:color="auto" w:fill="EEF3F9"/>
          </w:tcPr>
          <w:p>
            <w:r>
              <w:rPr>
                <w:sz w:val="19"/>
              </w:rPr>
              <w:t>Repository</w:t>
            </w:r>
          </w:p>
        </w:tc>
        <w:tc>
          <w:tcPr>
            <w:tcW w:type="dxa" w:w="7920"/>
            <w:shd w:val="clear" w:color="auto" w:fill="EEF3F9"/>
          </w:tcPr>
          <w:p>
            <w:r>
              <w:rPr>
                <w:sz w:val="19"/>
              </w:rPr>
              <w:t>https://github.com/K-nie/myconote-cli</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