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401" w:rsidRDefault="008B1948" w:rsidP="008B1948">
      <w:pPr>
        <w:jc w:val="both"/>
        <w:rPr>
          <w:rFonts w:ascii="Times New Roman" w:hAnsi="Times New Roman" w:cs="Times New Roman"/>
          <w:sz w:val="24"/>
          <w:szCs w:val="24"/>
        </w:rPr>
      </w:pPr>
      <w:r w:rsidRPr="008B1948">
        <w:rPr>
          <w:rFonts w:ascii="Times New Roman" w:hAnsi="Times New Roman" w:cs="Times New Roman"/>
          <w:sz w:val="24"/>
          <w:szCs w:val="24"/>
        </w:rPr>
        <w:t>MANIFESTO CIBORGUE: CIÊNCIA, TECNOLOGIA E FEMINISMO-SOCIALISTA NO FINAL DO SÉCULO XX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948">
        <w:rPr>
          <w:rFonts w:ascii="Times New Roman" w:hAnsi="Times New Roman" w:cs="Times New Roman"/>
          <w:sz w:val="24"/>
          <w:szCs w:val="24"/>
        </w:rPr>
        <w:t>- DONNA J. HARAWAY</w:t>
      </w:r>
    </w:p>
    <w:p w:rsidR="008B1948" w:rsidRDefault="008B1948" w:rsidP="008B194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Itagiba de Albuquerque Neto</w:t>
      </w:r>
    </w:p>
    <w:p w:rsidR="008B1948" w:rsidRDefault="008B1948" w:rsidP="008B194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34E2F" w:rsidRDefault="008B1948" w:rsidP="00734E2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4E2F">
        <w:rPr>
          <w:rFonts w:ascii="Times New Roman" w:hAnsi="Times New Roman" w:cs="Times New Roman"/>
          <w:sz w:val="24"/>
          <w:szCs w:val="24"/>
        </w:rPr>
        <w:t>O texto se trata de um ensaio que parte do que a autora chama de um esforço para construir um mito político</w:t>
      </w:r>
      <w:r w:rsidR="008D165F" w:rsidRPr="00734E2F">
        <w:rPr>
          <w:rFonts w:ascii="Times New Roman" w:hAnsi="Times New Roman" w:cs="Times New Roman"/>
          <w:sz w:val="24"/>
          <w:szCs w:val="24"/>
        </w:rPr>
        <w:t xml:space="preserve"> pleno de ironia, fiel ao feminismo, socialismo e materialismo que se fundamenta na produção imagética do </w:t>
      </w:r>
      <w:proofErr w:type="spellStart"/>
      <w:r w:rsidR="008D165F" w:rsidRPr="00734E2F">
        <w:rPr>
          <w:rFonts w:ascii="Times New Roman" w:hAnsi="Times New Roman" w:cs="Times New Roman"/>
          <w:sz w:val="24"/>
          <w:szCs w:val="24"/>
        </w:rPr>
        <w:t>ciborgue</w:t>
      </w:r>
      <w:proofErr w:type="spellEnd"/>
      <w:r w:rsidR="008D165F" w:rsidRPr="00734E2F">
        <w:rPr>
          <w:rFonts w:ascii="Times New Roman" w:hAnsi="Times New Roman" w:cs="Times New Roman"/>
          <w:sz w:val="24"/>
          <w:szCs w:val="24"/>
        </w:rPr>
        <w:t>.</w:t>
      </w:r>
      <w:r w:rsidR="00734E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E2F" w:rsidRDefault="00860735" w:rsidP="00734E2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4E2F">
        <w:rPr>
          <w:rFonts w:ascii="Times New Roman" w:hAnsi="Times New Roman" w:cs="Times New Roman"/>
          <w:sz w:val="24"/>
          <w:szCs w:val="24"/>
        </w:rPr>
        <w:t xml:space="preserve">Para Donna </w:t>
      </w:r>
      <w:proofErr w:type="spellStart"/>
      <w:r w:rsidRPr="00734E2F">
        <w:rPr>
          <w:rFonts w:ascii="Times New Roman" w:hAnsi="Times New Roman" w:cs="Times New Roman"/>
          <w:sz w:val="24"/>
          <w:szCs w:val="24"/>
        </w:rPr>
        <w:t>Haraway</w:t>
      </w:r>
      <w:proofErr w:type="spellEnd"/>
      <w:r w:rsidRPr="00734E2F">
        <w:rPr>
          <w:rFonts w:ascii="Times New Roman" w:hAnsi="Times New Roman" w:cs="Times New Roman"/>
          <w:sz w:val="24"/>
          <w:szCs w:val="24"/>
        </w:rPr>
        <w:t>, “este ensaio é um argumento em favor do prazer da confusão de fronteiras, bem como em favor da responsabilidade em sua construção”.</w:t>
      </w:r>
      <w:r w:rsidR="00734E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E2F" w:rsidRDefault="008D165F" w:rsidP="00734E2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4E2F">
        <w:rPr>
          <w:rFonts w:ascii="Times New Roman" w:hAnsi="Times New Roman" w:cs="Times New Roman"/>
          <w:sz w:val="24"/>
          <w:szCs w:val="24"/>
        </w:rPr>
        <w:t xml:space="preserve">No que tange ao conceito de </w:t>
      </w:r>
      <w:proofErr w:type="spellStart"/>
      <w:r w:rsidRPr="00734E2F">
        <w:rPr>
          <w:rFonts w:ascii="Times New Roman" w:hAnsi="Times New Roman" w:cs="Times New Roman"/>
          <w:sz w:val="24"/>
          <w:szCs w:val="24"/>
        </w:rPr>
        <w:t>ciborgue</w:t>
      </w:r>
      <w:proofErr w:type="spellEnd"/>
      <w:r w:rsidRPr="00734E2F">
        <w:rPr>
          <w:rFonts w:ascii="Times New Roman" w:hAnsi="Times New Roman" w:cs="Times New Roman"/>
          <w:sz w:val="24"/>
          <w:szCs w:val="24"/>
        </w:rPr>
        <w:t xml:space="preserve">, pode-se entender como “um organismo cibernético, um híbrido de máquina e organismo, uma criatura de realidade social e também uma criatura de ficção” (pag. 36), mas tomado de tal modo que não há fronteira entre ficção científica e realidade social. E assim sendo, o </w:t>
      </w:r>
      <w:proofErr w:type="spellStart"/>
      <w:r w:rsidRPr="00734E2F">
        <w:rPr>
          <w:rFonts w:ascii="Times New Roman" w:hAnsi="Times New Roman" w:cs="Times New Roman"/>
          <w:sz w:val="24"/>
          <w:szCs w:val="24"/>
        </w:rPr>
        <w:t>ciborgue</w:t>
      </w:r>
      <w:proofErr w:type="spellEnd"/>
      <w:r w:rsidRPr="00734E2F">
        <w:rPr>
          <w:rFonts w:ascii="Times New Roman" w:hAnsi="Times New Roman" w:cs="Times New Roman"/>
          <w:sz w:val="24"/>
          <w:szCs w:val="24"/>
        </w:rPr>
        <w:t xml:space="preserve"> nos aparece como uma ficção que mapeia a nossa realidade social e corporal através de um recurso imaginativo</w:t>
      </w:r>
      <w:r w:rsidR="00734E2F">
        <w:rPr>
          <w:rFonts w:ascii="Times New Roman" w:hAnsi="Times New Roman" w:cs="Times New Roman"/>
          <w:sz w:val="24"/>
          <w:szCs w:val="24"/>
        </w:rPr>
        <w:t xml:space="preserve"> que determina a nossa política</w:t>
      </w:r>
      <w:r w:rsidRPr="00734E2F">
        <w:rPr>
          <w:rFonts w:ascii="Times New Roman" w:hAnsi="Times New Roman" w:cs="Times New Roman"/>
          <w:sz w:val="24"/>
          <w:szCs w:val="24"/>
        </w:rPr>
        <w:t xml:space="preserve"> </w:t>
      </w:r>
      <w:r w:rsidR="00860735" w:rsidRPr="00734E2F">
        <w:rPr>
          <w:rFonts w:ascii="Times New Roman" w:hAnsi="Times New Roman" w:cs="Times New Roman"/>
          <w:sz w:val="24"/>
          <w:szCs w:val="24"/>
        </w:rPr>
        <w:t>e da nossa realidade material.</w:t>
      </w:r>
      <w:r w:rsidR="00734E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735" w:rsidRPr="00734E2F" w:rsidRDefault="00860735" w:rsidP="00734E2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4E2F">
        <w:rPr>
          <w:rFonts w:ascii="Times New Roman" w:hAnsi="Times New Roman" w:cs="Times New Roman"/>
          <w:sz w:val="24"/>
          <w:szCs w:val="24"/>
        </w:rPr>
        <w:t xml:space="preserve">A partir dessa colocação, a autora traz uma reflexão sobre barreiras e dicotomias, defendendo que distinções entre ficção e realidade, biológico e </w:t>
      </w:r>
      <w:proofErr w:type="gramStart"/>
      <w:r w:rsidRPr="00734E2F">
        <w:rPr>
          <w:rFonts w:ascii="Times New Roman" w:hAnsi="Times New Roman" w:cs="Times New Roman"/>
          <w:sz w:val="24"/>
          <w:szCs w:val="24"/>
        </w:rPr>
        <w:t>não-biológico</w:t>
      </w:r>
      <w:proofErr w:type="gramEnd"/>
      <w:r w:rsidRPr="00734E2F">
        <w:rPr>
          <w:rFonts w:ascii="Times New Roman" w:hAnsi="Times New Roman" w:cs="Times New Roman"/>
          <w:sz w:val="24"/>
          <w:szCs w:val="24"/>
        </w:rPr>
        <w:t xml:space="preserve">, físico e não-físico são </w:t>
      </w:r>
      <w:r w:rsidR="00734E2F" w:rsidRPr="00734E2F">
        <w:rPr>
          <w:rFonts w:ascii="Times New Roman" w:hAnsi="Times New Roman" w:cs="Times New Roman"/>
          <w:sz w:val="24"/>
          <w:szCs w:val="24"/>
        </w:rPr>
        <w:t xml:space="preserve">bastante imprecisos, de forma que abre para um </w:t>
      </w:r>
      <w:r w:rsidRPr="00734E2F">
        <w:rPr>
          <w:rFonts w:ascii="Times New Roman" w:hAnsi="Times New Roman" w:cs="Times New Roman"/>
          <w:sz w:val="24"/>
          <w:szCs w:val="24"/>
        </w:rPr>
        <w:t>repensa</w:t>
      </w:r>
      <w:r w:rsidR="00734E2F" w:rsidRPr="00734E2F">
        <w:rPr>
          <w:rFonts w:ascii="Times New Roman" w:hAnsi="Times New Roman" w:cs="Times New Roman"/>
          <w:sz w:val="24"/>
          <w:szCs w:val="24"/>
        </w:rPr>
        <w:t>r</w:t>
      </w:r>
      <w:r w:rsidRPr="00734E2F">
        <w:rPr>
          <w:rFonts w:ascii="Times New Roman" w:hAnsi="Times New Roman" w:cs="Times New Roman"/>
          <w:sz w:val="24"/>
          <w:szCs w:val="24"/>
        </w:rPr>
        <w:t xml:space="preserve"> </w:t>
      </w:r>
      <w:r w:rsidR="00734E2F" w:rsidRPr="00734E2F">
        <w:rPr>
          <w:rFonts w:ascii="Times New Roman" w:hAnsi="Times New Roman" w:cs="Times New Roman"/>
          <w:sz w:val="24"/>
          <w:szCs w:val="24"/>
        </w:rPr>
        <w:t>sobre</w:t>
      </w:r>
      <w:r w:rsidRPr="00734E2F">
        <w:rPr>
          <w:rFonts w:ascii="Times New Roman" w:hAnsi="Times New Roman" w:cs="Times New Roman"/>
          <w:sz w:val="24"/>
          <w:szCs w:val="24"/>
        </w:rPr>
        <w:t xml:space="preserve"> distinção entre cultura e natureza</w:t>
      </w:r>
      <w:r w:rsidR="00734E2F" w:rsidRPr="00734E2F">
        <w:rPr>
          <w:rFonts w:ascii="Times New Roman" w:hAnsi="Times New Roman" w:cs="Times New Roman"/>
          <w:sz w:val="24"/>
          <w:szCs w:val="24"/>
        </w:rPr>
        <w:t xml:space="preserve"> através do mito do </w:t>
      </w:r>
      <w:proofErr w:type="spellStart"/>
      <w:r w:rsidR="00734E2F" w:rsidRPr="00734E2F">
        <w:rPr>
          <w:rFonts w:ascii="Times New Roman" w:hAnsi="Times New Roman" w:cs="Times New Roman"/>
          <w:sz w:val="24"/>
          <w:szCs w:val="24"/>
        </w:rPr>
        <w:t>ciborgue</w:t>
      </w:r>
      <w:proofErr w:type="spellEnd"/>
      <w:r w:rsidR="00734E2F" w:rsidRPr="00734E2F">
        <w:rPr>
          <w:rFonts w:ascii="Times New Roman" w:hAnsi="Times New Roman" w:cs="Times New Roman"/>
          <w:sz w:val="24"/>
          <w:szCs w:val="24"/>
        </w:rPr>
        <w:t xml:space="preserve"> (aqui defendido) que </w:t>
      </w:r>
      <w:r w:rsidR="00734E2F">
        <w:rPr>
          <w:rFonts w:ascii="Times New Roman" w:hAnsi="Times New Roman" w:cs="Times New Roman"/>
          <w:sz w:val="24"/>
          <w:szCs w:val="24"/>
        </w:rPr>
        <w:t>rompe</w:t>
      </w:r>
      <w:r w:rsidR="00734E2F" w:rsidRPr="00734E2F">
        <w:rPr>
          <w:rFonts w:ascii="Times New Roman" w:hAnsi="Times New Roman" w:cs="Times New Roman"/>
          <w:sz w:val="24"/>
          <w:szCs w:val="24"/>
        </w:rPr>
        <w:t xml:space="preserve"> barreiras e que traz possibilidades outras de existir</w:t>
      </w:r>
      <w:r w:rsidR="00C516B3">
        <w:rPr>
          <w:rFonts w:ascii="Times New Roman" w:hAnsi="Times New Roman" w:cs="Times New Roman"/>
          <w:sz w:val="24"/>
          <w:szCs w:val="24"/>
        </w:rPr>
        <w:t>, em especial, dentro do que se propõe, ao que tange as reflexões a cerca dos gêneros</w:t>
      </w:r>
      <w:bookmarkStart w:id="0" w:name="_GoBack"/>
      <w:bookmarkEnd w:id="0"/>
      <w:r w:rsidR="00734E2F" w:rsidRPr="00734E2F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860735" w:rsidRPr="00734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48"/>
    <w:rsid w:val="00521401"/>
    <w:rsid w:val="00734E2F"/>
    <w:rsid w:val="00860735"/>
    <w:rsid w:val="008B1948"/>
    <w:rsid w:val="008D165F"/>
    <w:rsid w:val="00C5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Itagiba</dc:creator>
  <cp:lastModifiedBy>Itagiba</cp:lastModifiedBy>
  <cp:revision>2</cp:revision>
  <dcterms:created xsi:type="dcterms:W3CDTF">2021-08-09T13:13:00Z</dcterms:created>
  <dcterms:modified xsi:type="dcterms:W3CDTF">2021-08-09T13:58:00Z</dcterms:modified>
</cp:coreProperties>
</file>