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i w:val="0"/>
          <w:color w:val="2D3748"/>
          <w:sz w:val="26"/>
        </w:rPr>
        <w:t>A PROJECT REPORT ON</w:t>
      </w:r>
    </w:p>
    <w:p>
      <w:pPr>
        <w:spacing w:before="0" w:after="120" w:line="300" w:lineRule="auto"/>
        <w:jc w:val="center"/>
      </w:pPr>
      <w:r>
        <w:rPr>
          <w:rFonts w:ascii="Times New Roman" w:hAnsi="Times New Roman"/>
          <w:b/>
          <w:i w:val="0"/>
          <w:color w:val="1A365D"/>
          <w:sz w:val="34"/>
        </w:rPr>
        <w:t>FINGUARD: REAL-TIME FINANCIAL TRANSACTION ANOMALY DETECTION &amp; FRAUD MITIGATION PLATFORM</w:t>
      </w:r>
    </w:p>
    <w:p>
      <w:pPr>
        <w:spacing w:before="0" w:after="320" w:line="276" w:lineRule="auto"/>
        <w:jc w:val="center"/>
      </w:pPr>
      <w:r>
        <w:rPr>
          <w:rFonts w:ascii="Times New Roman" w:hAnsi="Times New Roman"/>
          <w:b w:val="0"/>
          <w:i/>
          <w:color w:val="2D3748"/>
          <w:sz w:val="24"/>
        </w:rPr>
        <w:t>A Multi-Model Ensemble Architecture (XGBoost, Isolation Forest, MLP Autoencoder)</w:t>
        <w:br/>
        <w:t>with High-Throughput FastAPI Engine &amp; Unified Single-Container Docker Deployment</w:t>
      </w:r>
    </w:p>
    <w:p>
      <w:pPr>
        <w:spacing w:after="320"/>
        <w:jc w:val="center"/>
      </w:pPr>
      <w:r>
        <w:drawing>
          <wp:inline xmlns:a="http://schemas.openxmlformats.org/drawingml/2006/main" xmlns:pic="http://schemas.openxmlformats.org/drawingml/2006/picture">
            <wp:extent cx="1645920" cy="1270803"/>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645920" cy="1270803"/>
                    </a:xfrm>
                    <a:prstGeom prst="rect"/>
                  </pic:spPr>
                </pic:pic>
              </a:graphicData>
            </a:graphic>
          </wp:inline>
        </w:drawing>
      </w:r>
    </w:p>
    <w:p>
      <w:pPr>
        <w:spacing w:before="0" w:after="280" w:line="276" w:lineRule="auto"/>
        <w:jc w:val="center"/>
      </w:pPr>
      <w:r>
        <w:rPr>
          <w:rFonts w:ascii="Times New Roman" w:hAnsi="Times New Roman"/>
          <w:b/>
          <w:i w:val="0"/>
          <w:sz w:val="22"/>
        </w:rPr>
        <w:t>SUBMITTED IN PARTIAL FULFILLMENT OF THE REQUIREMENTS</w:t>
        <w:br/>
        <w:t>FOR THE DEGREE OF</w:t>
        <w:br/>
        <w:t>BACHELOR OF ENGINEERING</w:t>
        <w:br/>
        <w:t>(COMPUTER SCIENCE &amp; ENGINEERING - AI &amp; ML)</w:t>
      </w:r>
    </w:p>
    <w:p>
      <w:pPr>
        <w:spacing w:before="0" w:after="80" w:line="276" w:lineRule="auto"/>
        <w:jc w:val="center"/>
      </w:pPr>
      <w:r>
        <w:rPr>
          <w:rFonts w:ascii="Times New Roman" w:hAnsi="Times New Roman"/>
          <w:b/>
          <w:i w:val="0"/>
          <w:sz w:val="22"/>
        </w:rPr>
        <w:t>SUBMITTED BY:</w:t>
      </w:r>
    </w:p>
    <w:p>
      <w:pPr>
        <w:spacing w:before="0" w:after="40" w:line="276" w:lineRule="auto"/>
        <w:jc w:val="center"/>
      </w:pPr>
      <w:r>
        <w:rPr>
          <w:rFonts w:ascii="Times New Roman" w:hAnsi="Times New Roman"/>
          <w:b w:val="0"/>
          <w:i w:val="0"/>
          <w:sz w:val="22"/>
        </w:rPr>
        <w:t>Karan Sharma (Roll No: 01 / Seat No: B24ML01)</w:t>
      </w:r>
    </w:p>
    <w:p>
      <w:pPr>
        <w:spacing w:before="0" w:after="40" w:line="276" w:lineRule="auto"/>
        <w:jc w:val="center"/>
      </w:pPr>
      <w:r>
        <w:rPr>
          <w:rFonts w:ascii="Times New Roman" w:hAnsi="Times New Roman"/>
          <w:b w:val="0"/>
          <w:i w:val="0"/>
          <w:sz w:val="22"/>
        </w:rPr>
        <w:t>Vinay Singh (Roll No: 02 / Seat No: B24ML02)</w:t>
      </w:r>
    </w:p>
    <w:p>
      <w:pPr>
        <w:spacing w:before="0" w:after="40" w:line="276" w:lineRule="auto"/>
        <w:jc w:val="center"/>
      </w:pPr>
      <w:r>
        <w:rPr>
          <w:rFonts w:ascii="Times New Roman" w:hAnsi="Times New Roman"/>
          <w:b w:val="0"/>
          <w:i w:val="0"/>
          <w:sz w:val="22"/>
        </w:rPr>
        <w:t>Student Researcher 3 (Roll No: 03 / Seat No: B24ML03)</w:t>
      </w:r>
    </w:p>
    <w:p>
      <w:pPr>
        <w:spacing w:before="0" w:after="40" w:line="276" w:lineRule="auto"/>
        <w:jc w:val="center"/>
      </w:pPr>
      <w:r>
        <w:rPr>
          <w:rFonts w:ascii="Times New Roman" w:hAnsi="Times New Roman"/>
          <w:b w:val="0"/>
          <w:i w:val="0"/>
          <w:sz w:val="22"/>
        </w:rPr>
        <w:t>Student Researcher 4 (Roll No: 04 / Seat No: B24ML04)</w:t>
      </w:r>
    </w:p>
    <w:p>
      <w:pPr>
        <w:spacing w:before="0" w:after="40" w:line="276" w:lineRule="auto"/>
        <w:jc w:val="center"/>
      </w:pPr>
      <w:r>
        <w:rPr>
          <w:rFonts w:ascii="Times New Roman" w:hAnsi="Times New Roman"/>
          <w:b/>
          <w:i w:val="0"/>
          <w:sz w:val="22"/>
        </w:rPr>
        <w:br/>
        <w:t>Under the Guidance of</w:t>
      </w:r>
    </w:p>
    <w:p>
      <w:pPr>
        <w:spacing w:before="0" w:after="280" w:line="276" w:lineRule="auto"/>
        <w:jc w:val="center"/>
      </w:pPr>
      <w:r>
        <w:rPr>
          <w:rFonts w:ascii="Times New Roman" w:hAnsi="Times New Roman"/>
          <w:b/>
          <w:i w:val="0"/>
          <w:color w:val="1A365D"/>
          <w:sz w:val="24"/>
        </w:rPr>
        <w:t>Prof. Hemangi Bhoir</w:t>
      </w:r>
    </w:p>
    <w:p>
      <w:pPr>
        <w:spacing w:before="0" w:after="0" w:line="276" w:lineRule="auto"/>
        <w:jc w:val="center"/>
      </w:pPr>
      <w:r>
        <w:rPr>
          <w:rFonts w:ascii="Times New Roman" w:hAnsi="Times New Roman"/>
          <w:b/>
          <w:i w:val="0"/>
          <w:sz w:val="22"/>
        </w:rPr>
        <w:t>DEPARTMENT OF COMPUTER SCIENCE &amp; ENGINEERING (AI &amp; ML)</w:t>
        <w:br/>
        <w:t>Innovative Engineers and Teachers Education Society's</w:t>
        <w:br/>
        <w:t>BHARAT COLLEGE OF ENGINEERING</w:t>
        <w:br/>
        <w:t>Kanhor, Badlapur (W), Thane - 421 503</w:t>
        <w:br/>
        <w:t>(Affiliated to University of Mumbai)</w:t>
        <w:br/>
        <w:t>ACADEMIC YEAR: 2026-2027</w:t>
      </w:r>
    </w:p>
    <w:p>
      <w:r>
        <w:br w:type="page"/>
      </w:r>
    </w:p>
    <w:p>
      <w:pPr>
        <w:spacing w:before="0" w:after="40" w:line="276" w:lineRule="auto"/>
        <w:jc w:val="center"/>
      </w:pPr>
      <w:r>
        <w:rPr>
          <w:rFonts w:ascii="Times New Roman" w:hAnsi="Times New Roman"/>
          <w:b/>
          <w:i w:val="0"/>
          <w:color w:val="1A365D"/>
          <w:sz w:val="32"/>
        </w:rPr>
        <w:t>BHARAT COLLEGE OF ENGINEERING</w:t>
      </w:r>
    </w:p>
    <w:p>
      <w:pPr>
        <w:spacing w:before="0" w:after="240" w:line="276" w:lineRule="auto"/>
        <w:jc w:val="center"/>
      </w:pPr>
      <w:r>
        <w:rPr>
          <w:rFonts w:ascii="Times New Roman" w:hAnsi="Times New Roman"/>
          <w:b w:val="0"/>
          <w:i w:val="0"/>
          <w:sz w:val="22"/>
        </w:rPr>
        <w:t>Kanhor, Badlapur (W), Thane - 421 503</w:t>
        <w:br/>
        <w:t>Department of Computer Science &amp; Engineering (AI &amp; ML)</w:t>
        <w:br/>
      </w:r>
    </w:p>
    <w:p>
      <w:pPr>
        <w:spacing w:before="0" w:after="320" w:line="276" w:lineRule="auto"/>
        <w:jc w:val="center"/>
      </w:pPr>
      <w:r>
        <w:rPr>
          <w:rFonts w:ascii="Times New Roman" w:hAnsi="Times New Roman"/>
          <w:b/>
          <w:i w:val="0"/>
          <w:color w:val="1A365D"/>
          <w:sz w:val="32"/>
        </w:rPr>
        <w:t>CERTIFICATE</w:t>
      </w:r>
    </w:p>
    <w:p>
      <w:pPr>
        <w:spacing w:before="0" w:after="280" w:line="300" w:lineRule="auto"/>
        <w:jc w:val="both"/>
      </w:pPr>
      <w:r>
        <w:rPr>
          <w:rFonts w:ascii="Times New Roman" w:hAnsi="Times New Roman"/>
          <w:b w:val="0"/>
          <w:i w:val="0"/>
          <w:sz w:val="24"/>
        </w:rPr>
        <w:t>This is to certify that the project entitled "FINGUARD: REAL-TIME FINANCIAL TRANSACTION ANOMALY DETECTION &amp; FRAUD MITIGATION PLATFORM" is a bonafide record of work successfully carried out by Karan Sharma (Roll No: 01), Vinay Singh (Roll No: 02), Student Researcher 3 (Roll No: 03), and Student Researcher 4 (Roll No: 04) in partial fulfillment of the requirements for the award of the Degree of Bachelor of Engineering in Computer Science &amp; Engineering (Artificial Intelligence &amp; Machine Learning) from the University of Mumbai during the academic year 2026-2027.</w:t>
      </w:r>
    </w:p>
    <w:p>
      <w:pPr>
        <w:spacing w:before="0" w:after="640" w:line="300" w:lineRule="auto"/>
        <w:jc w:val="both"/>
      </w:pPr>
      <w:r>
        <w:rPr>
          <w:rFonts w:ascii="Times New Roman" w:hAnsi="Times New Roman"/>
          <w:b w:val="0"/>
          <w:i w:val="0"/>
          <w:sz w:val="24"/>
        </w:rPr>
        <w:t>This project has been conducted under our direct supervision and guidance, satisfying all curriculum, academic, and statutory requirements of the University of Mumbai syllabus.</w:t>
      </w:r>
    </w:p>
    <w:tbl>
      <w:tblPr>
        <w:tblW w:type="auto" w:w="0"/>
        <w:jc w:val="center"/>
        <w:tblLook w:firstColumn="1" w:firstRow="1" w:lastColumn="0" w:lastRow="0" w:noHBand="0" w:noVBand="1" w:val="04A0"/>
      </w:tblPr>
      <w:tblGrid>
        <w:gridCol w:w="4500"/>
        <w:gridCol w:w="4500"/>
      </w:tblGrid>
      <w:tr>
        <w:tc>
          <w:tcPr>
            <w:tcW w:type="dxa" w:w="4464"/>
          </w:tcPr>
          <w:p>
            <w:pPr>
              <w:jc w:val="center"/>
            </w:pPr>
            <w:r>
              <w:rPr>
                <w:b/>
              </w:rPr>
              <w:t>_________________________</w:t>
              <w:br/>
              <w:t>Prof. Hemangi Bhoir</w:t>
              <w:br/>
              <w:t>Supervisor / Guide</w:t>
              <w:br/>
              <w:t>Dept. of CSE (AI &amp; ML)</w:t>
            </w:r>
          </w:p>
        </w:tc>
        <w:tc>
          <w:tcPr>
            <w:tcW w:type="dxa" w:w="4464"/>
          </w:tcPr>
          <w:p>
            <w:pPr>
              <w:jc w:val="center"/>
            </w:pPr>
            <w:r>
              <w:rPr>
                <w:b/>
              </w:rPr>
              <w:t>_________________________</w:t>
              <w:br/>
              <w:t>Prof. Pratiksha Shinde</w:t>
              <w:br/>
              <w:t>Head of Department</w:t>
              <w:br/>
              <w:t>Dept. of CSE (AI &amp; ML)</w:t>
            </w:r>
          </w:p>
        </w:tc>
      </w:tr>
      <w:tr>
        <w:tc>
          <w:tcPr>
            <w:tcW w:type="dxa" w:w="4464"/>
          </w:tcPr>
          <w:p>
            <w:pPr>
              <w:spacing w:before="560"/>
              <w:jc w:val="center"/>
            </w:pPr>
            <w:r>
              <w:rPr>
                <w:b/>
              </w:rPr>
              <w:t>_________________________</w:t>
              <w:br/>
              <w:t>Internal Examiner</w:t>
            </w:r>
          </w:p>
        </w:tc>
        <w:tc>
          <w:tcPr>
            <w:tcW w:type="dxa" w:w="4464"/>
          </w:tcPr>
          <w:p>
            <w:pPr>
              <w:spacing w:before="560"/>
              <w:jc w:val="center"/>
            </w:pPr>
            <w:r>
              <w:rPr>
                <w:b/>
              </w:rPr>
              <w:t>_________________________</w:t>
              <w:br/>
              <w:t>External Examiner</w:t>
            </w:r>
          </w:p>
        </w:tc>
      </w:tr>
    </w:tbl>
    <w:p>
      <w:r>
        <w:br w:type="page"/>
      </w:r>
    </w:p>
    <w:p>
      <w:pPr>
        <w:keepNext/>
        <w:spacing w:before="360" w:after="160"/>
      </w:pPr>
      <w:r>
        <w:rPr>
          <w:rFonts w:ascii="Times New Roman" w:hAnsi="Times New Roman"/>
          <w:b/>
          <w:i w:val="0"/>
          <w:color w:val="1A365D"/>
          <w:sz w:val="32"/>
        </w:rPr>
        <w:t>ABSTRACT</w:t>
      </w:r>
    </w:p>
    <w:p>
      <w:pPr>
        <w:spacing w:before="0" w:after="160" w:line="288" w:lineRule="auto"/>
        <w:jc w:val="both"/>
      </w:pPr>
      <w:r>
        <w:rPr>
          <w:rFonts w:ascii="Times New Roman" w:hAnsi="Times New Roman"/>
          <w:b w:val="0"/>
          <w:i w:val="0"/>
          <w:sz w:val="24"/>
        </w:rPr>
        <w:t>Financial transaction fraud represents one of the most severe threats facing global digital banking systems, payment gateways, and neo-banking platforms. The rapid escalation of high-velocity electronic transactions—driven by Unified Payments Interface (UPI), real-time credit card networks, and cross-border digital merchant commerce—has rendered traditional rule-based fraud detection systems obsolete. Static threshold heuristics fail to identify sophisticated, coordinated zero-day fraud vectors such as rapid transaction velocity bursts, account takeover attacks via unknown hardware fingerprints, nocturnal high-value transfers, and geographic geofencing anomalies.</w:t>
      </w:r>
    </w:p>
    <w:p>
      <w:pPr>
        <w:spacing w:before="0" w:after="160" w:line="288" w:lineRule="auto"/>
        <w:jc w:val="both"/>
      </w:pPr>
      <w:r>
        <w:rPr>
          <w:rFonts w:ascii="Times New Roman" w:hAnsi="Times New Roman"/>
          <w:b w:val="0"/>
          <w:i w:val="0"/>
          <w:sz w:val="24"/>
        </w:rPr>
        <w:t>To resolve these critical systemic vulnerabilities, this project presents FinGuard: an autonomous, production-ready, real-time financial transaction anomaly detection platform. FinGuard is architected upon a multi-model ensemble intelligence engine combining three complementary machine learning paradigms: (1) Supervised Extreme Gradient Boosting (XGBoost, 55% weight) for discriminative pattern recognition over tabular fraud features; (2) Unsupervised Isolation Forest (iForest, 25% weight) for isolating rare out-of-distribution subspace anomalies without requiring prior ground-truth labels; and (3) Semi-supervised Deep Multi-Layer Perceptron (MLP) Reconstruction Autoencoders (20% weight) trained solely on legitimate transactional manifolds to detect subtle multi-dimensional reconstruction error shifts.</w:t>
      </w:r>
    </w:p>
    <w:p>
      <w:pPr>
        <w:spacing w:before="0" w:after="240" w:line="288" w:lineRule="auto"/>
        <w:jc w:val="both"/>
      </w:pPr>
      <w:r>
        <w:rPr>
          <w:rFonts w:ascii="Times New Roman" w:hAnsi="Times New Roman"/>
          <w:b w:val="0"/>
          <w:i w:val="0"/>
          <w:sz w:val="24"/>
        </w:rPr>
        <w:t>The ensemble risk scoring engine fuses these three probabilistic signals into an empirical risk index calibrated across tri-tier operational verdicts: APPROVE (Score &lt; 0.35), REVIEW (0.35 ≤ Score &lt; 0.70), and BLOCK (Score ≥ 0.70). On a synthetic test evaluation benchmark of 6,000 rigorously generated multi-vector transactions containing a 6% fraud injection baseline, FinGuard achieved a flawless 1.00 Precision, 0.87 Recall, 0.93 F1-Score, and an outstanding 0.94 ROC-AUC. The inference server is engineered in asynchronous FastAPI, delivering sub-15ms prediction latency. The user interface features a reactive React 18 single-page application dashboard equipped with Recharts visualization telemetry, merchant treemaps, and live streaming transaction simulation. Finally, the entire ecosystem is packaged into a unified, all-in-one multi-stage Docker container with native Dynamic DNS (DuckDNS) edge integration on finguarddd.duckdns.org, ensuring friction-free deployment on any cloud or sovereign edge infrastructure.</w:t>
      </w:r>
    </w:p>
    <w:p>
      <w:pPr>
        <w:spacing w:before="0" w:after="320" w:line="276" w:lineRule="auto"/>
        <w:jc w:val="both"/>
      </w:pPr>
      <w:r>
        <w:rPr>
          <w:rFonts w:ascii="Times New Roman" w:hAnsi="Times New Roman"/>
          <w:b/>
          <w:i/>
          <w:sz w:val="24"/>
        </w:rPr>
        <w:t>Keywords: Financial Fraud Detection, Multi-Model Ensemble, XGBoost, Isolation Forest, Deep Autoencoder, Risk Engine, FastAPI, React Dashboard, Single-Container Docker, DuckDNS Dynamic Edge.</w:t>
      </w:r>
    </w:p>
    <w:p>
      <w:pPr>
        <w:keepNext/>
        <w:spacing w:before="360" w:after="160"/>
      </w:pPr>
      <w:r>
        <w:rPr>
          <w:rFonts w:ascii="Times New Roman" w:hAnsi="Times New Roman"/>
          <w:b/>
          <w:i w:val="0"/>
          <w:color w:val="1A365D"/>
          <w:sz w:val="32"/>
        </w:rPr>
        <w:t>ACKNOWLEDGEMENTS</w:t>
      </w:r>
    </w:p>
    <w:p>
      <w:pPr>
        <w:spacing w:before="0" w:after="320" w:line="288" w:lineRule="auto"/>
        <w:jc w:val="both"/>
      </w:pPr>
      <w:r>
        <w:rPr>
          <w:rFonts w:ascii="Times New Roman" w:hAnsi="Times New Roman"/>
          <w:b w:val="0"/>
          <w:i w:val="0"/>
          <w:sz w:val="24"/>
        </w:rPr>
        <w:t>We express our deep gratitude and heartfelt thanks to our project supervisor, Prof. Hemangi Bhoir, whose relentless guidance, valuable insights, and continuous encouragement provided the intellectual compass for this research. Her technical foresight in machine learning ensembles and system architecture enabled us to navigate complex modeling challenges.</w:t>
        <w:br/>
        <w:br/>
        <w:t>We extend our sincere appreciation to Prof. Pratiksha Shinde, Head of the Department of Computer Science &amp; Engineering (AI &amp; ML), for her administrative support, infrastructural facilitation, and scholarly encouragement throughout the duration of this academic endeavor.</w:t>
        <w:br/>
        <w:br/>
        <w:t>We also convey our profound thanks to the Principal and Management of Bharat College of Engineering for providing the computational resources, laboratories, and academic ecosystem that made this endeavor possible. Lastly, we thank our parents, peers, and well-wishers for their moral and logistical support during the demanding phases of development, benchmarking, and documentation.</w:t>
      </w:r>
    </w:p>
    <w:p>
      <w:r>
        <w:br w:type="page"/>
      </w:r>
    </w:p>
    <w:p>
      <w:pPr>
        <w:keepNext/>
        <w:spacing w:before="360" w:after="160"/>
      </w:pPr>
      <w:r>
        <w:rPr>
          <w:rFonts w:ascii="Times New Roman" w:hAnsi="Times New Roman"/>
          <w:b/>
          <w:i w:val="0"/>
          <w:color w:val="1A365D"/>
          <w:sz w:val="32"/>
        </w:rPr>
        <w:t>TABLE OF CONTENTS</w:t>
      </w:r>
    </w:p>
    <w:p>
      <w:pPr>
        <w:spacing w:before="20" w:after="40" w:line="252" w:lineRule="auto"/>
      </w:pPr>
      <w:r>
        <w:rPr>
          <w:rFonts w:ascii="Times New Roman" w:hAnsi="Times New Roman"/>
          <w:b/>
          <w:i w:val="0"/>
          <w:sz w:val="21"/>
        </w:rPr>
        <w:t>Certificate</w:t>
      </w:r>
      <w:r>
        <w:rPr>
          <w:rFonts w:ascii="Times New Roman" w:hAnsi="Times New Roman"/>
          <w:b w:val="0"/>
          <w:i w:val="0"/>
          <w:color w:val="718096"/>
          <w:sz w:val="18"/>
        </w:rPr>
        <w:t xml:space="preserve"> . . . . . . . . . . . . . . . . . . . . . . . . . . . .  </w:t>
      </w:r>
      <w:r>
        <w:rPr>
          <w:rFonts w:ascii="Times New Roman" w:hAnsi="Times New Roman"/>
          <w:b/>
          <w:i w:val="0"/>
          <w:sz w:val="20"/>
        </w:rPr>
        <w:t>ii</w:t>
      </w:r>
    </w:p>
    <w:p>
      <w:pPr>
        <w:spacing w:before="20" w:after="40" w:line="252" w:lineRule="auto"/>
      </w:pPr>
      <w:r>
        <w:rPr>
          <w:rFonts w:ascii="Times New Roman" w:hAnsi="Times New Roman"/>
          <w:b/>
          <w:i w:val="0"/>
          <w:sz w:val="21"/>
        </w:rPr>
        <w:t>Abstract</w:t>
      </w:r>
      <w:r>
        <w:rPr>
          <w:rFonts w:ascii="Times New Roman" w:hAnsi="Times New Roman"/>
          <w:b w:val="0"/>
          <w:i w:val="0"/>
          <w:color w:val="718096"/>
          <w:sz w:val="18"/>
        </w:rPr>
        <w:t xml:space="preserve"> . . . . . . . . . . . . . . . . . . . . . . . . . . . . . .  </w:t>
      </w:r>
      <w:r>
        <w:rPr>
          <w:rFonts w:ascii="Times New Roman" w:hAnsi="Times New Roman"/>
          <w:b/>
          <w:i w:val="0"/>
          <w:sz w:val="20"/>
        </w:rPr>
        <w:t>iii</w:t>
      </w:r>
    </w:p>
    <w:p>
      <w:pPr>
        <w:spacing w:before="20" w:after="40" w:line="252" w:lineRule="auto"/>
      </w:pPr>
      <w:r>
        <w:rPr>
          <w:rFonts w:ascii="Times New Roman" w:hAnsi="Times New Roman"/>
          <w:b/>
          <w:i w:val="0"/>
          <w:sz w:val="21"/>
        </w:rPr>
        <w:t>Acknowledgements</w:t>
      </w:r>
      <w:r>
        <w:rPr>
          <w:rFonts w:ascii="Times New Roman" w:hAnsi="Times New Roman"/>
          <w:b w:val="0"/>
          <w:i w:val="0"/>
          <w:color w:val="718096"/>
          <w:sz w:val="18"/>
        </w:rPr>
        <w:t xml:space="preserve"> . . . . . . . . . . . . . . . . . . . . . . . . . .  </w:t>
      </w:r>
      <w:r>
        <w:rPr>
          <w:rFonts w:ascii="Times New Roman" w:hAnsi="Times New Roman"/>
          <w:b/>
          <w:i w:val="0"/>
          <w:sz w:val="20"/>
        </w:rPr>
        <w:t>iv</w:t>
      </w:r>
    </w:p>
    <w:p>
      <w:pPr>
        <w:spacing w:before="20" w:after="40" w:line="252" w:lineRule="auto"/>
      </w:pPr>
      <w:r>
        <w:rPr>
          <w:rFonts w:ascii="Times New Roman" w:hAnsi="Times New Roman"/>
          <w:b w:val="0"/>
          <w:i w:val="0"/>
          <w:sz w:val="21"/>
        </w:rPr>
        <w:t>List of Figures</w:t>
      </w:r>
      <w:r>
        <w:rPr>
          <w:rFonts w:ascii="Times New Roman" w:hAnsi="Times New Roman"/>
          <w:b w:val="0"/>
          <w:i w:val="0"/>
          <w:color w:val="718096"/>
          <w:sz w:val="18"/>
        </w:rPr>
        <w:t xml:space="preserve"> . . . . . . . . . . . . . . . . . . . . . . . . . .  </w:t>
      </w:r>
      <w:r>
        <w:rPr>
          <w:rFonts w:ascii="Times New Roman" w:hAnsi="Times New Roman"/>
          <w:b w:val="0"/>
          <w:i w:val="0"/>
          <w:sz w:val="20"/>
        </w:rPr>
        <w:t>vii</w:t>
      </w:r>
    </w:p>
    <w:p>
      <w:pPr>
        <w:spacing w:before="20" w:after="40" w:line="252" w:lineRule="auto"/>
      </w:pPr>
      <w:r>
        <w:rPr>
          <w:rFonts w:ascii="Times New Roman" w:hAnsi="Times New Roman"/>
          <w:b w:val="0"/>
          <w:i w:val="0"/>
          <w:sz w:val="21"/>
        </w:rPr>
        <w:t>List of Tables</w:t>
      </w:r>
      <w:r>
        <w:rPr>
          <w:rFonts w:ascii="Times New Roman" w:hAnsi="Times New Roman"/>
          <w:b w:val="0"/>
          <w:i w:val="0"/>
          <w:color w:val="718096"/>
          <w:sz w:val="18"/>
        </w:rPr>
        <w:t xml:space="preserve"> . . . . . . . . . . . . . . . . . . . . . . . . . . .  </w:t>
      </w:r>
      <w:r>
        <w:rPr>
          <w:rFonts w:ascii="Times New Roman" w:hAnsi="Times New Roman"/>
          <w:b w:val="0"/>
          <w:i w:val="0"/>
          <w:sz w:val="20"/>
        </w:rPr>
        <w:t>viii</w:t>
      </w:r>
    </w:p>
    <w:p>
      <w:pPr>
        <w:spacing w:before="20" w:after="40" w:line="252" w:lineRule="auto"/>
      </w:pPr>
      <w:r>
        <w:rPr>
          <w:rFonts w:ascii="Times New Roman" w:hAnsi="Times New Roman"/>
          <w:b w:val="0"/>
          <w:i w:val="0"/>
          <w:sz w:val="21"/>
        </w:rPr>
        <w:t>List of Abbreviations</w:t>
      </w:r>
      <w:r>
        <w:rPr>
          <w:rFonts w:ascii="Times New Roman" w:hAnsi="Times New Roman"/>
          <w:b w:val="0"/>
          <w:i w:val="0"/>
          <w:color w:val="718096"/>
          <w:sz w:val="18"/>
        </w:rPr>
        <w:t xml:space="preserve"> . . . . . . . . . . . . . . . . . . . . . . .  </w:t>
      </w:r>
      <w:r>
        <w:rPr>
          <w:rFonts w:ascii="Times New Roman" w:hAnsi="Times New Roman"/>
          <w:b w:val="0"/>
          <w:i w:val="0"/>
          <w:sz w:val="20"/>
        </w:rPr>
        <w:t>ix</w:t>
      </w:r>
    </w:p>
    <w:p>
      <w:pPr>
        <w:spacing w:before="20" w:after="40" w:line="252" w:lineRule="auto"/>
      </w:pPr>
      <w:r>
        <w:rPr>
          <w:rFonts w:ascii="Times New Roman" w:hAnsi="Times New Roman"/>
          <w:b/>
          <w:i w:val="0"/>
          <w:sz w:val="21"/>
        </w:rPr>
        <w:t>Chapter 1: Introduction &amp; Problem Definition</w:t>
      </w:r>
      <w:r>
        <w:rPr>
          <w:rFonts w:ascii="Times New Roman" w:hAnsi="Times New Roman"/>
          <w:b w:val="0"/>
          <w:i w:val="0"/>
          <w:color w:val="718096"/>
          <w:sz w:val="18"/>
        </w:rPr>
        <w:t xml:space="preserve"> . . . . . . . . . . . .  </w:t>
      </w:r>
      <w:r>
        <w:rPr>
          <w:rFonts w:ascii="Times New Roman" w:hAnsi="Times New Roman"/>
          <w:b/>
          <w:i w:val="0"/>
          <w:sz w:val="20"/>
        </w:rPr>
        <w:t>1</w:t>
      </w:r>
    </w:p>
    <w:p>
      <w:pPr>
        <w:spacing w:before="20" w:after="40" w:line="252" w:lineRule="auto"/>
      </w:pPr>
      <w:r>
        <w:rPr>
          <w:rFonts w:ascii="Times New Roman" w:hAnsi="Times New Roman"/>
          <w:b w:val="0"/>
          <w:i w:val="0"/>
          <w:sz w:val="21"/>
        </w:rPr>
        <w:t xml:space="preserve">    1.1 Background &amp; Motivation of Financial Fraud Detection</w:t>
      </w:r>
      <w:r>
        <w:rPr>
          <w:rFonts w:ascii="Times New Roman" w:hAnsi="Times New Roman"/>
          <w:b w:val="0"/>
          <w:i w:val="0"/>
          <w:color w:val="718096"/>
          <w:sz w:val="18"/>
        </w:rPr>
        <w:t xml:space="preserve"> . . . .  </w:t>
      </w:r>
      <w:r>
        <w:rPr>
          <w:rFonts w:ascii="Times New Roman" w:hAnsi="Times New Roman"/>
          <w:b w:val="0"/>
          <w:i w:val="0"/>
          <w:sz w:val="20"/>
        </w:rPr>
        <w:t>1</w:t>
      </w:r>
    </w:p>
    <w:p>
      <w:pPr>
        <w:spacing w:before="20" w:after="40" w:line="252" w:lineRule="auto"/>
      </w:pPr>
      <w:r>
        <w:rPr>
          <w:rFonts w:ascii="Times New Roman" w:hAnsi="Times New Roman"/>
          <w:b w:val="0"/>
          <w:i w:val="0"/>
          <w:sz w:val="21"/>
        </w:rPr>
        <w:t xml:space="preserve">    1.2 Problem Statement &amp; Industry Vulnerabilities</w:t>
      </w:r>
      <w:r>
        <w:rPr>
          <w:rFonts w:ascii="Times New Roman" w:hAnsi="Times New Roman"/>
          <w:b w:val="0"/>
          <w:i w:val="0"/>
          <w:color w:val="718096"/>
          <w:sz w:val="18"/>
        </w:rPr>
        <w:t xml:space="preserve"> . . . . . . . .  </w:t>
      </w:r>
      <w:r>
        <w:rPr>
          <w:rFonts w:ascii="Times New Roman" w:hAnsi="Times New Roman"/>
          <w:b w:val="0"/>
          <w:i w:val="0"/>
          <w:sz w:val="20"/>
        </w:rPr>
        <w:t>3</w:t>
      </w:r>
    </w:p>
    <w:p>
      <w:pPr>
        <w:spacing w:before="20" w:after="40" w:line="252" w:lineRule="auto"/>
      </w:pPr>
      <w:r>
        <w:rPr>
          <w:rFonts w:ascii="Times New Roman" w:hAnsi="Times New Roman"/>
          <w:b w:val="0"/>
          <w:i w:val="0"/>
          <w:sz w:val="21"/>
        </w:rPr>
        <w:t xml:space="preserve">    1.3 Project Aim &amp; Core Objectives</w:t>
      </w:r>
      <w:r>
        <w:rPr>
          <w:rFonts w:ascii="Times New Roman" w:hAnsi="Times New Roman"/>
          <w:b w:val="0"/>
          <w:i w:val="0"/>
          <w:color w:val="718096"/>
          <w:sz w:val="18"/>
        </w:rPr>
        <w:t xml:space="preserve"> . . . . . . . . . . . . . . .  </w:t>
      </w:r>
      <w:r>
        <w:rPr>
          <w:rFonts w:ascii="Times New Roman" w:hAnsi="Times New Roman"/>
          <w:b w:val="0"/>
          <w:i w:val="0"/>
          <w:sz w:val="20"/>
        </w:rPr>
        <w:t>4</w:t>
      </w:r>
    </w:p>
    <w:p>
      <w:pPr>
        <w:spacing w:before="20" w:after="40" w:line="252" w:lineRule="auto"/>
      </w:pPr>
      <w:r>
        <w:rPr>
          <w:rFonts w:ascii="Times New Roman" w:hAnsi="Times New Roman"/>
          <w:b w:val="0"/>
          <w:i w:val="0"/>
          <w:sz w:val="21"/>
        </w:rPr>
        <w:t xml:space="preserve">    1.4 Lab Outcomes (LO1 to LO6) &amp; Program Outcomes Curriculum Mapping</w:t>
      </w:r>
      <w:r>
        <w:rPr>
          <w:rFonts w:ascii="Times New Roman" w:hAnsi="Times New Roman"/>
          <w:b w:val="0"/>
          <w:i w:val="0"/>
          <w:color w:val="718096"/>
          <w:sz w:val="18"/>
        </w:rPr>
        <w:t xml:space="preserve"> .  </w:t>
      </w:r>
      <w:r>
        <w:rPr>
          <w:rFonts w:ascii="Times New Roman" w:hAnsi="Times New Roman"/>
          <w:b w:val="0"/>
          <w:i w:val="0"/>
          <w:sz w:val="20"/>
        </w:rPr>
        <w:t>5</w:t>
      </w:r>
    </w:p>
    <w:p>
      <w:pPr>
        <w:spacing w:before="20" w:after="40" w:line="252" w:lineRule="auto"/>
      </w:pPr>
      <w:r>
        <w:rPr>
          <w:rFonts w:ascii="Times New Roman" w:hAnsi="Times New Roman"/>
          <w:b w:val="0"/>
          <w:i w:val="0"/>
          <w:sz w:val="21"/>
        </w:rPr>
        <w:t xml:space="preserve">    1.5 Organization of the Report</w:t>
      </w:r>
      <w:r>
        <w:rPr>
          <w:rFonts w:ascii="Times New Roman" w:hAnsi="Times New Roman"/>
          <w:b w:val="0"/>
          <w:i w:val="0"/>
          <w:color w:val="718096"/>
          <w:sz w:val="18"/>
        </w:rPr>
        <w:t xml:space="preserve"> . . . . . . . . . . . . . . . . .  </w:t>
      </w:r>
      <w:r>
        <w:rPr>
          <w:rFonts w:ascii="Times New Roman" w:hAnsi="Times New Roman"/>
          <w:b w:val="0"/>
          <w:i w:val="0"/>
          <w:sz w:val="20"/>
        </w:rPr>
        <w:t>6</w:t>
      </w:r>
    </w:p>
    <w:p>
      <w:pPr>
        <w:spacing w:before="20" w:after="40" w:line="252" w:lineRule="auto"/>
      </w:pPr>
      <w:r>
        <w:rPr>
          <w:rFonts w:ascii="Times New Roman" w:hAnsi="Times New Roman"/>
          <w:b/>
          <w:i w:val="0"/>
          <w:sz w:val="21"/>
        </w:rPr>
        <w:t>Chapter 2: Literature Review &amp; Theoretical Foundations</w:t>
      </w:r>
      <w:r>
        <w:rPr>
          <w:rFonts w:ascii="Times New Roman" w:hAnsi="Times New Roman"/>
          <w:b w:val="0"/>
          <w:i w:val="0"/>
          <w:color w:val="718096"/>
          <w:sz w:val="18"/>
        </w:rPr>
        <w:t xml:space="preserve"> . . . . . . .  </w:t>
      </w:r>
      <w:r>
        <w:rPr>
          <w:rFonts w:ascii="Times New Roman" w:hAnsi="Times New Roman"/>
          <w:b/>
          <w:i w:val="0"/>
          <w:sz w:val="20"/>
        </w:rPr>
        <w:t>7</w:t>
      </w:r>
    </w:p>
    <w:p>
      <w:pPr>
        <w:spacing w:before="20" w:after="40" w:line="252" w:lineRule="auto"/>
      </w:pPr>
      <w:r>
        <w:rPr>
          <w:rFonts w:ascii="Times New Roman" w:hAnsi="Times New Roman"/>
          <w:b w:val="0"/>
          <w:i w:val="0"/>
          <w:sz w:val="21"/>
        </w:rPr>
        <w:t xml:space="preserve">    2.1 Evolution of Fraud Detection Methodologies</w:t>
      </w:r>
      <w:r>
        <w:rPr>
          <w:rFonts w:ascii="Times New Roman" w:hAnsi="Times New Roman"/>
          <w:b w:val="0"/>
          <w:i w:val="0"/>
          <w:color w:val="718096"/>
          <w:sz w:val="18"/>
        </w:rPr>
        <w:t xml:space="preserve"> . . . . . . . . .  </w:t>
      </w:r>
      <w:r>
        <w:rPr>
          <w:rFonts w:ascii="Times New Roman" w:hAnsi="Times New Roman"/>
          <w:b w:val="0"/>
          <w:i w:val="0"/>
          <w:sz w:val="20"/>
        </w:rPr>
        <w:t>7</w:t>
      </w:r>
    </w:p>
    <w:p>
      <w:pPr>
        <w:spacing w:before="20" w:after="40" w:line="252" w:lineRule="auto"/>
      </w:pPr>
      <w:r>
        <w:rPr>
          <w:rFonts w:ascii="Times New Roman" w:hAnsi="Times New Roman"/>
          <w:b w:val="0"/>
          <w:i w:val="0"/>
          <w:sz w:val="21"/>
        </w:rPr>
        <w:t xml:space="preserve">    2.2 Comparative Literature Survey Matrix</w:t>
      </w:r>
      <w:r>
        <w:rPr>
          <w:rFonts w:ascii="Times New Roman" w:hAnsi="Times New Roman"/>
          <w:b w:val="0"/>
          <w:i w:val="0"/>
          <w:color w:val="718096"/>
          <w:sz w:val="18"/>
        </w:rPr>
        <w:t xml:space="preserve"> . . . . . . . . . . . .  </w:t>
      </w:r>
      <w:r>
        <w:rPr>
          <w:rFonts w:ascii="Times New Roman" w:hAnsi="Times New Roman"/>
          <w:b w:val="0"/>
          <w:i w:val="0"/>
          <w:sz w:val="20"/>
        </w:rPr>
        <w:t>8</w:t>
      </w:r>
    </w:p>
    <w:p>
      <w:pPr>
        <w:spacing w:before="20" w:after="40" w:line="252" w:lineRule="auto"/>
      </w:pPr>
      <w:r>
        <w:rPr>
          <w:rFonts w:ascii="Times New Roman" w:hAnsi="Times New Roman"/>
          <w:b w:val="0"/>
          <w:i w:val="0"/>
          <w:sz w:val="21"/>
        </w:rPr>
        <w:t xml:space="preserve">    2.3 Mathematical Formulation of Machine Learning Models</w:t>
      </w:r>
      <w:r>
        <w:rPr>
          <w:rFonts w:ascii="Times New Roman" w:hAnsi="Times New Roman"/>
          <w:b w:val="0"/>
          <w:i w:val="0"/>
          <w:color w:val="718096"/>
          <w:sz w:val="18"/>
        </w:rPr>
        <w:t xml:space="preserve"> . . . .  </w:t>
      </w:r>
      <w:r>
        <w:rPr>
          <w:rFonts w:ascii="Times New Roman" w:hAnsi="Times New Roman"/>
          <w:b w:val="0"/>
          <w:i w:val="0"/>
          <w:sz w:val="20"/>
        </w:rPr>
        <w:t>10</w:t>
      </w:r>
    </w:p>
    <w:p>
      <w:pPr>
        <w:spacing w:before="20" w:after="40" w:line="252" w:lineRule="auto"/>
      </w:pPr>
      <w:r>
        <w:rPr>
          <w:rFonts w:ascii="Times New Roman" w:hAnsi="Times New Roman"/>
          <w:b w:val="0"/>
          <w:i w:val="0"/>
          <w:sz w:val="21"/>
        </w:rPr>
        <w:t xml:space="preserve">        2.3.1 Supervised Extreme Gradient Boosting (XGBoost)</w:t>
      </w:r>
      <w:r>
        <w:rPr>
          <w:rFonts w:ascii="Times New Roman" w:hAnsi="Times New Roman"/>
          <w:b w:val="0"/>
          <w:i w:val="0"/>
          <w:color w:val="718096"/>
          <w:sz w:val="18"/>
        </w:rPr>
        <w:t xml:space="preserve"> . . . .  </w:t>
      </w:r>
      <w:r>
        <w:rPr>
          <w:rFonts w:ascii="Times New Roman" w:hAnsi="Times New Roman"/>
          <w:b w:val="0"/>
          <w:i w:val="0"/>
          <w:sz w:val="20"/>
        </w:rPr>
        <w:t>10</w:t>
      </w:r>
    </w:p>
    <w:p>
      <w:pPr>
        <w:spacing w:before="20" w:after="40" w:line="252" w:lineRule="auto"/>
      </w:pPr>
      <w:r>
        <w:rPr>
          <w:rFonts w:ascii="Times New Roman" w:hAnsi="Times New Roman"/>
          <w:b w:val="0"/>
          <w:i w:val="0"/>
          <w:sz w:val="21"/>
        </w:rPr>
        <w:t xml:space="preserve">        2.3.2 Unsupervised Isolation Forest (iForest)</w:t>
      </w:r>
      <w:r>
        <w:rPr>
          <w:rFonts w:ascii="Times New Roman" w:hAnsi="Times New Roman"/>
          <w:b w:val="0"/>
          <w:i w:val="0"/>
          <w:color w:val="718096"/>
          <w:sz w:val="18"/>
        </w:rPr>
        <w:t xml:space="preserve"> . . . . . . .  </w:t>
      </w:r>
      <w:r>
        <w:rPr>
          <w:rFonts w:ascii="Times New Roman" w:hAnsi="Times New Roman"/>
          <w:b w:val="0"/>
          <w:i w:val="0"/>
          <w:sz w:val="20"/>
        </w:rPr>
        <w:t>12</w:t>
      </w:r>
    </w:p>
    <w:p>
      <w:pPr>
        <w:spacing w:before="20" w:after="40" w:line="252" w:lineRule="auto"/>
      </w:pPr>
      <w:r>
        <w:rPr>
          <w:rFonts w:ascii="Times New Roman" w:hAnsi="Times New Roman"/>
          <w:b w:val="0"/>
          <w:i w:val="0"/>
          <w:sz w:val="21"/>
        </w:rPr>
        <w:t xml:space="preserve">        2.3.3 Semi-Supervised Deep MLP Reconstruction Autoencoder</w:t>
      </w:r>
      <w:r>
        <w:rPr>
          <w:rFonts w:ascii="Times New Roman" w:hAnsi="Times New Roman"/>
          <w:b w:val="0"/>
          <w:i w:val="0"/>
          <w:color w:val="718096"/>
          <w:sz w:val="18"/>
        </w:rPr>
        <w:t xml:space="preserve"> .  </w:t>
      </w:r>
      <w:r>
        <w:rPr>
          <w:rFonts w:ascii="Times New Roman" w:hAnsi="Times New Roman"/>
          <w:b w:val="0"/>
          <w:i w:val="0"/>
          <w:sz w:val="20"/>
        </w:rPr>
        <w:t>13</w:t>
      </w:r>
    </w:p>
    <w:p>
      <w:pPr>
        <w:spacing w:before="20" w:after="40" w:line="252" w:lineRule="auto"/>
      </w:pPr>
      <w:r>
        <w:rPr>
          <w:rFonts w:ascii="Times New Roman" w:hAnsi="Times New Roman"/>
          <w:b w:val="0"/>
          <w:i w:val="0"/>
          <w:sz w:val="21"/>
        </w:rPr>
        <w:t xml:space="preserve">    2.4 Multi-Model Weighted Soft-Voting Risk Engine Formulation</w:t>
      </w:r>
      <w:r>
        <w:rPr>
          <w:rFonts w:ascii="Times New Roman" w:hAnsi="Times New Roman"/>
          <w:b w:val="0"/>
          <w:i w:val="0"/>
          <w:color w:val="718096"/>
          <w:sz w:val="18"/>
        </w:rPr>
        <w:t xml:space="preserve"> . .  </w:t>
      </w:r>
      <w:r>
        <w:rPr>
          <w:rFonts w:ascii="Times New Roman" w:hAnsi="Times New Roman"/>
          <w:b w:val="0"/>
          <w:i w:val="0"/>
          <w:sz w:val="20"/>
        </w:rPr>
        <w:t>14</w:t>
      </w:r>
    </w:p>
    <w:p>
      <w:pPr>
        <w:spacing w:before="20" w:after="40" w:line="252" w:lineRule="auto"/>
      </w:pPr>
      <w:r>
        <w:rPr>
          <w:rFonts w:ascii="Times New Roman" w:hAnsi="Times New Roman"/>
          <w:b/>
          <w:i w:val="0"/>
          <w:sz w:val="21"/>
        </w:rPr>
        <w:t>Chapter 3: System Analysis, Architecture &amp; Design</w:t>
      </w:r>
      <w:r>
        <w:rPr>
          <w:rFonts w:ascii="Times New Roman" w:hAnsi="Times New Roman"/>
          <w:b w:val="0"/>
          <w:i w:val="0"/>
          <w:color w:val="718096"/>
          <w:sz w:val="18"/>
        </w:rPr>
        <w:t xml:space="preserve"> . . . . . . . . .  </w:t>
      </w:r>
      <w:r>
        <w:rPr>
          <w:rFonts w:ascii="Times New Roman" w:hAnsi="Times New Roman"/>
          <w:b/>
          <w:i w:val="0"/>
          <w:sz w:val="20"/>
        </w:rPr>
        <w:t>16</w:t>
      </w:r>
    </w:p>
    <w:p>
      <w:pPr>
        <w:spacing w:before="20" w:after="40" w:line="252" w:lineRule="auto"/>
      </w:pPr>
      <w:r>
        <w:rPr>
          <w:rFonts w:ascii="Times New Roman" w:hAnsi="Times New Roman"/>
          <w:b w:val="0"/>
          <w:i w:val="0"/>
          <w:sz w:val="21"/>
        </w:rPr>
        <w:t xml:space="preserve">    3.1 Technology Stack Matrix</w:t>
      </w:r>
      <w:r>
        <w:rPr>
          <w:rFonts w:ascii="Times New Roman" w:hAnsi="Times New Roman"/>
          <w:b w:val="0"/>
          <w:i w:val="0"/>
          <w:color w:val="718096"/>
          <w:sz w:val="18"/>
        </w:rPr>
        <w:t xml:space="preserve"> . . . . . . . . . . . . . . . . . .  </w:t>
      </w:r>
      <w:r>
        <w:rPr>
          <w:rFonts w:ascii="Times New Roman" w:hAnsi="Times New Roman"/>
          <w:b w:val="0"/>
          <w:i w:val="0"/>
          <w:sz w:val="20"/>
        </w:rPr>
        <w:t>16</w:t>
      </w:r>
    </w:p>
    <w:p>
      <w:pPr>
        <w:spacing w:before="20" w:after="40" w:line="252" w:lineRule="auto"/>
      </w:pPr>
      <w:r>
        <w:rPr>
          <w:rFonts w:ascii="Times New Roman" w:hAnsi="Times New Roman"/>
          <w:b w:val="0"/>
          <w:i w:val="0"/>
          <w:sz w:val="21"/>
        </w:rPr>
        <w:t xml:space="preserve">    3.2 High-Level System Architecture &amp; Component Interaction</w:t>
      </w:r>
      <w:r>
        <w:rPr>
          <w:rFonts w:ascii="Times New Roman" w:hAnsi="Times New Roman"/>
          <w:b w:val="0"/>
          <w:i w:val="0"/>
          <w:color w:val="718096"/>
          <w:sz w:val="18"/>
        </w:rPr>
        <w:t xml:space="preserve"> . . .  </w:t>
      </w:r>
      <w:r>
        <w:rPr>
          <w:rFonts w:ascii="Times New Roman" w:hAnsi="Times New Roman"/>
          <w:b w:val="0"/>
          <w:i w:val="0"/>
          <w:sz w:val="20"/>
        </w:rPr>
        <w:t>17</w:t>
      </w:r>
    </w:p>
    <w:p>
      <w:pPr>
        <w:spacing w:before="20" w:after="40" w:line="252" w:lineRule="auto"/>
      </w:pPr>
      <w:r>
        <w:rPr>
          <w:rFonts w:ascii="Times New Roman" w:hAnsi="Times New Roman"/>
          <w:b w:val="0"/>
          <w:i w:val="0"/>
          <w:sz w:val="21"/>
        </w:rPr>
        <w:t xml:space="preserve">    3.3 Data Flow Architecture (Level 0, Level 1 &amp; Level 2)</w:t>
      </w:r>
      <w:r>
        <w:rPr>
          <w:rFonts w:ascii="Times New Roman" w:hAnsi="Times New Roman"/>
          <w:b w:val="0"/>
          <w:i w:val="0"/>
          <w:color w:val="718096"/>
          <w:sz w:val="18"/>
        </w:rPr>
        <w:t xml:space="preserve"> . . . .  </w:t>
      </w:r>
      <w:r>
        <w:rPr>
          <w:rFonts w:ascii="Times New Roman" w:hAnsi="Times New Roman"/>
          <w:b w:val="0"/>
          <w:i w:val="0"/>
          <w:sz w:val="20"/>
        </w:rPr>
        <w:t>19</w:t>
      </w:r>
    </w:p>
    <w:p>
      <w:pPr>
        <w:spacing w:before="20" w:after="40" w:line="252" w:lineRule="auto"/>
      </w:pPr>
      <w:r>
        <w:rPr>
          <w:rFonts w:ascii="Times New Roman" w:hAnsi="Times New Roman"/>
          <w:b w:val="0"/>
          <w:i w:val="0"/>
          <w:sz w:val="21"/>
        </w:rPr>
        <w:t xml:space="preserve">    3.4 Feature Engineering Pipeline &amp; Dimensionality Vectors</w:t>
      </w:r>
      <w:r>
        <w:rPr>
          <w:rFonts w:ascii="Times New Roman" w:hAnsi="Times New Roman"/>
          <w:b w:val="0"/>
          <w:i w:val="0"/>
          <w:color w:val="718096"/>
          <w:sz w:val="18"/>
        </w:rPr>
        <w:t xml:space="preserve"> . . .  </w:t>
      </w:r>
      <w:r>
        <w:rPr>
          <w:rFonts w:ascii="Times New Roman" w:hAnsi="Times New Roman"/>
          <w:b w:val="0"/>
          <w:i w:val="0"/>
          <w:sz w:val="20"/>
        </w:rPr>
        <w:t>21</w:t>
      </w:r>
    </w:p>
    <w:p>
      <w:pPr>
        <w:spacing w:before="20" w:after="40" w:line="252" w:lineRule="auto"/>
      </w:pPr>
      <w:r>
        <w:rPr>
          <w:rFonts w:ascii="Times New Roman" w:hAnsi="Times New Roman"/>
          <w:b w:val="0"/>
          <w:i w:val="0"/>
          <w:sz w:val="21"/>
        </w:rPr>
        <w:t xml:space="preserve">    3.5 Database &amp; Store Persistence Architecture (PostgreSQL / SQLite / CSV)</w:t>
      </w:r>
      <w:r>
        <w:rPr>
          <w:rFonts w:ascii="Times New Roman" w:hAnsi="Times New Roman"/>
          <w:b w:val="0"/>
          <w:i w:val="0"/>
          <w:color w:val="718096"/>
          <w:sz w:val="18"/>
        </w:rPr>
        <w:t xml:space="preserve"> .  </w:t>
      </w:r>
      <w:r>
        <w:rPr>
          <w:rFonts w:ascii="Times New Roman" w:hAnsi="Times New Roman"/>
          <w:b w:val="0"/>
          <w:i w:val="0"/>
          <w:sz w:val="20"/>
        </w:rPr>
        <w:t>22</w:t>
      </w:r>
    </w:p>
    <w:p>
      <w:pPr>
        <w:spacing w:before="20" w:after="40" w:line="252" w:lineRule="auto"/>
      </w:pPr>
      <w:r>
        <w:rPr>
          <w:rFonts w:ascii="Times New Roman" w:hAnsi="Times New Roman"/>
          <w:b w:val="0"/>
          <w:i w:val="0"/>
          <w:sz w:val="21"/>
        </w:rPr>
        <w:t xml:space="preserve">    3.6 REST API Contract &amp; Endpoint Specifications</w:t>
      </w:r>
      <w:r>
        <w:rPr>
          <w:rFonts w:ascii="Times New Roman" w:hAnsi="Times New Roman"/>
          <w:b w:val="0"/>
          <w:i w:val="0"/>
          <w:color w:val="718096"/>
          <w:sz w:val="18"/>
        </w:rPr>
        <w:t xml:space="preserve"> . . . . . . . .  </w:t>
      </w:r>
      <w:r>
        <w:rPr>
          <w:rFonts w:ascii="Times New Roman" w:hAnsi="Times New Roman"/>
          <w:b w:val="0"/>
          <w:i w:val="0"/>
          <w:sz w:val="20"/>
        </w:rPr>
        <w:t>24</w:t>
      </w:r>
    </w:p>
    <w:p>
      <w:pPr>
        <w:spacing w:before="20" w:after="40" w:line="252" w:lineRule="auto"/>
      </w:pPr>
      <w:r>
        <w:rPr>
          <w:rFonts w:ascii="Times New Roman" w:hAnsi="Times New Roman"/>
          <w:b w:val="0"/>
          <w:i w:val="0"/>
          <w:sz w:val="21"/>
        </w:rPr>
        <w:t xml:space="preserve">    3.7 Interactive Frontend Single Page Application (React 18 + Recharts)</w:t>
      </w:r>
      <w:r>
        <w:rPr>
          <w:rFonts w:ascii="Times New Roman" w:hAnsi="Times New Roman"/>
          <w:b w:val="0"/>
          <w:i w:val="0"/>
          <w:color w:val="718096"/>
          <w:sz w:val="18"/>
        </w:rPr>
        <w:t xml:space="preserve"> .  </w:t>
      </w:r>
      <w:r>
        <w:rPr>
          <w:rFonts w:ascii="Times New Roman" w:hAnsi="Times New Roman"/>
          <w:b w:val="0"/>
          <w:i w:val="0"/>
          <w:sz w:val="20"/>
        </w:rPr>
        <w:t>25</w:t>
      </w:r>
    </w:p>
    <w:p>
      <w:pPr>
        <w:spacing w:before="20" w:after="40" w:line="252" w:lineRule="auto"/>
      </w:pPr>
      <w:r>
        <w:rPr>
          <w:rFonts w:ascii="Times New Roman" w:hAnsi="Times New Roman"/>
          <w:b w:val="0"/>
          <w:i w:val="0"/>
          <w:sz w:val="21"/>
        </w:rPr>
        <w:t xml:space="preserve">    3.8 Unified Single-Container Docker Architecture &amp; DuckDNS DDNS Integration</w:t>
      </w:r>
      <w:r>
        <w:rPr>
          <w:rFonts w:ascii="Times New Roman" w:hAnsi="Times New Roman"/>
          <w:b w:val="0"/>
          <w:i w:val="0"/>
          <w:color w:val="718096"/>
          <w:sz w:val="18"/>
        </w:rPr>
        <w:t xml:space="preserve"> .  </w:t>
      </w:r>
      <w:r>
        <w:rPr>
          <w:rFonts w:ascii="Times New Roman" w:hAnsi="Times New Roman"/>
          <w:b w:val="0"/>
          <w:i w:val="0"/>
          <w:sz w:val="20"/>
        </w:rPr>
        <w:t>27</w:t>
      </w:r>
    </w:p>
    <w:p>
      <w:pPr>
        <w:spacing w:before="20" w:after="40" w:line="252" w:lineRule="auto"/>
      </w:pPr>
      <w:r>
        <w:rPr>
          <w:rFonts w:ascii="Times New Roman" w:hAnsi="Times New Roman"/>
          <w:b/>
          <w:i w:val="0"/>
          <w:sz w:val="21"/>
        </w:rPr>
        <w:t>Chapter 4: Implementation Methodology &amp; Code Workflows</w:t>
      </w:r>
      <w:r>
        <w:rPr>
          <w:rFonts w:ascii="Times New Roman" w:hAnsi="Times New Roman"/>
          <w:b w:val="0"/>
          <w:i w:val="0"/>
          <w:color w:val="718096"/>
          <w:sz w:val="18"/>
        </w:rPr>
        <w:t xml:space="preserve"> . . . . . . .  </w:t>
      </w:r>
      <w:r>
        <w:rPr>
          <w:rFonts w:ascii="Times New Roman" w:hAnsi="Times New Roman"/>
          <w:b/>
          <w:i w:val="0"/>
          <w:sz w:val="20"/>
        </w:rPr>
        <w:t>28</w:t>
      </w:r>
    </w:p>
    <w:p>
      <w:pPr>
        <w:spacing w:before="20" w:after="40" w:line="252" w:lineRule="auto"/>
      </w:pPr>
      <w:r>
        <w:rPr>
          <w:rFonts w:ascii="Times New Roman" w:hAnsi="Times New Roman"/>
          <w:b w:val="0"/>
          <w:i w:val="0"/>
          <w:sz w:val="21"/>
        </w:rPr>
        <w:t xml:space="preserve">    4.1 Synthetic Financial Transaction Dataset Generation with Injected Fraud Vectors</w:t>
      </w:r>
      <w:r>
        <w:rPr>
          <w:rFonts w:ascii="Times New Roman" w:hAnsi="Times New Roman"/>
          <w:b w:val="0"/>
          <w:i w:val="0"/>
          <w:color w:val="718096"/>
          <w:sz w:val="18"/>
        </w:rPr>
        <w:t xml:space="preserve"> .  </w:t>
      </w:r>
      <w:r>
        <w:rPr>
          <w:rFonts w:ascii="Times New Roman" w:hAnsi="Times New Roman"/>
          <w:b w:val="0"/>
          <w:i w:val="0"/>
          <w:sz w:val="20"/>
        </w:rPr>
        <w:t>28</w:t>
      </w:r>
    </w:p>
    <w:p>
      <w:pPr>
        <w:spacing w:before="20" w:after="40" w:line="252" w:lineRule="auto"/>
      </w:pPr>
      <w:r>
        <w:rPr>
          <w:rFonts w:ascii="Times New Roman" w:hAnsi="Times New Roman"/>
          <w:b w:val="0"/>
          <w:i w:val="0"/>
          <w:sz w:val="21"/>
        </w:rPr>
        <w:t xml:space="preserve">    4.2 Model Training &amp; Calibration Workflow (train.py)</w:t>
      </w:r>
      <w:r>
        <w:rPr>
          <w:rFonts w:ascii="Times New Roman" w:hAnsi="Times New Roman"/>
          <w:b w:val="0"/>
          <w:i w:val="0"/>
          <w:color w:val="718096"/>
          <w:sz w:val="18"/>
        </w:rPr>
        <w:t xml:space="preserve"> . . . . . .  </w:t>
      </w:r>
      <w:r>
        <w:rPr>
          <w:rFonts w:ascii="Times New Roman" w:hAnsi="Times New Roman"/>
          <w:b w:val="0"/>
          <w:i w:val="0"/>
          <w:sz w:val="20"/>
        </w:rPr>
        <w:t>30</w:t>
      </w:r>
    </w:p>
    <w:p>
      <w:pPr>
        <w:spacing w:before="20" w:after="40" w:line="252" w:lineRule="auto"/>
      </w:pPr>
      <w:r>
        <w:rPr>
          <w:rFonts w:ascii="Times New Roman" w:hAnsi="Times New Roman"/>
          <w:b w:val="0"/>
          <w:i w:val="0"/>
          <w:sz w:val="21"/>
        </w:rPr>
        <w:t xml:space="preserve">    4.3 Multi-Model Risk Scoring &amp; Boundary Calibration (risk_engine.py)</w:t>
      </w:r>
      <w:r>
        <w:rPr>
          <w:rFonts w:ascii="Times New Roman" w:hAnsi="Times New Roman"/>
          <w:b w:val="0"/>
          <w:i w:val="0"/>
          <w:color w:val="718096"/>
          <w:sz w:val="18"/>
        </w:rPr>
        <w:t xml:space="preserve"> .  </w:t>
      </w:r>
      <w:r>
        <w:rPr>
          <w:rFonts w:ascii="Times New Roman" w:hAnsi="Times New Roman"/>
          <w:b w:val="0"/>
          <w:i w:val="0"/>
          <w:sz w:val="20"/>
        </w:rPr>
        <w:t>32</w:t>
      </w:r>
    </w:p>
    <w:p>
      <w:pPr>
        <w:spacing w:before="20" w:after="40" w:line="252" w:lineRule="auto"/>
      </w:pPr>
      <w:r>
        <w:rPr>
          <w:rFonts w:ascii="Times New Roman" w:hAnsi="Times New Roman"/>
          <w:b w:val="0"/>
          <w:i w:val="0"/>
          <w:sz w:val="21"/>
        </w:rPr>
        <w:t xml:space="preserve">    4.4 High-Performance Async FastAPI Backend Implementation (api/main.py)</w:t>
      </w:r>
      <w:r>
        <w:rPr>
          <w:rFonts w:ascii="Times New Roman" w:hAnsi="Times New Roman"/>
          <w:b w:val="0"/>
          <w:i w:val="0"/>
          <w:color w:val="718096"/>
          <w:sz w:val="18"/>
        </w:rPr>
        <w:t xml:space="preserve"> .  </w:t>
      </w:r>
      <w:r>
        <w:rPr>
          <w:rFonts w:ascii="Times New Roman" w:hAnsi="Times New Roman"/>
          <w:b w:val="0"/>
          <w:i w:val="0"/>
          <w:sz w:val="20"/>
        </w:rPr>
        <w:t>33</w:t>
      </w:r>
    </w:p>
    <w:p>
      <w:pPr>
        <w:spacing w:before="20" w:after="40" w:line="252" w:lineRule="auto"/>
      </w:pPr>
      <w:r>
        <w:rPr>
          <w:rFonts w:ascii="Times New Roman" w:hAnsi="Times New Roman"/>
          <w:b w:val="0"/>
          <w:i w:val="0"/>
          <w:sz w:val="21"/>
        </w:rPr>
        <w:t xml:space="preserve">    4.5 Single-Container Multi-Stage Docker Build &amp; Daemon Entrypoint</w:t>
      </w:r>
      <w:r>
        <w:rPr>
          <w:rFonts w:ascii="Times New Roman" w:hAnsi="Times New Roman"/>
          <w:b w:val="0"/>
          <w:i w:val="0"/>
          <w:color w:val="718096"/>
          <w:sz w:val="18"/>
        </w:rPr>
        <w:t xml:space="preserve"> .  </w:t>
      </w:r>
      <w:r>
        <w:rPr>
          <w:rFonts w:ascii="Times New Roman" w:hAnsi="Times New Roman"/>
          <w:b w:val="0"/>
          <w:i w:val="0"/>
          <w:sz w:val="20"/>
        </w:rPr>
        <w:t>35</w:t>
      </w:r>
    </w:p>
    <w:p>
      <w:pPr>
        <w:spacing w:before="20" w:after="40" w:line="252" w:lineRule="auto"/>
      </w:pPr>
      <w:r>
        <w:rPr>
          <w:rFonts w:ascii="Times New Roman" w:hAnsi="Times New Roman"/>
          <w:b w:val="0"/>
          <w:i w:val="0"/>
          <w:sz w:val="21"/>
        </w:rPr>
        <w:t xml:space="preserve">    4.6 DuckDNS Dynamic DNS Edge Automation (finguarddd.duckdns.org)</w:t>
      </w:r>
      <w:r>
        <w:rPr>
          <w:rFonts w:ascii="Times New Roman" w:hAnsi="Times New Roman"/>
          <w:b w:val="0"/>
          <w:i w:val="0"/>
          <w:color w:val="718096"/>
          <w:sz w:val="18"/>
        </w:rPr>
        <w:t xml:space="preserve"> .  </w:t>
      </w:r>
      <w:r>
        <w:rPr>
          <w:rFonts w:ascii="Times New Roman" w:hAnsi="Times New Roman"/>
          <w:b w:val="0"/>
          <w:i w:val="0"/>
          <w:sz w:val="20"/>
        </w:rPr>
        <w:t>36</w:t>
      </w:r>
    </w:p>
    <w:p>
      <w:pPr>
        <w:spacing w:before="20" w:after="40" w:line="252" w:lineRule="auto"/>
      </w:pPr>
      <w:r>
        <w:rPr>
          <w:rFonts w:ascii="Times New Roman" w:hAnsi="Times New Roman"/>
          <w:b/>
          <w:i w:val="0"/>
          <w:sz w:val="21"/>
        </w:rPr>
        <w:t>Chapter 5: Project Management, Testing &amp; Experimental Evaluation</w:t>
      </w:r>
      <w:r>
        <w:rPr>
          <w:rFonts w:ascii="Times New Roman" w:hAnsi="Times New Roman"/>
          <w:b w:val="0"/>
          <w:i w:val="0"/>
          <w:color w:val="718096"/>
          <w:sz w:val="18"/>
        </w:rPr>
        <w:t xml:space="preserve"> . .  </w:t>
      </w:r>
      <w:r>
        <w:rPr>
          <w:rFonts w:ascii="Times New Roman" w:hAnsi="Times New Roman"/>
          <w:b/>
          <w:i w:val="0"/>
          <w:sz w:val="20"/>
        </w:rPr>
        <w:t>37</w:t>
      </w:r>
    </w:p>
    <w:p>
      <w:pPr>
        <w:spacing w:before="20" w:after="40" w:line="252" w:lineRule="auto"/>
      </w:pPr>
      <w:r>
        <w:rPr>
          <w:rFonts w:ascii="Times New Roman" w:hAnsi="Times New Roman"/>
          <w:b w:val="0"/>
          <w:i w:val="0"/>
          <w:sz w:val="21"/>
        </w:rPr>
        <w:t xml:space="preserve">    5.1 Project Work Breakdown Structure (WBS) &amp; Gantt Chart Timeline</w:t>
      </w:r>
      <w:r>
        <w:rPr>
          <w:rFonts w:ascii="Times New Roman" w:hAnsi="Times New Roman"/>
          <w:b w:val="0"/>
          <w:i w:val="0"/>
          <w:color w:val="718096"/>
          <w:sz w:val="18"/>
        </w:rPr>
        <w:t xml:space="preserve"> .  </w:t>
      </w:r>
      <w:r>
        <w:rPr>
          <w:rFonts w:ascii="Times New Roman" w:hAnsi="Times New Roman"/>
          <w:b w:val="0"/>
          <w:i w:val="0"/>
          <w:sz w:val="20"/>
        </w:rPr>
        <w:t>37</w:t>
      </w:r>
    </w:p>
    <w:p>
      <w:pPr>
        <w:spacing w:before="20" w:after="40" w:line="252" w:lineRule="auto"/>
      </w:pPr>
      <w:r>
        <w:rPr>
          <w:rFonts w:ascii="Times New Roman" w:hAnsi="Times New Roman"/>
          <w:b w:val="0"/>
          <w:i w:val="0"/>
          <w:sz w:val="21"/>
        </w:rPr>
        <w:t xml:space="preserve">    5.2 Verification &amp; Test Case Matrix (Unit, Contract &amp; Integration)</w:t>
      </w:r>
      <w:r>
        <w:rPr>
          <w:rFonts w:ascii="Times New Roman" w:hAnsi="Times New Roman"/>
          <w:b w:val="0"/>
          <w:i w:val="0"/>
          <w:color w:val="718096"/>
          <w:sz w:val="18"/>
        </w:rPr>
        <w:t xml:space="preserve"> .  </w:t>
      </w:r>
      <w:r>
        <w:rPr>
          <w:rFonts w:ascii="Times New Roman" w:hAnsi="Times New Roman"/>
          <w:b w:val="0"/>
          <w:i w:val="0"/>
          <w:sz w:val="20"/>
        </w:rPr>
        <w:t>39</w:t>
      </w:r>
    </w:p>
    <w:p>
      <w:pPr>
        <w:spacing w:before="20" w:after="40" w:line="252" w:lineRule="auto"/>
      </w:pPr>
      <w:r>
        <w:rPr>
          <w:rFonts w:ascii="Times New Roman" w:hAnsi="Times New Roman"/>
          <w:b w:val="0"/>
          <w:i w:val="0"/>
          <w:sz w:val="21"/>
        </w:rPr>
        <w:t xml:space="preserve">    5.3 Quantitative Performance Metrics (Precision, Recall, F1, ROC-AUC)</w:t>
      </w:r>
      <w:r>
        <w:rPr>
          <w:rFonts w:ascii="Times New Roman" w:hAnsi="Times New Roman"/>
          <w:b w:val="0"/>
          <w:i w:val="0"/>
          <w:color w:val="718096"/>
          <w:sz w:val="18"/>
        </w:rPr>
        <w:t xml:space="preserve"> .  </w:t>
      </w:r>
      <w:r>
        <w:rPr>
          <w:rFonts w:ascii="Times New Roman" w:hAnsi="Times New Roman"/>
          <w:b w:val="0"/>
          <w:i w:val="0"/>
          <w:sz w:val="20"/>
        </w:rPr>
        <w:t>41</w:t>
      </w:r>
    </w:p>
    <w:p>
      <w:pPr>
        <w:spacing w:before="20" w:after="40" w:line="252" w:lineRule="auto"/>
      </w:pPr>
      <w:r>
        <w:rPr>
          <w:rFonts w:ascii="Times New Roman" w:hAnsi="Times New Roman"/>
          <w:b w:val="0"/>
          <w:i w:val="0"/>
          <w:sz w:val="21"/>
        </w:rPr>
        <w:t xml:space="preserve">    5.4 Real-Time Inference Latency Benchmarks &amp; Scalability Under Load</w:t>
      </w:r>
      <w:r>
        <w:rPr>
          <w:rFonts w:ascii="Times New Roman" w:hAnsi="Times New Roman"/>
          <w:b w:val="0"/>
          <w:i w:val="0"/>
          <w:color w:val="718096"/>
          <w:sz w:val="18"/>
        </w:rPr>
        <w:t xml:space="preserve"> .  </w:t>
      </w:r>
      <w:r>
        <w:rPr>
          <w:rFonts w:ascii="Times New Roman" w:hAnsi="Times New Roman"/>
          <w:b w:val="0"/>
          <w:i w:val="0"/>
          <w:sz w:val="20"/>
        </w:rPr>
        <w:t>43</w:t>
      </w:r>
    </w:p>
    <w:p>
      <w:pPr>
        <w:spacing w:before="20" w:after="40" w:line="252" w:lineRule="auto"/>
      </w:pPr>
      <w:r>
        <w:rPr>
          <w:rFonts w:ascii="Times New Roman" w:hAnsi="Times New Roman"/>
          <w:b w:val="0"/>
          <w:i w:val="0"/>
          <w:sz w:val="21"/>
        </w:rPr>
        <w:t xml:space="preserve">    5.5 Visual Captures &amp; Diagnostic Experimental Plots</w:t>
      </w:r>
      <w:r>
        <w:rPr>
          <w:rFonts w:ascii="Times New Roman" w:hAnsi="Times New Roman"/>
          <w:b w:val="0"/>
          <w:i w:val="0"/>
          <w:color w:val="718096"/>
          <w:sz w:val="18"/>
        </w:rPr>
        <w:t xml:space="preserve"> . . . . . .  </w:t>
      </w:r>
      <w:r>
        <w:rPr>
          <w:rFonts w:ascii="Times New Roman" w:hAnsi="Times New Roman"/>
          <w:b w:val="0"/>
          <w:i w:val="0"/>
          <w:sz w:val="20"/>
        </w:rPr>
        <w:t>44</w:t>
      </w:r>
    </w:p>
    <w:p>
      <w:pPr>
        <w:spacing w:before="20" w:after="40" w:line="252" w:lineRule="auto"/>
      </w:pPr>
      <w:r>
        <w:rPr>
          <w:rFonts w:ascii="Times New Roman" w:hAnsi="Times New Roman"/>
          <w:b/>
          <w:i w:val="0"/>
          <w:sz w:val="21"/>
        </w:rPr>
        <w:t>Chapter 6: Conclusion, Limitations &amp; Future Enhancements</w:t>
      </w:r>
      <w:r>
        <w:rPr>
          <w:rFonts w:ascii="Times New Roman" w:hAnsi="Times New Roman"/>
          <w:b w:val="0"/>
          <w:i w:val="0"/>
          <w:color w:val="718096"/>
          <w:sz w:val="18"/>
        </w:rPr>
        <w:t xml:space="preserve"> . . . . . .  </w:t>
      </w:r>
      <w:r>
        <w:rPr>
          <w:rFonts w:ascii="Times New Roman" w:hAnsi="Times New Roman"/>
          <w:b/>
          <w:i w:val="0"/>
          <w:sz w:val="20"/>
        </w:rPr>
        <w:t>47</w:t>
      </w:r>
    </w:p>
    <w:p>
      <w:pPr>
        <w:spacing w:before="20" w:after="40" w:line="252" w:lineRule="auto"/>
      </w:pPr>
      <w:r>
        <w:rPr>
          <w:rFonts w:ascii="Times New Roman" w:hAnsi="Times New Roman"/>
          <w:b w:val="0"/>
          <w:i w:val="0"/>
          <w:sz w:val="21"/>
        </w:rPr>
        <w:t xml:space="preserve">    6.1 Summary of Contributions &amp; Engineering Milestones</w:t>
      </w:r>
      <w:r>
        <w:rPr>
          <w:rFonts w:ascii="Times New Roman" w:hAnsi="Times New Roman"/>
          <w:b w:val="0"/>
          <w:i w:val="0"/>
          <w:color w:val="718096"/>
          <w:sz w:val="18"/>
        </w:rPr>
        <w:t xml:space="preserve"> . . . . .  </w:t>
      </w:r>
      <w:r>
        <w:rPr>
          <w:rFonts w:ascii="Times New Roman" w:hAnsi="Times New Roman"/>
          <w:b w:val="0"/>
          <w:i w:val="0"/>
          <w:sz w:val="20"/>
        </w:rPr>
        <w:t>47</w:t>
      </w:r>
    </w:p>
    <w:p>
      <w:pPr>
        <w:spacing w:before="20" w:after="40" w:line="252" w:lineRule="auto"/>
      </w:pPr>
      <w:r>
        <w:rPr>
          <w:rFonts w:ascii="Times New Roman" w:hAnsi="Times New Roman"/>
          <w:b w:val="0"/>
          <w:i w:val="0"/>
          <w:sz w:val="21"/>
        </w:rPr>
        <w:t xml:space="preserve">    6.2 System Limitations &amp; Constraints</w:t>
      </w:r>
      <w:r>
        <w:rPr>
          <w:rFonts w:ascii="Times New Roman" w:hAnsi="Times New Roman"/>
          <w:b w:val="0"/>
          <w:i w:val="0"/>
          <w:color w:val="718096"/>
          <w:sz w:val="18"/>
        </w:rPr>
        <w:t xml:space="preserve"> . . . . . . . . . . . . . .  </w:t>
      </w:r>
      <w:r>
        <w:rPr>
          <w:rFonts w:ascii="Times New Roman" w:hAnsi="Times New Roman"/>
          <w:b w:val="0"/>
          <w:i w:val="0"/>
          <w:sz w:val="20"/>
        </w:rPr>
        <w:t>48</w:t>
      </w:r>
    </w:p>
    <w:p>
      <w:pPr>
        <w:spacing w:before="20" w:after="40" w:line="252" w:lineRule="auto"/>
      </w:pPr>
      <w:r>
        <w:rPr>
          <w:rFonts w:ascii="Times New Roman" w:hAnsi="Times New Roman"/>
          <w:b w:val="0"/>
          <w:i w:val="0"/>
          <w:sz w:val="21"/>
        </w:rPr>
        <w:t xml:space="preserve">    6.3 Future Roadmap &amp; Architectural Extensions</w:t>
      </w:r>
      <w:r>
        <w:rPr>
          <w:rFonts w:ascii="Times New Roman" w:hAnsi="Times New Roman"/>
          <w:b w:val="0"/>
          <w:i w:val="0"/>
          <w:color w:val="718096"/>
          <w:sz w:val="18"/>
        </w:rPr>
        <w:t xml:space="preserve"> . . . . . . . . .  </w:t>
      </w:r>
      <w:r>
        <w:rPr>
          <w:rFonts w:ascii="Times New Roman" w:hAnsi="Times New Roman"/>
          <w:b w:val="0"/>
          <w:i w:val="0"/>
          <w:sz w:val="20"/>
        </w:rPr>
        <w:t>49</w:t>
      </w:r>
    </w:p>
    <w:p>
      <w:pPr>
        <w:spacing w:before="20" w:after="40" w:line="252" w:lineRule="auto"/>
      </w:pPr>
      <w:r>
        <w:rPr>
          <w:rFonts w:ascii="Times New Roman" w:hAnsi="Times New Roman"/>
          <w:b/>
          <w:i w:val="0"/>
          <w:sz w:val="21"/>
        </w:rPr>
        <w:t>References / Bibliography (IEEE Standard Format)</w:t>
      </w:r>
      <w:r>
        <w:rPr>
          <w:rFonts w:ascii="Times New Roman" w:hAnsi="Times New Roman"/>
          <w:b w:val="0"/>
          <w:i w:val="0"/>
          <w:color w:val="718096"/>
          <w:sz w:val="18"/>
        </w:rPr>
        <w:t xml:space="preserve"> . . . . . . . . . .  </w:t>
      </w:r>
      <w:r>
        <w:rPr>
          <w:rFonts w:ascii="Times New Roman" w:hAnsi="Times New Roman"/>
          <w:b/>
          <w:i w:val="0"/>
          <w:sz w:val="20"/>
        </w:rPr>
        <w:t>51</w:t>
      </w:r>
    </w:p>
    <w:p>
      <w:r>
        <w:br w:type="page"/>
      </w:r>
    </w:p>
    <w:p>
      <w:pPr>
        <w:keepNext/>
        <w:spacing w:before="360" w:after="160"/>
      </w:pPr>
      <w:r>
        <w:rPr>
          <w:rFonts w:ascii="Times New Roman" w:hAnsi="Times New Roman"/>
          <w:b/>
          <w:i w:val="0"/>
          <w:color w:val="1A365D"/>
          <w:sz w:val="32"/>
        </w:rPr>
        <w:t>LIST OF FIGURES</w:t>
      </w:r>
    </w:p>
    <w:p>
      <w:pPr>
        <w:spacing w:before="40" w:after="40"/>
      </w:pPr>
      <w:r>
        <w:rPr>
          <w:b/>
        </w:rPr>
        <w:t xml:space="preserve">Figure 1.1: </w:t>
      </w:r>
      <w:r>
        <w:t>FinGuard End-to-End System Architecture Block Diagram</w:t>
      </w:r>
      <w:r>
        <w:t xml:space="preserve"> . .  </w:t>
      </w:r>
      <w:r>
        <w:rPr>
          <w:b/>
        </w:rPr>
        <w:t>18</w:t>
      </w:r>
    </w:p>
    <w:p>
      <w:pPr>
        <w:spacing w:before="40" w:after="40"/>
      </w:pPr>
      <w:r>
        <w:rPr>
          <w:b/>
        </w:rPr>
        <w:t xml:space="preserve">Figure 2.1: </w:t>
      </w:r>
      <w:r>
        <w:t>FinGuard 16-Week Project Work Breakdown &amp; Implementation Gantt Chart</w:t>
      </w:r>
      <w:r>
        <w:t xml:space="preserve">  </w:t>
      </w:r>
      <w:r>
        <w:rPr>
          <w:b/>
        </w:rPr>
        <w:t>38</w:t>
      </w:r>
    </w:p>
    <w:p>
      <w:pPr>
        <w:spacing w:before="40" w:after="40"/>
      </w:pPr>
      <w:r>
        <w:rPr>
          <w:b/>
        </w:rPr>
        <w:t xml:space="preserve">Figure 2.2: </w:t>
      </w:r>
      <w:r>
        <w:t>Tri-Model Ensemble Weight Allocation in Risk Scoring Engine</w:t>
      </w:r>
      <w:r>
        <w:t xml:space="preserve">  </w:t>
      </w:r>
      <w:r>
        <w:rPr>
          <w:b/>
        </w:rPr>
        <w:t>15</w:t>
      </w:r>
    </w:p>
    <w:p>
      <w:pPr>
        <w:spacing w:before="40" w:after="40"/>
      </w:pPr>
      <w:r>
        <w:rPr>
          <w:b/>
        </w:rPr>
        <w:t xml:space="preserve">Figure 3.1: </w:t>
      </w:r>
      <w:r>
        <w:t>Data Flow Architecture: Level-0 &amp; Level-1 Transaction Inference Pipeline</w:t>
      </w:r>
      <w:r>
        <w:t xml:space="preserve">  </w:t>
      </w:r>
      <w:r>
        <w:rPr>
          <w:b/>
        </w:rPr>
        <w:t>20</w:t>
      </w:r>
    </w:p>
    <w:p>
      <w:pPr>
        <w:spacing w:before="40" w:after="40"/>
      </w:pPr>
      <w:r>
        <w:rPr>
          <w:b/>
        </w:rPr>
        <w:t xml:space="preserve">Figure 4.1: </w:t>
      </w:r>
      <w:r>
        <w:t>FinGuard Confusion Matrix on Test Evaluation Dataset (N=1,200)</w:t>
      </w:r>
      <w:r>
        <w:t xml:space="preserve">  </w:t>
      </w:r>
      <w:r>
        <w:rPr>
          <w:b/>
        </w:rPr>
        <w:t>42</w:t>
      </w:r>
    </w:p>
    <w:p>
      <w:pPr>
        <w:spacing w:before="40" w:after="40"/>
      </w:pPr>
      <w:r>
        <w:rPr>
          <w:b/>
        </w:rPr>
        <w:t xml:space="preserve">Figure 4.2: </w:t>
      </w:r>
      <w:r>
        <w:t>Diagnostic Validation Curves: Receiver Operating Characteristic &amp; PR Curves</w:t>
      </w:r>
      <w:r>
        <w:t xml:space="preserve">  </w:t>
      </w:r>
      <w:r>
        <w:rPr>
          <w:b/>
        </w:rPr>
        <w:t>43</w:t>
      </w:r>
    </w:p>
    <w:p>
      <w:pPr>
        <w:spacing w:before="40" w:after="40"/>
      </w:pPr>
      <w:r>
        <w:rPr>
          <w:b/>
        </w:rPr>
        <w:t xml:space="preserve">Figure 4.3: </w:t>
      </w:r>
      <w:r>
        <w:t>XGBoost Supervised Relative Gini Feature Importance Ranking</w:t>
      </w:r>
      <w:r>
        <w:t xml:space="preserve">  </w:t>
      </w:r>
      <w:r>
        <w:rPr>
          <w:b/>
        </w:rPr>
        <w:t>22</w:t>
      </w:r>
    </w:p>
    <w:p>
      <w:pPr>
        <w:spacing w:before="40" w:after="40"/>
      </w:pPr>
      <w:r>
        <w:rPr>
          <w:b/>
        </w:rPr>
        <w:t xml:space="preserve">Figure 4.4: </w:t>
      </w:r>
      <w:r>
        <w:t>Empirical Risk Score Bimodal Distribution &amp; Dual Decision Thresholds</w:t>
      </w:r>
      <w:r>
        <w:t xml:space="preserve">  </w:t>
      </w:r>
      <w:r>
        <w:rPr>
          <w:b/>
        </w:rPr>
        <w:t>33</w:t>
      </w:r>
    </w:p>
    <w:p>
      <w:pPr>
        <w:spacing w:before="40" w:after="40"/>
      </w:pPr>
      <w:r>
        <w:rPr>
          <w:b/>
        </w:rPr>
        <w:t xml:space="preserve">Figure 4.5: </w:t>
      </w:r>
      <w:r>
        <w:t>Merchant Category Risk Exposure Profile &amp; Treemap Heatmap</w:t>
      </w:r>
      <w:r>
        <w:t xml:space="preserve">  </w:t>
      </w:r>
      <w:r>
        <w:rPr>
          <w:b/>
        </w:rPr>
        <w:t>26</w:t>
      </w:r>
    </w:p>
    <w:p>
      <w:pPr>
        <w:spacing w:before="40" w:after="40"/>
      </w:pPr>
      <w:r>
        <w:rPr>
          <w:b/>
        </w:rPr>
        <w:t xml:space="preserve">Figure 4.6: </w:t>
      </w:r>
      <w:r>
        <w:t>Deep MLP Autoencoder Latent Bottleneck Reconstruction Error Distribution</w:t>
      </w:r>
      <w:r>
        <w:t xml:space="preserve">  </w:t>
      </w:r>
      <w:r>
        <w:rPr>
          <w:b/>
        </w:rPr>
        <w:t>14</w:t>
      </w:r>
    </w:p>
    <w:p>
      <w:pPr>
        <w:spacing w:before="40" w:after="40"/>
      </w:pPr>
      <w:r>
        <w:rPr>
          <w:b/>
        </w:rPr>
        <w:t xml:space="preserve">Figure 5.1: </w:t>
      </w:r>
      <w:r>
        <w:t>Unified Single-Container Docker Runtime &amp; DuckDNS Edge Architecture</w:t>
      </w:r>
      <w:r>
        <w:t xml:space="preserve">  </w:t>
      </w:r>
      <w:r>
        <w:rPr>
          <w:b/>
        </w:rPr>
        <w:t>27</w:t>
      </w:r>
    </w:p>
    <w:p>
      <w:pPr>
        <w:spacing w:before="40" w:after="40"/>
      </w:pPr>
      <w:r>
        <w:rPr>
          <w:b/>
        </w:rPr>
        <w:t xml:space="preserve">Figure 5.2: </w:t>
      </w:r>
      <w:r>
        <w:t>High-Throughput REST API Execution Latency Benchmarks (&lt;50ms)</w:t>
      </w:r>
      <w:r>
        <w:t xml:space="preserve">  </w:t>
      </w:r>
      <w:r>
        <w:rPr>
          <w:b/>
        </w:rPr>
        <w:t>44</w:t>
      </w:r>
    </w:p>
    <w:p>
      <w:pPr>
        <w:spacing w:before="40" w:after="40"/>
      </w:pPr>
      <w:r>
        <w:rPr>
          <w:b/>
        </w:rPr>
        <w:t xml:space="preserve">Figure 5.3: </w:t>
      </w:r>
      <w:r>
        <w:t>Interactive React 18 Dashboard UI Architectural Wireframe</w:t>
      </w:r>
      <w:r>
        <w:t xml:space="preserve">  </w:t>
      </w:r>
      <w:r>
        <w:rPr>
          <w:b/>
        </w:rPr>
        <w:t>45</w:t>
      </w:r>
    </w:p>
    <w:p>
      <w:pPr>
        <w:keepNext/>
        <w:spacing w:before="360" w:after="160"/>
      </w:pPr>
      <w:r>
        <w:rPr>
          <w:rFonts w:ascii="Times New Roman" w:hAnsi="Times New Roman"/>
          <w:b/>
          <w:i w:val="0"/>
          <w:color w:val="1A365D"/>
          <w:sz w:val="32"/>
        </w:rPr>
        <w:t>LIST OF TABLES</w:t>
      </w:r>
    </w:p>
    <w:p>
      <w:pPr>
        <w:spacing w:before="40" w:after="40"/>
      </w:pPr>
      <w:r>
        <w:rPr>
          <w:b/>
        </w:rPr>
        <w:t xml:space="preserve">Table 1.1: </w:t>
      </w:r>
      <w:r>
        <w:t>Curriculum Lab Outcomes (LO) and Program Outcomes (PO) Mapping Matrix</w:t>
      </w:r>
      <w:r>
        <w:t xml:space="preserve">  </w:t>
      </w:r>
      <w:r>
        <w:rPr>
          <w:b/>
        </w:rPr>
        <w:t>5</w:t>
      </w:r>
    </w:p>
    <w:p>
      <w:pPr>
        <w:spacing w:before="40" w:after="40"/>
      </w:pPr>
      <w:r>
        <w:rPr>
          <w:b/>
        </w:rPr>
        <w:t xml:space="preserve">Table 2.1: </w:t>
      </w:r>
      <w:r>
        <w:t>Comprehensive Literature Survey of Financial Fraud Detection Approaches</w:t>
      </w:r>
      <w:r>
        <w:t xml:space="preserve">  </w:t>
      </w:r>
      <w:r>
        <w:rPr>
          <w:b/>
        </w:rPr>
        <w:t>9</w:t>
      </w:r>
    </w:p>
    <w:p>
      <w:pPr>
        <w:spacing w:before="40" w:after="40"/>
      </w:pPr>
      <w:r>
        <w:rPr>
          <w:b/>
        </w:rPr>
        <w:t xml:space="preserve">Table 3.1: </w:t>
      </w:r>
      <w:r>
        <w:t>Production Technology Stack &amp; Architectural Framework Allocation</w:t>
      </w:r>
      <w:r>
        <w:t xml:space="preserve">  </w:t>
      </w:r>
      <w:r>
        <w:rPr>
          <w:b/>
        </w:rPr>
        <w:t>16</w:t>
      </w:r>
    </w:p>
    <w:p>
      <w:pPr>
        <w:spacing w:before="40" w:after="40"/>
      </w:pPr>
      <w:r>
        <w:rPr>
          <w:b/>
        </w:rPr>
        <w:t xml:space="preserve">Table 3.2: </w:t>
      </w:r>
      <w:r>
        <w:t>Transformed Mathematical Feature Engineering Vector Specification</w:t>
      </w:r>
      <w:r>
        <w:t xml:space="preserve">  </w:t>
      </w:r>
      <w:r>
        <w:rPr>
          <w:b/>
        </w:rPr>
        <w:t>21</w:t>
      </w:r>
    </w:p>
    <w:p>
      <w:pPr>
        <w:spacing w:before="40" w:after="40"/>
      </w:pPr>
      <w:r>
        <w:rPr>
          <w:b/>
        </w:rPr>
        <w:t xml:space="preserve">Table 3.3: </w:t>
      </w:r>
      <w:r>
        <w:t>Relational Database Schema Definition (PostgreSQL / SQLite DDL)</w:t>
      </w:r>
      <w:r>
        <w:t xml:space="preserve">  </w:t>
      </w:r>
      <w:r>
        <w:rPr>
          <w:b/>
        </w:rPr>
        <w:t>23</w:t>
      </w:r>
    </w:p>
    <w:p>
      <w:pPr>
        <w:spacing w:before="40" w:after="40"/>
      </w:pPr>
      <w:r>
        <w:rPr>
          <w:b/>
        </w:rPr>
        <w:t xml:space="preserve">Table 3.4: </w:t>
      </w:r>
      <w:r>
        <w:t>FastAPI Inference REST Contract &amp; Operational Endpoint Specification</w:t>
      </w:r>
      <w:r>
        <w:t xml:space="preserve">  </w:t>
      </w:r>
      <w:r>
        <w:rPr>
          <w:b/>
        </w:rPr>
        <w:t>24</w:t>
      </w:r>
    </w:p>
    <w:p>
      <w:pPr>
        <w:spacing w:before="40" w:after="40"/>
      </w:pPr>
      <w:r>
        <w:rPr>
          <w:b/>
        </w:rPr>
        <w:t xml:space="preserve">Table 5.1: </w:t>
      </w:r>
      <w:r>
        <w:t>Verification Test Cases Execution &amp; Validation Acceptance Matrix (TC-01 to TC-16)</w:t>
      </w:r>
      <w:r>
        <w:t xml:space="preserve">  </w:t>
      </w:r>
      <w:r>
        <w:rPr>
          <w:b/>
        </w:rPr>
        <w:t>40</w:t>
      </w:r>
    </w:p>
    <w:p>
      <w:pPr>
        <w:spacing w:before="40" w:after="40"/>
      </w:pPr>
      <w:r>
        <w:rPr>
          <w:b/>
        </w:rPr>
        <w:t xml:space="preserve">Table 5.2: </w:t>
      </w:r>
      <w:r>
        <w:t>Comparative Multi-Model Performance Metric Benchmark Summary</w:t>
      </w:r>
      <w:r>
        <w:t xml:space="preserve">  </w:t>
      </w:r>
      <w:r>
        <w:rPr>
          <w:b/>
        </w:rPr>
        <w:t>41</w:t>
      </w:r>
    </w:p>
    <w:p>
      <w:pPr>
        <w:keepNext/>
        <w:spacing w:before="360" w:after="160"/>
      </w:pPr>
      <w:r>
        <w:rPr>
          <w:rFonts w:ascii="Times New Roman" w:hAnsi="Times New Roman"/>
          <w:b/>
          <w:i w:val="0"/>
          <w:color w:val="1A365D"/>
          <w:sz w:val="32"/>
        </w:rPr>
        <w:t>LIST OF ABBREVIATIONS</w:t>
      </w:r>
    </w:p>
    <w:p>
      <w:pPr>
        <w:spacing w:before="20" w:after="40"/>
      </w:pPr>
      <w:r>
        <w:rPr>
          <w:rFonts w:ascii="Consolas" w:hAnsi="Consolas"/>
          <w:b/>
          <w:i w:val="0"/>
          <w:color w:val="1A365D"/>
          <w:sz w:val="20"/>
        </w:rPr>
        <w:t xml:space="preserve">AI / ML      : </w:t>
      </w:r>
      <w:r>
        <w:t>Artificial Intelligence / Machine Learning</w:t>
      </w:r>
    </w:p>
    <w:p>
      <w:pPr>
        <w:spacing w:before="20" w:after="40"/>
      </w:pPr>
      <w:r>
        <w:rPr>
          <w:rFonts w:ascii="Consolas" w:hAnsi="Consolas"/>
          <w:b/>
          <w:i w:val="0"/>
          <w:color w:val="1A365D"/>
          <w:sz w:val="20"/>
        </w:rPr>
        <w:t xml:space="preserve">XGBoost      : </w:t>
      </w:r>
      <w:r>
        <w:t>Extreme Gradient Boosting Decision Tree Classifier</w:t>
      </w:r>
    </w:p>
    <w:p>
      <w:pPr>
        <w:spacing w:before="20" w:after="40"/>
      </w:pPr>
      <w:r>
        <w:rPr>
          <w:rFonts w:ascii="Consolas" w:hAnsi="Consolas"/>
          <w:b/>
          <w:i w:val="0"/>
          <w:color w:val="1A365D"/>
          <w:sz w:val="20"/>
        </w:rPr>
        <w:t xml:space="preserve">iForest      : </w:t>
      </w:r>
      <w:r>
        <w:t>Isolation Forest Tree-Partitioning Anomaly Detector</w:t>
      </w:r>
    </w:p>
    <w:p>
      <w:pPr>
        <w:spacing w:before="20" w:after="40"/>
      </w:pPr>
      <w:r>
        <w:rPr>
          <w:rFonts w:ascii="Consolas" w:hAnsi="Consolas"/>
          <w:b/>
          <w:i w:val="0"/>
          <w:color w:val="1A365D"/>
          <w:sz w:val="20"/>
        </w:rPr>
        <w:t xml:space="preserve">MLP          : </w:t>
      </w:r>
      <w:r>
        <w:t>Multi-Layer Perceptron Artificial Neural Network</w:t>
      </w:r>
    </w:p>
    <w:p>
      <w:pPr>
        <w:spacing w:before="20" w:after="40"/>
      </w:pPr>
      <w:r>
        <w:rPr>
          <w:rFonts w:ascii="Consolas" w:hAnsi="Consolas"/>
          <w:b/>
          <w:i w:val="0"/>
          <w:color w:val="1A365D"/>
          <w:sz w:val="20"/>
        </w:rPr>
        <w:t xml:space="preserve">AE           : </w:t>
      </w:r>
      <w:r>
        <w:t>Reconstruction Autoencoder Neural Network</w:t>
      </w:r>
    </w:p>
    <w:p>
      <w:pPr>
        <w:spacing w:before="20" w:after="40"/>
      </w:pPr>
      <w:r>
        <w:rPr>
          <w:rFonts w:ascii="Consolas" w:hAnsi="Consolas"/>
          <w:b/>
          <w:i w:val="0"/>
          <w:color w:val="1A365D"/>
          <w:sz w:val="20"/>
        </w:rPr>
        <w:t xml:space="preserve">REST         : </w:t>
      </w:r>
      <w:r>
        <w:t>Representational State Transfer Architectural Style</w:t>
      </w:r>
    </w:p>
    <w:p>
      <w:pPr>
        <w:spacing w:before="20" w:after="40"/>
      </w:pPr>
      <w:r>
        <w:rPr>
          <w:rFonts w:ascii="Consolas" w:hAnsi="Consolas"/>
          <w:b/>
          <w:i w:val="0"/>
          <w:color w:val="1A365D"/>
          <w:sz w:val="20"/>
        </w:rPr>
        <w:t xml:space="preserve">API          : </w:t>
      </w:r>
      <w:r>
        <w:t>Application Programming Interface</w:t>
      </w:r>
    </w:p>
    <w:p>
      <w:pPr>
        <w:spacing w:before="20" w:after="40"/>
      </w:pPr>
      <w:r>
        <w:rPr>
          <w:rFonts w:ascii="Consolas" w:hAnsi="Consolas"/>
          <w:b/>
          <w:i w:val="0"/>
          <w:color w:val="1A365D"/>
          <w:sz w:val="20"/>
        </w:rPr>
        <w:t xml:space="preserve">DDNS         : </w:t>
      </w:r>
      <w:r>
        <w:t>Dynamic Domain Name System (DuckDNS Protocol)</w:t>
      </w:r>
    </w:p>
    <w:p>
      <w:pPr>
        <w:spacing w:before="20" w:after="40"/>
      </w:pPr>
      <w:r>
        <w:rPr>
          <w:rFonts w:ascii="Consolas" w:hAnsi="Consolas"/>
          <w:b/>
          <w:i w:val="0"/>
          <w:color w:val="1A365D"/>
          <w:sz w:val="20"/>
        </w:rPr>
        <w:t xml:space="preserve">SPA          : </w:t>
      </w:r>
      <w:r>
        <w:t>Single Page Application (React 18 Architecture)</w:t>
      </w:r>
    </w:p>
    <w:p>
      <w:pPr>
        <w:spacing w:before="20" w:after="40"/>
      </w:pPr>
      <w:r>
        <w:rPr>
          <w:rFonts w:ascii="Consolas" w:hAnsi="Consolas"/>
          <w:b/>
          <w:i w:val="0"/>
          <w:color w:val="1A365D"/>
          <w:sz w:val="20"/>
        </w:rPr>
        <w:t xml:space="preserve">ROC-AUC      : </w:t>
      </w:r>
      <w:r>
        <w:t>Receiver Operating Characteristic - Area Under the Curve</w:t>
      </w:r>
    </w:p>
    <w:p>
      <w:pPr>
        <w:spacing w:before="20" w:after="40"/>
      </w:pPr>
      <w:r>
        <w:rPr>
          <w:rFonts w:ascii="Consolas" w:hAnsi="Consolas"/>
          <w:b/>
          <w:i w:val="0"/>
          <w:color w:val="1A365D"/>
          <w:sz w:val="20"/>
        </w:rPr>
        <w:t xml:space="preserve">PR-AUC       : </w:t>
      </w:r>
      <w:r>
        <w:t>Precision-Recall - Area Under the Curve</w:t>
      </w:r>
    </w:p>
    <w:p>
      <w:pPr>
        <w:spacing w:before="20" w:after="40"/>
      </w:pPr>
      <w:r>
        <w:rPr>
          <w:rFonts w:ascii="Consolas" w:hAnsi="Consolas"/>
          <w:b/>
          <w:i w:val="0"/>
          <w:color w:val="1A365D"/>
          <w:sz w:val="20"/>
        </w:rPr>
        <w:t xml:space="preserve">MSE          : </w:t>
      </w:r>
      <w:r>
        <w:t>Mean Squared Error Loss Function</w:t>
      </w:r>
    </w:p>
    <w:p>
      <w:pPr>
        <w:spacing w:before="20" w:after="40"/>
      </w:pPr>
      <w:r>
        <w:rPr>
          <w:rFonts w:ascii="Consolas" w:hAnsi="Consolas"/>
          <w:b/>
          <w:i w:val="0"/>
          <w:color w:val="1A365D"/>
          <w:sz w:val="20"/>
        </w:rPr>
        <w:t xml:space="preserve">DDL          : </w:t>
      </w:r>
      <w:r>
        <w:t>Data Definition Language (SQL Schema Specifications)</w:t>
      </w:r>
    </w:p>
    <w:p>
      <w:pPr>
        <w:spacing w:before="20" w:after="40"/>
      </w:pPr>
      <w:r>
        <w:rPr>
          <w:rFonts w:ascii="Consolas" w:hAnsi="Consolas"/>
          <w:b/>
          <w:i w:val="0"/>
          <w:color w:val="1A365D"/>
          <w:sz w:val="20"/>
        </w:rPr>
        <w:t xml:space="preserve">WBS          : </w:t>
      </w:r>
      <w:r>
        <w:t>Work Breakdown Structure (Project Management Lifecycle)</w:t>
      </w:r>
    </w:p>
    <w:p>
      <w:pPr>
        <w:spacing w:before="20" w:after="40"/>
      </w:pPr>
      <w:r>
        <w:rPr>
          <w:rFonts w:ascii="Consolas" w:hAnsi="Consolas"/>
          <w:b/>
          <w:i w:val="0"/>
          <w:color w:val="1A365D"/>
          <w:sz w:val="20"/>
        </w:rPr>
        <w:t xml:space="preserve">POS          : </w:t>
      </w:r>
      <w:r>
        <w:t>Point of Sale Merchant Processing Terminal</w:t>
      </w:r>
    </w:p>
    <w:p>
      <w:pPr>
        <w:spacing w:before="20" w:after="40"/>
      </w:pPr>
      <w:r>
        <w:rPr>
          <w:rFonts w:ascii="Consolas" w:hAnsi="Consolas"/>
          <w:b/>
          <w:i w:val="0"/>
          <w:color w:val="1A365D"/>
          <w:sz w:val="20"/>
        </w:rPr>
        <w:t xml:space="preserve">UPI          : </w:t>
      </w:r>
      <w:r>
        <w:t>Unified Payments Interface Real-Time Payment Network</w:t>
      </w:r>
    </w:p>
    <w:p>
      <w:pPr>
        <w:spacing w:before="20" w:after="40"/>
      </w:pPr>
      <w:r>
        <w:rPr>
          <w:rFonts w:ascii="Consolas" w:hAnsi="Consolas"/>
          <w:b/>
          <w:i w:val="0"/>
          <w:color w:val="1A365D"/>
          <w:sz w:val="20"/>
        </w:rPr>
        <w:t xml:space="preserve">CORS         : </w:t>
      </w:r>
      <w:r>
        <w:t>Cross-Origin Resource Sharing Browser Security Policy</w:t>
      </w:r>
    </w:p>
    <w:p>
      <w:pPr>
        <w:spacing w:before="20" w:after="40"/>
      </w:pPr>
      <w:r>
        <w:rPr>
          <w:rFonts w:ascii="Consolas" w:hAnsi="Consolas"/>
          <w:b/>
          <w:i w:val="0"/>
          <w:color w:val="1A365D"/>
          <w:sz w:val="20"/>
        </w:rPr>
        <w:t xml:space="preserve">TLS          : </w:t>
      </w:r>
      <w:r>
        <w:t>Transport Layer Security Cryptographic Protocol</w:t>
      </w:r>
    </w:p>
    <w:p>
      <w:r>
        <w:br w:type="page"/>
      </w:r>
    </w:p>
    <w:p>
      <w:pPr>
        <w:keepNext/>
        <w:spacing w:before="360" w:after="160"/>
      </w:pPr>
      <w:r>
        <w:rPr>
          <w:rFonts w:ascii="Times New Roman" w:hAnsi="Times New Roman"/>
          <w:b/>
          <w:i w:val="0"/>
          <w:color w:val="1A365D"/>
          <w:sz w:val="32"/>
        </w:rPr>
        <w:t>Chapter 1: Introduction &amp; Problem Definition</w:t>
      </w:r>
    </w:p>
    <w:p>
      <w:pPr>
        <w:keepNext/>
        <w:spacing w:before="280" w:after="120"/>
      </w:pPr>
      <w:r>
        <w:rPr>
          <w:rFonts w:ascii="Times New Roman" w:hAnsi="Times New Roman"/>
          <w:b/>
          <w:i w:val="0"/>
          <w:color w:val="2D3748"/>
          <w:sz w:val="28"/>
        </w:rPr>
        <w:t>1.1 Background &amp; Motivation of Financial Fraud Detection</w:t>
      </w:r>
    </w:p>
    <w:p>
      <w:pPr>
        <w:spacing w:before="0" w:after="200" w:line="288" w:lineRule="auto"/>
        <w:jc w:val="both"/>
      </w:pPr>
      <w:r>
        <w:rPr>
          <w:rFonts w:ascii="Times New Roman" w:hAnsi="Times New Roman"/>
          <w:b w:val="0"/>
          <w:i w:val="0"/>
          <w:sz w:val="24"/>
        </w:rPr>
        <w:t>The exponential digitization of global commerce, spurred by high-speed electronic funds transfer networks, mobile banking applications, and instant peer-to-peer settlement systems (such as India's UPI, SEPA Instant Credit Transfer, and FedNow), has fundamentally reshaped modern financial ecosystems. While this revolution has reduced transactional frictions and brought millions of unbanked citizens into formal financial systems, it has simultaneously exposed banking infrastructure to unprecedented levels of sophisticated cyber-fraud and financial crime.</w:t>
        <w:br/>
        <w:br/>
        <w:t>According to contemporary financial intelligence reports, annual global losses attributable to payment card fraud, authorized push payment (APP) scams, and automated bot credential-stuffing exceed $38 billion USD. Traditional payment gateways and legacy banking cores historically relied on static expert rules—rigid IF-THEN conditional heuristics (e.g., 'Flag if transaction amount &gt; ₹50,000' or 'Flag if country is outside home jurisdiction'). While simple to audit, these legacy mechanisms possess fatal structural weaknesses: they are completely brittle, blind to non-linear correlations, and generate staggering false-positive rates (frequently exceeding 80%), which inflicts severe customer friction, transaction abandonment, and operational fatigue on compliance teams.</w:t>
        <w:br/>
        <w:br/>
        <w:t>Furthermore, contemporary fraud syndicates operate with industrialized automation. Fraudsters systematically probe transaction limits, employ automated device-spoofing emulators, execute coordinated micro-bursts of transactional velocity, and operate during vulnerable off-peak nocturnal windows (typically 1:00 AM to 4:00 AM local time). Under such dynamic adversarial conditions, static rules fail to generalize to unseen zero-day fraud tactics. Machine learning (ML) models, by contrast, possess the capacity to extract subtle statistical signatures across multi-dimensional feature topologies, detecting anomalies with microsecond latency.</w:t>
      </w:r>
    </w:p>
    <w:p>
      <w:pPr>
        <w:keepNext/>
        <w:spacing w:before="280" w:after="120"/>
      </w:pPr>
      <w:r>
        <w:rPr>
          <w:rFonts w:ascii="Times New Roman" w:hAnsi="Times New Roman"/>
          <w:b/>
          <w:i w:val="0"/>
          <w:color w:val="2D3748"/>
          <w:sz w:val="28"/>
        </w:rPr>
        <w:t>1.2 Problem Statement &amp; Industry Vulnerabilities</w:t>
      </w:r>
    </w:p>
    <w:p>
      <w:pPr>
        <w:spacing w:before="0" w:after="120" w:line="276" w:lineRule="auto"/>
        <w:jc w:val="both"/>
      </w:pPr>
      <w:r>
        <w:rPr>
          <w:rFonts w:ascii="Times New Roman" w:hAnsi="Times New Roman"/>
          <w:b w:val="0"/>
          <w:i w:val="0"/>
          <w:sz w:val="24"/>
        </w:rPr>
        <w:t>The core problem addressed by this project is the inability of existing commercial fraud engines to provide high-precision, low-latency, and explainable fraud scores that simultaneously resist zero-day fraud patterns without drowning compliance officers in false alarms.</w:t>
        <w:br/>
        <w:br/>
        <w:t>Specifically, four systemic vulnerabilities afflict current fraud detection architectures:</w:t>
      </w:r>
    </w:p>
    <w:p>
      <w:pPr>
        <w:spacing w:after="80"/>
        <w:ind w:left="432"/>
      </w:pPr>
      <w:r>
        <w:rPr>
          <w:rFonts w:ascii="Times New Roman" w:hAnsi="Times New Roman"/>
          <w:b/>
          <w:i w:val="0"/>
          <w:color w:val="1A365D"/>
          <w:sz w:val="23"/>
        </w:rPr>
        <w:t xml:space="preserve">1. High False Positive Ratio &amp; Customer Friction: </w:t>
      </w:r>
      <w:r>
        <w:rPr>
          <w:rFonts w:ascii="Times New Roman" w:hAnsi="Times New Roman"/>
          <w:b w:val="0"/>
          <w:i w:val="0"/>
          <w:sz w:val="23"/>
        </w:rPr>
        <w:t>Simple supervised classifiers or static thresholds flag thousands of legitimate transactions during seasonal spending or travel, damaging merchant reputation and frustrating high-net-worth cardholders.</w:t>
      </w:r>
    </w:p>
    <w:p>
      <w:pPr>
        <w:spacing w:after="80"/>
        <w:ind w:left="432"/>
      </w:pPr>
      <w:r>
        <w:rPr>
          <w:rFonts w:ascii="Times New Roman" w:hAnsi="Times New Roman"/>
          <w:b/>
          <w:i w:val="0"/>
          <w:color w:val="1A365D"/>
          <w:sz w:val="23"/>
        </w:rPr>
        <w:t xml:space="preserve">2. Vulnerability to Zero-Day Unlabeled Attack Vectors: </w:t>
      </w:r>
      <w:r>
        <w:rPr>
          <w:rFonts w:ascii="Times New Roman" w:hAnsi="Times New Roman"/>
          <w:b w:val="0"/>
          <w:i w:val="0"/>
          <w:sz w:val="23"/>
        </w:rPr>
        <w:t>Purely supervised models (e.g., traditional logistic regressions or basic neural nets) require historical labeled fraud instances to learn. When an adversarial syndicate introduces an unprecedented fraud mechanism (e.g., synthetic identity burst velocity), supervised models fail completely.</w:t>
      </w:r>
    </w:p>
    <w:p>
      <w:pPr>
        <w:spacing w:after="80"/>
        <w:ind w:left="432"/>
      </w:pPr>
      <w:r>
        <w:rPr>
          <w:rFonts w:ascii="Times New Roman" w:hAnsi="Times New Roman"/>
          <w:b/>
          <w:i w:val="0"/>
          <w:color w:val="1A365D"/>
          <w:sz w:val="23"/>
        </w:rPr>
        <w:t xml:space="preserve">3. Extreme Class Imbalance &amp; Model Degeneracy: </w:t>
      </w:r>
      <w:r>
        <w:rPr>
          <w:rFonts w:ascii="Times New Roman" w:hAnsi="Times New Roman"/>
          <w:b w:val="0"/>
          <w:i w:val="0"/>
          <w:sz w:val="23"/>
        </w:rPr>
        <w:t>In real-world transaction streams, fraud constitutes less than 1% to 6% of total transaction volume. Standard objective functions default to predicting the majority class, leading to deceptively high overall accuracy while catastrophic fraud slips through unnoticed.</w:t>
      </w:r>
    </w:p>
    <w:p>
      <w:pPr>
        <w:spacing w:after="80"/>
        <w:ind w:left="432"/>
      </w:pPr>
      <w:r>
        <w:rPr>
          <w:rFonts w:ascii="Times New Roman" w:hAnsi="Times New Roman"/>
          <w:b/>
          <w:i w:val="0"/>
          <w:color w:val="1A365D"/>
          <w:sz w:val="23"/>
        </w:rPr>
        <w:t xml:space="preserve">4. Monolithic Architectural Inflexibility &amp; Deployment Complexity: </w:t>
      </w:r>
      <w:r>
        <w:rPr>
          <w:rFonts w:ascii="Times New Roman" w:hAnsi="Times New Roman"/>
          <w:b w:val="0"/>
          <w:i w:val="0"/>
          <w:sz w:val="23"/>
        </w:rPr>
        <w:t>Enterprise fraud engines frequently require sprawling distributed clusters, proprietary cloud database contracts, and complex microservice fabrics, rendering them inaccessible for rapid edge deployment, local compliance sandboxes, or agile fintech startups.</w:t>
      </w:r>
    </w:p>
    <w:p>
      <w:pPr>
        <w:keepNext/>
        <w:spacing w:before="280" w:after="120"/>
      </w:pPr>
      <w:r>
        <w:rPr>
          <w:rFonts w:ascii="Times New Roman" w:hAnsi="Times New Roman"/>
          <w:b/>
          <w:i w:val="0"/>
          <w:color w:val="2D3748"/>
          <w:sz w:val="28"/>
        </w:rPr>
        <w:t>1.3 Project Aim &amp; Core Objectives</w:t>
      </w:r>
    </w:p>
    <w:p>
      <w:pPr>
        <w:spacing w:before="0" w:after="120" w:line="276" w:lineRule="auto"/>
        <w:jc w:val="both"/>
      </w:pPr>
      <w:r>
        <w:rPr>
          <w:rFonts w:ascii="Times New Roman" w:hAnsi="Times New Roman"/>
          <w:b w:val="0"/>
          <w:i w:val="0"/>
          <w:sz w:val="24"/>
        </w:rPr>
        <w:t>The primary aim of FinGuard is to design, construct, and validate a resilient, real-time financial anomaly detection and fraud mitigation platform leveraging a synergistic tri-model machine learning ensemble, backed by a high-performance asynchronous API and an intuitive visual dashboard.</w:t>
        <w:br/>
        <w:br/>
        <w:t>To achieve this overarching aim, the project defines the following specific, measurable technical objectives:</w:t>
      </w:r>
    </w:p>
    <w:p>
      <w:pPr>
        <w:spacing w:after="80"/>
        <w:ind w:left="432"/>
      </w:pPr>
      <w:r>
        <w:rPr>
          <w:rFonts w:ascii="Times New Roman" w:hAnsi="Times New Roman"/>
          <w:b/>
          <w:i w:val="0"/>
          <w:color w:val="2D3748"/>
          <w:sz w:val="23"/>
        </w:rPr>
        <w:t xml:space="preserve">Objective 1 (Dataset Engineering): </w:t>
      </w:r>
      <w:r>
        <w:rPr>
          <w:rFonts w:ascii="Times New Roman" w:hAnsi="Times New Roman"/>
          <w:b w:val="0"/>
          <w:i w:val="0"/>
          <w:sz w:val="23"/>
        </w:rPr>
        <w:t>Generate a statistically authentic synthetic dataset of 6,000 multi-attribute financial transactions featuring controlled fraud injections (value spikes, nocturnal timing, unknown devices, and burst velocity) to establish an objective evaluation benchmark.</w:t>
      </w:r>
    </w:p>
    <w:p>
      <w:pPr>
        <w:spacing w:after="80"/>
        <w:ind w:left="432"/>
      </w:pPr>
      <w:r>
        <w:rPr>
          <w:rFonts w:ascii="Times New Roman" w:hAnsi="Times New Roman"/>
          <w:b/>
          <w:i w:val="0"/>
          <w:color w:val="2D3748"/>
          <w:sz w:val="23"/>
        </w:rPr>
        <w:t xml:space="preserve">Objective 2 (Feature Engineering Pipeline): </w:t>
      </w:r>
      <w:r>
        <w:rPr>
          <w:rFonts w:ascii="Times New Roman" w:hAnsi="Times New Roman"/>
          <w:b w:val="0"/>
          <w:i w:val="0"/>
          <w:sz w:val="23"/>
        </w:rPr>
        <w:t>Construct a robust mathematical vector transformation pipeline that encodes categorical attributes (merchant, location, device), derives non-linear velocity ratios, and standardizes continuous distributions.</w:t>
      </w:r>
    </w:p>
    <w:p>
      <w:pPr>
        <w:spacing w:after="80"/>
        <w:ind w:left="432"/>
      </w:pPr>
      <w:r>
        <w:rPr>
          <w:rFonts w:ascii="Times New Roman" w:hAnsi="Times New Roman"/>
          <w:b/>
          <w:i w:val="0"/>
          <w:color w:val="2D3748"/>
          <w:sz w:val="23"/>
        </w:rPr>
        <w:t xml:space="preserve">Objective 3 (Tri-Model Machine Learning Ensemble): </w:t>
      </w:r>
      <w:r>
        <w:rPr>
          <w:rFonts w:ascii="Times New Roman" w:hAnsi="Times New Roman"/>
          <w:b w:val="0"/>
          <w:i w:val="0"/>
          <w:sz w:val="23"/>
        </w:rPr>
        <w:t>Implement and train three complementary algorithmic models: Supervised XGBoost (55% weight), Unsupervised Isolation Forest (25% weight), and Deep MLP Autoencoder (20% weight), combining supervised precision with unsupervised zero-day anomaly isolation.</w:t>
      </w:r>
    </w:p>
    <w:p>
      <w:pPr>
        <w:spacing w:after="80"/>
        <w:ind w:left="432"/>
      </w:pPr>
      <w:r>
        <w:rPr>
          <w:rFonts w:ascii="Times New Roman" w:hAnsi="Times New Roman"/>
          <w:b/>
          <w:i w:val="0"/>
          <w:color w:val="2D3748"/>
          <w:sz w:val="23"/>
        </w:rPr>
        <w:t xml:space="preserve">Objective 4 (Calibrated Risk Scoring Engine): </w:t>
      </w:r>
      <w:r>
        <w:rPr>
          <w:rFonts w:ascii="Times New Roman" w:hAnsi="Times New Roman"/>
          <w:b w:val="0"/>
          <w:i w:val="0"/>
          <w:sz w:val="23"/>
        </w:rPr>
        <w:t>Formulate a multi-criteria risk engine that outputs continuous normalized risk scores [0.0, 1.0] and categorizes transactions into actionable operational decisions: APPROVE (&lt;0.35), REVIEW (0.35 - 0.70), and BLOCK (≥0.70).</w:t>
      </w:r>
    </w:p>
    <w:p>
      <w:pPr>
        <w:spacing w:after="80"/>
        <w:ind w:left="432"/>
      </w:pPr>
      <w:r>
        <w:rPr>
          <w:rFonts w:ascii="Times New Roman" w:hAnsi="Times New Roman"/>
          <w:b/>
          <w:i w:val="0"/>
          <w:color w:val="2D3748"/>
          <w:sz w:val="23"/>
        </w:rPr>
        <w:t xml:space="preserve">Objective 5 (High-Throughput Asynchronous Inference Server): </w:t>
      </w:r>
      <w:r>
        <w:rPr>
          <w:rFonts w:ascii="Times New Roman" w:hAnsi="Times New Roman"/>
          <w:b w:val="0"/>
          <w:i w:val="0"/>
          <w:sz w:val="23"/>
        </w:rPr>
        <w:t>Develop an enterprise-grade FastAPI REST server capable of single-transaction (&lt;15ms) and batch scoring, supporting dual persistence backends (PostgreSQL with seamless CSV fallback).</w:t>
      </w:r>
    </w:p>
    <w:p>
      <w:pPr>
        <w:spacing w:after="80"/>
        <w:ind w:left="432"/>
      </w:pPr>
      <w:r>
        <w:rPr>
          <w:rFonts w:ascii="Times New Roman" w:hAnsi="Times New Roman"/>
          <w:b/>
          <w:i w:val="0"/>
          <w:color w:val="2D3748"/>
          <w:sz w:val="23"/>
        </w:rPr>
        <w:t xml:space="preserve">Objective 6 (Interactive Visual Telemetry Dashboard): </w:t>
      </w:r>
      <w:r>
        <w:rPr>
          <w:rFonts w:ascii="Times New Roman" w:hAnsi="Times New Roman"/>
          <w:b w:val="0"/>
          <w:i w:val="0"/>
          <w:sz w:val="23"/>
        </w:rPr>
        <w:t>Build a responsive React 18 single-page application dashboard featuring Recharts telemetry, real-time transaction streaming, merchant category treemaps, and manual fraud simulation probes.</w:t>
      </w:r>
    </w:p>
    <w:p>
      <w:pPr>
        <w:spacing w:after="80"/>
        <w:ind w:left="432"/>
      </w:pPr>
      <w:r>
        <w:rPr>
          <w:rFonts w:ascii="Times New Roman" w:hAnsi="Times New Roman"/>
          <w:b/>
          <w:i w:val="0"/>
          <w:color w:val="2D3748"/>
          <w:sz w:val="23"/>
        </w:rPr>
        <w:t xml:space="preserve">Objective 7 (Unified Containerization &amp; Dynamic Edge Networking): </w:t>
      </w:r>
      <w:r>
        <w:rPr>
          <w:rFonts w:ascii="Times New Roman" w:hAnsi="Times New Roman"/>
          <w:b w:val="0"/>
          <w:i w:val="0"/>
          <w:sz w:val="23"/>
        </w:rPr>
        <w:t>Encapsulate the entire full-stack ecosystem into a single-container multi-stage Docker image, automated via an intelligent entrypoint script and bound to dynamic DNS on finguarddd.duckdns.org.</w:t>
      </w:r>
    </w:p>
    <w:p>
      <w:pPr>
        <w:keepNext/>
        <w:spacing w:before="280" w:after="120"/>
      </w:pPr>
      <w:r>
        <w:rPr>
          <w:rFonts w:ascii="Times New Roman" w:hAnsi="Times New Roman"/>
          <w:b/>
          <w:i w:val="0"/>
          <w:color w:val="2D3748"/>
          <w:sz w:val="28"/>
        </w:rPr>
        <w:t>1.4 Lab Outcomes &amp; Program Outcomes Curriculum Mapping</w:t>
      </w:r>
    </w:p>
    <w:p>
      <w:pPr>
        <w:spacing w:before="0" w:after="160" w:line="276" w:lineRule="auto"/>
        <w:jc w:val="both"/>
      </w:pPr>
      <w:r>
        <w:rPr>
          <w:rFonts w:ascii="Times New Roman" w:hAnsi="Times New Roman"/>
          <w:b w:val="0"/>
          <w:i w:val="0"/>
          <w:sz w:val="24"/>
        </w:rPr>
        <w:t>In accordance with the outcome-based education (OBE) curriculum guidelines prescribed by the University of Mumbai for the Department of Computer Science &amp; Engineering (Artificial Intelligence &amp; Machine Learning), the development of FinGuard directly maps to and satisfies the core Lab Outcomes (LOs) and Program Outcomes (POs) as detailed in Table 1.1.</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3000"/>
        <w:gridCol w:w="3000"/>
        <w:gridCol w:w="3000"/>
      </w:tblGrid>
      <w:tr>
        <w:trPr>
          <w:cantSplit/>
        </w:trPr>
        <w:tc>
          <w:tcPr>
            <w:tcW w:type="dxa" w:w="3000"/>
            <w:shd w:fill="EBF8FF"/>
            <w:tcMar>
              <w:top w:w="120" w:type="dxa"/>
              <w:bottom w:w="120" w:type="dxa"/>
              <w:left w:w="160" w:type="dxa"/>
              <w:right w:w="160" w:type="dxa"/>
            </w:tcMar>
            <w:vAlign w:val="center"/>
          </w:tcPr>
          <w:p>
            <w:r>
              <w:rPr>
                <w:b/>
              </w:rPr>
              <w:t>Curriculum Outcome</w:t>
            </w:r>
          </w:p>
        </w:tc>
        <w:tc>
          <w:tcPr>
            <w:tcW w:type="dxa" w:w="3000"/>
            <w:shd w:fill="EBF8FF"/>
            <w:tcMar>
              <w:top w:w="120" w:type="dxa"/>
              <w:bottom w:w="120" w:type="dxa"/>
              <w:left w:w="160" w:type="dxa"/>
              <w:right w:w="160" w:type="dxa"/>
            </w:tcMar>
            <w:vAlign w:val="center"/>
          </w:tcPr>
          <w:p>
            <w:r>
              <w:rPr>
                <w:b/>
              </w:rPr>
              <w:t>Prescribed Academic Competency</w:t>
            </w:r>
          </w:p>
        </w:tc>
        <w:tc>
          <w:tcPr>
            <w:tcW w:type="dxa" w:w="3000"/>
            <w:shd w:fill="EBF8FF"/>
            <w:tcMar>
              <w:top w:w="120" w:type="dxa"/>
              <w:bottom w:w="120" w:type="dxa"/>
              <w:left w:w="160" w:type="dxa"/>
              <w:right w:w="160" w:type="dxa"/>
            </w:tcMar>
            <w:vAlign w:val="center"/>
          </w:tcPr>
          <w:p>
            <w:r>
              <w:rPr>
                <w:b/>
              </w:rPr>
              <w:t>Direct FinGuard Engineering Fulfillment</w:t>
            </w:r>
          </w:p>
        </w:tc>
      </w:tr>
      <w:tr>
        <w:trPr>
          <w:cantSplit/>
        </w:trPr>
        <w:tc>
          <w:tcPr>
            <w:tcW w:type="dxa" w:w="3000"/>
            <w:shd w:fill="F7FAFC"/>
            <w:tcMar>
              <w:top w:w="120" w:type="dxa"/>
              <w:bottom w:w="120" w:type="dxa"/>
              <w:left w:w="160" w:type="dxa"/>
              <w:right w:w="160" w:type="dxa"/>
            </w:tcMar>
            <w:vAlign w:val="center"/>
          </w:tcPr>
          <w:p>
            <w:r>
              <w:rPr>
                <w:b/>
              </w:rPr>
              <w:t>LO 1: Object-Oriented System Architecture</w:t>
            </w:r>
          </w:p>
        </w:tc>
        <w:tc>
          <w:tcPr>
            <w:tcW w:type="dxa" w:w="3000"/>
            <w:shd w:fill="F7FAFC"/>
            <w:tcMar>
              <w:top w:w="120" w:type="dxa"/>
              <w:bottom w:w="120" w:type="dxa"/>
              <w:left w:w="160" w:type="dxa"/>
              <w:right w:w="160" w:type="dxa"/>
            </w:tcMar>
            <w:vAlign w:val="center"/>
          </w:tcPr>
          <w:p>
            <w:r>
              <w:t>Design encapsulated, robust software modules and pipelines using modern OOP principles.</w:t>
            </w:r>
          </w:p>
        </w:tc>
        <w:tc>
          <w:tcPr>
            <w:tcW w:type="dxa" w:w="3000"/>
            <w:shd w:fill="F7FAFC"/>
            <w:tcMar>
              <w:top w:w="120" w:type="dxa"/>
              <w:bottom w:w="120" w:type="dxa"/>
              <w:left w:w="160" w:type="dxa"/>
              <w:right w:w="160" w:type="dxa"/>
            </w:tcMar>
            <w:vAlign w:val="center"/>
          </w:tcPr>
          <w:p>
            <w:r>
              <w:t>Modular pipeline encapsulation across src/features.py, src/risk_engine.py, src/store.py, and api/main.py.</w:t>
            </w:r>
          </w:p>
        </w:tc>
      </w:tr>
      <w:tr>
        <w:trPr>
          <w:cantSplit/>
        </w:trPr>
        <w:tc>
          <w:tcPr>
            <w:tcW w:type="dxa" w:w="3000"/>
            <w:tcMar>
              <w:top w:w="120" w:type="dxa"/>
              <w:bottom w:w="120" w:type="dxa"/>
              <w:left w:w="160" w:type="dxa"/>
              <w:right w:w="160" w:type="dxa"/>
            </w:tcMar>
            <w:vAlign w:val="center"/>
          </w:tcPr>
          <w:p>
            <w:r>
              <w:rPr>
                <w:b/>
              </w:rPr>
              <w:t>LO 2: Advanced Machine Learning Modeling</w:t>
            </w:r>
          </w:p>
        </w:tc>
        <w:tc>
          <w:tcPr>
            <w:tcW w:type="dxa" w:w="3000"/>
            <w:tcMar>
              <w:top w:w="120" w:type="dxa"/>
              <w:bottom w:w="120" w:type="dxa"/>
              <w:left w:w="160" w:type="dxa"/>
              <w:right w:w="160" w:type="dxa"/>
            </w:tcMar>
            <w:vAlign w:val="center"/>
          </w:tcPr>
          <w:p>
            <w:r>
              <w:t>Formulate, calibrate, and validate supervised, unsupervised, and deep learning algorithms.</w:t>
            </w:r>
          </w:p>
        </w:tc>
        <w:tc>
          <w:tcPr>
            <w:tcW w:type="dxa" w:w="3000"/>
            <w:tcMar>
              <w:top w:w="120" w:type="dxa"/>
              <w:bottom w:w="120" w:type="dxa"/>
              <w:left w:w="160" w:type="dxa"/>
              <w:right w:w="160" w:type="dxa"/>
            </w:tcMar>
            <w:vAlign w:val="center"/>
          </w:tcPr>
          <w:p>
            <w:r>
              <w:t>Implementation of regularized XGBoost, tree-partitioning Isolation Forest, and deep MLP reconstruction autoencoder.</w:t>
            </w:r>
          </w:p>
        </w:tc>
      </w:tr>
      <w:tr>
        <w:trPr>
          <w:cantSplit/>
        </w:trPr>
        <w:tc>
          <w:tcPr>
            <w:tcW w:type="dxa" w:w="3000"/>
            <w:shd w:fill="F7FAFC"/>
            <w:tcMar>
              <w:top w:w="120" w:type="dxa"/>
              <w:bottom w:w="120" w:type="dxa"/>
              <w:left w:w="160" w:type="dxa"/>
              <w:right w:w="160" w:type="dxa"/>
            </w:tcMar>
            <w:vAlign w:val="center"/>
          </w:tcPr>
          <w:p>
            <w:r>
              <w:rPr>
                <w:b/>
              </w:rPr>
              <w:t>LO 3: Data Ingestion &amp; Transformation</w:t>
            </w:r>
          </w:p>
        </w:tc>
        <w:tc>
          <w:tcPr>
            <w:tcW w:type="dxa" w:w="3000"/>
            <w:shd w:fill="F7FAFC"/>
            <w:tcMar>
              <w:top w:w="120" w:type="dxa"/>
              <w:bottom w:w="120" w:type="dxa"/>
              <w:left w:w="160" w:type="dxa"/>
              <w:right w:w="160" w:type="dxa"/>
            </w:tcMar>
            <w:vAlign w:val="center"/>
          </w:tcPr>
          <w:p>
            <w:r>
              <w:t>Construct robust feature engineering pipelines handling missing data, encoding, and scaling.</w:t>
            </w:r>
          </w:p>
        </w:tc>
        <w:tc>
          <w:tcPr>
            <w:tcW w:type="dxa" w:w="3000"/>
            <w:shd w:fill="F7FAFC"/>
            <w:tcMar>
              <w:top w:w="120" w:type="dxa"/>
              <w:bottom w:w="120" w:type="dxa"/>
              <w:left w:w="160" w:type="dxa"/>
              <w:right w:w="160" w:type="dxa"/>
            </w:tcMar>
            <w:vAlign w:val="center"/>
          </w:tcPr>
          <w:p>
            <w:r>
              <w:t>Mathematical vector transformations, standard scaling, categorical one-hot encoding, and velocity ratio derivation.</w:t>
            </w:r>
          </w:p>
        </w:tc>
      </w:tr>
      <w:tr>
        <w:trPr>
          <w:cantSplit/>
        </w:trPr>
        <w:tc>
          <w:tcPr>
            <w:tcW w:type="dxa" w:w="3000"/>
            <w:tcMar>
              <w:top w:w="120" w:type="dxa"/>
              <w:bottom w:w="120" w:type="dxa"/>
              <w:left w:w="160" w:type="dxa"/>
              <w:right w:w="160" w:type="dxa"/>
            </w:tcMar>
            <w:vAlign w:val="center"/>
          </w:tcPr>
          <w:p>
            <w:r>
              <w:rPr>
                <w:b/>
              </w:rPr>
              <w:t>LO 4: Full-Stack Web API Engineering</w:t>
            </w:r>
          </w:p>
        </w:tc>
        <w:tc>
          <w:tcPr>
            <w:tcW w:type="dxa" w:w="3000"/>
            <w:tcMar>
              <w:top w:w="120" w:type="dxa"/>
              <w:bottom w:w="120" w:type="dxa"/>
              <w:left w:w="160" w:type="dxa"/>
              <w:right w:w="160" w:type="dxa"/>
            </w:tcMar>
            <w:vAlign w:val="center"/>
          </w:tcPr>
          <w:p>
            <w:r>
              <w:t>Develop high-throughput, standards-compliant RESTful APIs and asynchronous backends.</w:t>
            </w:r>
          </w:p>
        </w:tc>
        <w:tc>
          <w:tcPr>
            <w:tcW w:type="dxa" w:w="3000"/>
            <w:tcMar>
              <w:top w:w="120" w:type="dxa"/>
              <w:bottom w:w="120" w:type="dxa"/>
              <w:left w:w="160" w:type="dxa"/>
              <w:right w:w="160" w:type="dxa"/>
            </w:tcMar>
            <w:vAlign w:val="center"/>
          </w:tcPr>
          <w:p>
            <w:r>
              <w:t>FastAPI asynchronous inference endpoints (/predict, /predict/batch, /stats, /recent, /metrics) with OpenAPI docs.</w:t>
            </w:r>
          </w:p>
        </w:tc>
      </w:tr>
      <w:tr>
        <w:trPr>
          <w:cantSplit/>
        </w:trPr>
        <w:tc>
          <w:tcPr>
            <w:tcW w:type="dxa" w:w="3000"/>
            <w:shd w:fill="F7FAFC"/>
            <w:tcMar>
              <w:top w:w="120" w:type="dxa"/>
              <w:bottom w:w="120" w:type="dxa"/>
              <w:left w:w="160" w:type="dxa"/>
              <w:right w:w="160" w:type="dxa"/>
            </w:tcMar>
            <w:vAlign w:val="center"/>
          </w:tcPr>
          <w:p>
            <w:r>
              <w:rPr>
                <w:b/>
              </w:rPr>
              <w:t>LO 5: Interactive Visual Telemetry</w:t>
            </w:r>
          </w:p>
        </w:tc>
        <w:tc>
          <w:tcPr>
            <w:tcW w:type="dxa" w:w="3000"/>
            <w:shd w:fill="F7FAFC"/>
            <w:tcMar>
              <w:top w:w="120" w:type="dxa"/>
              <w:bottom w:w="120" w:type="dxa"/>
              <w:left w:w="160" w:type="dxa"/>
              <w:right w:w="160" w:type="dxa"/>
            </w:tcMar>
            <w:vAlign w:val="center"/>
          </w:tcPr>
          <w:p>
            <w:r>
              <w:t>Create intuitive client-side analytical dashboards for decision support and data streaming.</w:t>
            </w:r>
          </w:p>
        </w:tc>
        <w:tc>
          <w:tcPr>
            <w:tcW w:type="dxa" w:w="3000"/>
            <w:shd w:fill="F7FAFC"/>
            <w:tcMar>
              <w:top w:w="120" w:type="dxa"/>
              <w:bottom w:w="120" w:type="dxa"/>
              <w:left w:w="160" w:type="dxa"/>
              <w:right w:w="160" w:type="dxa"/>
            </w:tcMar>
            <w:vAlign w:val="center"/>
          </w:tcPr>
          <w:p>
            <w:r>
              <w:t>React 18 single-page application with Recharts telemetry, live stream simulators, and dynamic risk treemaps.</w:t>
            </w:r>
          </w:p>
        </w:tc>
      </w:tr>
      <w:tr>
        <w:trPr>
          <w:cantSplit/>
        </w:trPr>
        <w:tc>
          <w:tcPr>
            <w:tcW w:type="dxa" w:w="3000"/>
            <w:tcMar>
              <w:top w:w="120" w:type="dxa"/>
              <w:bottom w:w="120" w:type="dxa"/>
              <w:left w:w="160" w:type="dxa"/>
              <w:right w:w="160" w:type="dxa"/>
            </w:tcMar>
            <w:vAlign w:val="center"/>
          </w:tcPr>
          <w:p>
            <w:r>
              <w:rPr>
                <w:b/>
              </w:rPr>
              <w:t>LO 6: DevOps &amp; Cloud Containerization</w:t>
            </w:r>
          </w:p>
        </w:tc>
        <w:tc>
          <w:tcPr>
            <w:tcW w:type="dxa" w:w="3000"/>
            <w:tcMar>
              <w:top w:w="120" w:type="dxa"/>
              <w:bottom w:w="120" w:type="dxa"/>
              <w:left w:w="160" w:type="dxa"/>
              <w:right w:w="160" w:type="dxa"/>
            </w:tcMar>
            <w:vAlign w:val="center"/>
          </w:tcPr>
          <w:p>
            <w:r>
              <w:t>Package, containerize, deploy, and configure networked software systems for production environments.</w:t>
            </w:r>
          </w:p>
        </w:tc>
        <w:tc>
          <w:tcPr>
            <w:tcW w:type="dxa" w:w="3000"/>
            <w:tcMar>
              <w:top w:w="120" w:type="dxa"/>
              <w:bottom w:w="120" w:type="dxa"/>
              <w:left w:w="160" w:type="dxa"/>
              <w:right w:w="160" w:type="dxa"/>
            </w:tcMar>
            <w:vAlign w:val="center"/>
          </w:tcPr>
          <w:p>
            <w:r>
              <w:t>Multi-stage Dockerfile bundling frontend and backend into a single container with DuckDNS DDNS automated edge sync.</w:t>
            </w:r>
          </w:p>
        </w:tc>
      </w:tr>
    </w:tbl>
    <w:p>
      <w:pPr>
        <w:spacing w:before="0" w:after="240" w:line="276" w:lineRule="auto"/>
        <w:jc w:val="center"/>
      </w:pPr>
      <w:r>
        <w:rPr>
          <w:rFonts w:ascii="Times New Roman" w:hAnsi="Times New Roman"/>
          <w:b w:val="0"/>
          <w:i/>
          <w:sz w:val="20"/>
        </w:rPr>
        <w:t>Table 1.1: Curriculum Lab Outcomes (LO) and Program Outcomes (PO) Mapping Matrix</w:t>
      </w:r>
    </w:p>
    <w:p>
      <w:pPr>
        <w:keepNext/>
        <w:spacing w:before="280" w:after="120"/>
      </w:pPr>
      <w:r>
        <w:rPr>
          <w:rFonts w:ascii="Times New Roman" w:hAnsi="Times New Roman"/>
          <w:b/>
          <w:i w:val="0"/>
          <w:color w:val="2D3748"/>
          <w:sz w:val="28"/>
        </w:rPr>
        <w:t>1.5 Organization of the Report</w:t>
      </w:r>
    </w:p>
    <w:p>
      <w:pPr>
        <w:spacing w:before="0" w:after="320" w:line="288" w:lineRule="auto"/>
        <w:jc w:val="both"/>
      </w:pPr>
      <w:r>
        <w:rPr>
          <w:rFonts w:ascii="Times New Roman" w:hAnsi="Times New Roman"/>
          <w:b w:val="0"/>
          <w:i w:val="0"/>
          <w:sz w:val="24"/>
        </w:rPr>
        <w:t>The remainder of this report is organized into the following comprehensive chapters:</w:t>
        <w:br/>
        <w:br/>
        <w:t>• Chapter 2 (Literature Review &amp; Theoretical Foundations): Reviews historical and contemporary fraud detection literature, presents a comparative literature survey matrix, and details the rigorous mathematical foundations of XGBoost, Isolation Forest, and Autoencoders.</w:t>
        <w:br/>
        <w:br/>
        <w:t>• Chapter 3 (System Analysis, Architecture &amp; Design): Details the technology stack, system architecture block diagrams, multi-level Data Flow Diagrams (DFDs), feature pipeline mathematics, database schema specifications, REST contracts, and Docker edge deployment.</w:t>
        <w:br/>
        <w:br/>
        <w:t>• Chapter 4 (Implementation Methodology &amp; Code Workflows): Discusses dataset generation with injected fraud vectors, model training pipelines, risk engine calibration, FastAPI asynchronous route handlers, and DuckDNS dynamic edge networking.</w:t>
        <w:br/>
        <w:br/>
        <w:t>• Chapter 5 (Project Management, Testing &amp; Experimental Evaluation): Details the 16-week project Gantt chart, comprehensive test case execution matrices (TC-01 to TC-16), empirical evaluation benchmarks (Precision, Recall, F1, ROC-AUC), latency profiles, and diagnostic visual captures.</w:t>
        <w:br/>
        <w:br/>
        <w:t>• Chapter 6 (Conclusion, Limitations &amp; Future Enhancements): Summarizes major engineering milestones achieved, acknowledges system boundaries, and articulates a detailed roadmap for enterprise enhancements (Apache Kafka, Graph Neural Networks, and Blockchain audit logging).</w:t>
      </w:r>
    </w:p>
    <w:p>
      <w:r>
        <w:br w:type="page"/>
      </w:r>
    </w:p>
    <w:p>
      <w:pPr>
        <w:keepNext/>
        <w:spacing w:before="360" w:after="160"/>
      </w:pPr>
      <w:r>
        <w:rPr>
          <w:rFonts w:ascii="Times New Roman" w:hAnsi="Times New Roman"/>
          <w:b/>
          <w:i w:val="0"/>
          <w:color w:val="1A365D"/>
          <w:sz w:val="32"/>
        </w:rPr>
        <w:t>Chapter 2: Literature Review &amp; Theoretical Foundations</w:t>
      </w:r>
    </w:p>
    <w:p>
      <w:pPr>
        <w:keepNext/>
        <w:spacing w:before="280" w:after="120"/>
      </w:pPr>
      <w:r>
        <w:rPr>
          <w:rFonts w:ascii="Times New Roman" w:hAnsi="Times New Roman"/>
          <w:b/>
          <w:i w:val="0"/>
          <w:color w:val="2D3748"/>
          <w:sz w:val="28"/>
        </w:rPr>
        <w:t>2.1 Evolution of Fraud Detection Methodologies</w:t>
      </w:r>
    </w:p>
    <w:p>
      <w:pPr>
        <w:spacing w:before="0" w:after="200" w:line="288" w:lineRule="auto"/>
        <w:jc w:val="both"/>
      </w:pPr>
      <w:r>
        <w:rPr>
          <w:rFonts w:ascii="Times New Roman" w:hAnsi="Times New Roman"/>
          <w:b w:val="0"/>
          <w:i w:val="0"/>
          <w:sz w:val="24"/>
        </w:rPr>
        <w:t>The technological trajectory of financial fraud detection over the past three decades can be demarcated into four evolutionary epochs:</w:t>
        <w:br/>
        <w:br/>
        <w:t>1. First-Generation Rule-Based Expert Systems (1990s - early 2000s): Expert systems relied on human forensic investigators encoding domain rules. While deterministic and easily audited, these rule sets suffered from combinatorial explosion, high maintenance costs, and total helplessness against novel fraud patterns.</w:t>
        <w:br/>
        <w:br/>
        <w:t>2. Second-Generation Statistical Profiling &amp; Classical ML (mid-2000s - 2012): The advent of automated data mining introduced statistical scorecards, Bayesian networks, and linear discriminant analysis (LDA). These approaches established per-user historical spending profiles (RFM: Recency, Frequency, Monetary value). However, they suffered from high false alarm rates and struggled to capture complex non-linear feature interactions.</w:t>
        <w:br/>
        <w:br/>
        <w:t>3. Third-Generation Supervised Ensemble Classifiers (2012 - 2020): Random Forests, Gradient Boosted Machines (LightGBM, XGBoost), and deep dense feedforward networks emerged as the dominant industrial paradigm. Their capacity to learn highly complex decision boundaries propelled precision and recall to new highs. Nonetheless, supervised classifiers remain fundamentally bounded by the quality and completeness of historical training labels; they cannot flag fraud paradigms they have never witnessed.</w:t>
        <w:br/>
        <w:br/>
        <w:t>4. Fourth-Generation Hybrid Multi-Model Ensembles (2020 - Present): The modern frontier combines supervised discriminative learning with unsupervised and semi-supervised anomaly detection. By operating supervised classifiers alongside tree-partitioning anomaly detectors (Isolation Forests) and deep manifold reconstructors (Autoencoders), hybrid architectures achieve resilience against both known historical patterns and zero-day zero-label attack spikes. FinGuard represents an exemplary implementation of this fourth-generation paradigm.</w:t>
      </w:r>
    </w:p>
    <w:p>
      <w:pPr>
        <w:keepNext/>
        <w:spacing w:before="280" w:after="120"/>
      </w:pPr>
      <w:r>
        <w:rPr>
          <w:rFonts w:ascii="Times New Roman" w:hAnsi="Times New Roman"/>
          <w:b/>
          <w:i w:val="0"/>
          <w:color w:val="2D3748"/>
          <w:sz w:val="28"/>
        </w:rPr>
        <w:t>2.2 Comparative Literature Survey Matrix</w:t>
      </w:r>
    </w:p>
    <w:p>
      <w:pPr>
        <w:spacing w:before="0" w:after="160" w:line="276" w:lineRule="auto"/>
        <w:jc w:val="both"/>
      </w:pPr>
      <w:r>
        <w:rPr>
          <w:rFonts w:ascii="Times New Roman" w:hAnsi="Times New Roman"/>
          <w:b w:val="0"/>
          <w:i w:val="0"/>
          <w:sz w:val="24"/>
        </w:rPr>
        <w:t>To establish the scientific and architectural positioning of FinGuard, Table 2.1 provides a critical comparative review of benchmark published research in financial transaction fraud detection.</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2250"/>
        <w:gridCol w:w="2250"/>
        <w:gridCol w:w="2250"/>
        <w:gridCol w:w="2250"/>
      </w:tblGrid>
      <w:tr>
        <w:trPr>
          <w:cantSplit/>
        </w:trPr>
        <w:tc>
          <w:tcPr>
            <w:tcW w:type="dxa" w:w="2250"/>
            <w:shd w:fill="EBF8FF"/>
            <w:tcMar>
              <w:top w:w="120" w:type="dxa"/>
              <w:bottom w:w="120" w:type="dxa"/>
              <w:left w:w="160" w:type="dxa"/>
              <w:right w:w="160" w:type="dxa"/>
            </w:tcMar>
            <w:vAlign w:val="center"/>
          </w:tcPr>
          <w:p>
            <w:r>
              <w:rPr>
                <w:b/>
              </w:rPr>
              <w:t>Author &amp; Year</w:t>
            </w:r>
          </w:p>
        </w:tc>
        <w:tc>
          <w:tcPr>
            <w:tcW w:type="dxa" w:w="2250"/>
            <w:shd w:fill="EBF8FF"/>
            <w:tcMar>
              <w:top w:w="120" w:type="dxa"/>
              <w:bottom w:w="120" w:type="dxa"/>
              <w:left w:w="160" w:type="dxa"/>
              <w:right w:w="160" w:type="dxa"/>
            </w:tcMar>
            <w:vAlign w:val="center"/>
          </w:tcPr>
          <w:p>
            <w:r>
              <w:rPr>
                <w:b/>
              </w:rPr>
              <w:t>Core Methodology</w:t>
            </w:r>
          </w:p>
        </w:tc>
        <w:tc>
          <w:tcPr>
            <w:tcW w:type="dxa" w:w="2250"/>
            <w:shd w:fill="EBF8FF"/>
            <w:tcMar>
              <w:top w:w="120" w:type="dxa"/>
              <w:bottom w:w="120" w:type="dxa"/>
              <w:left w:w="160" w:type="dxa"/>
              <w:right w:w="160" w:type="dxa"/>
            </w:tcMar>
            <w:vAlign w:val="center"/>
          </w:tcPr>
          <w:p>
            <w:r>
              <w:rPr>
                <w:b/>
              </w:rPr>
              <w:t>Demonstrated Strengths</w:t>
            </w:r>
          </w:p>
        </w:tc>
        <w:tc>
          <w:tcPr>
            <w:tcW w:type="dxa" w:w="2250"/>
            <w:shd w:fill="EBF8FF"/>
            <w:tcMar>
              <w:top w:w="120" w:type="dxa"/>
              <w:bottom w:w="120" w:type="dxa"/>
              <w:left w:w="160" w:type="dxa"/>
              <w:right w:w="160" w:type="dxa"/>
            </w:tcMar>
            <w:vAlign w:val="center"/>
          </w:tcPr>
          <w:p>
            <w:r>
              <w:rPr>
                <w:b/>
              </w:rPr>
              <w:t>Critical Architectural Limitations</w:t>
            </w:r>
          </w:p>
        </w:tc>
      </w:tr>
      <w:tr>
        <w:trPr>
          <w:cantSplit/>
        </w:trPr>
        <w:tc>
          <w:tcPr>
            <w:tcW w:type="dxa" w:w="2250"/>
            <w:shd w:fill="F7FAFC"/>
            <w:tcMar>
              <w:top w:w="120" w:type="dxa"/>
              <w:bottom w:w="120" w:type="dxa"/>
              <w:left w:w="160" w:type="dxa"/>
              <w:right w:w="160" w:type="dxa"/>
            </w:tcMar>
            <w:vAlign w:val="center"/>
          </w:tcPr>
          <w:p>
            <w:r>
              <w:rPr>
                <w:b/>
              </w:rPr>
              <w:t>Dal Pozzolo et al. (2015)</w:t>
            </w:r>
          </w:p>
        </w:tc>
        <w:tc>
          <w:tcPr>
            <w:tcW w:type="dxa" w:w="2250"/>
            <w:shd w:fill="F7FAFC"/>
            <w:tcMar>
              <w:top w:w="120" w:type="dxa"/>
              <w:bottom w:w="120" w:type="dxa"/>
              <w:left w:w="160" w:type="dxa"/>
              <w:right w:w="160" w:type="dxa"/>
            </w:tcMar>
            <w:vAlign w:val="center"/>
          </w:tcPr>
          <w:p>
            <w:r>
              <w:t>Ensemble of Random Forests with adaptive window re-balancing on European credit card data.</w:t>
            </w:r>
          </w:p>
        </w:tc>
        <w:tc>
          <w:tcPr>
            <w:tcW w:type="dxa" w:w="2250"/>
            <w:shd w:fill="F7FAFC"/>
            <w:tcMar>
              <w:top w:w="120" w:type="dxa"/>
              <w:bottom w:w="120" w:type="dxa"/>
              <w:left w:w="160" w:type="dxa"/>
              <w:right w:w="160" w:type="dxa"/>
            </w:tcMar>
            <w:vAlign w:val="center"/>
          </w:tcPr>
          <w:p>
            <w:r>
              <w:t>Effective handling of concept drift and non-stationary transaction distributions.</w:t>
            </w:r>
          </w:p>
        </w:tc>
        <w:tc>
          <w:tcPr>
            <w:tcW w:type="dxa" w:w="2250"/>
            <w:shd w:fill="F7FAFC"/>
            <w:tcMar>
              <w:top w:w="120" w:type="dxa"/>
              <w:bottom w:w="120" w:type="dxa"/>
              <w:left w:w="160" w:type="dxa"/>
              <w:right w:w="160" w:type="dxa"/>
            </w:tcMar>
            <w:vAlign w:val="center"/>
          </w:tcPr>
          <w:p>
            <w:r>
              <w:t>High computational latency; lacks unsupervised anomaly isolation for novel zero-day attacks.</w:t>
            </w:r>
          </w:p>
        </w:tc>
      </w:tr>
      <w:tr>
        <w:trPr>
          <w:cantSplit/>
        </w:trPr>
        <w:tc>
          <w:tcPr>
            <w:tcW w:type="dxa" w:w="2250"/>
            <w:tcMar>
              <w:top w:w="120" w:type="dxa"/>
              <w:bottom w:w="120" w:type="dxa"/>
              <w:left w:w="160" w:type="dxa"/>
              <w:right w:w="160" w:type="dxa"/>
            </w:tcMar>
            <w:vAlign w:val="center"/>
          </w:tcPr>
          <w:p>
            <w:r>
              <w:rPr>
                <w:b/>
              </w:rPr>
              <w:t>Chen et al. (XGBoost, 2016)</w:t>
            </w:r>
          </w:p>
        </w:tc>
        <w:tc>
          <w:tcPr>
            <w:tcW w:type="dxa" w:w="2250"/>
            <w:tcMar>
              <w:top w:w="120" w:type="dxa"/>
              <w:bottom w:w="120" w:type="dxa"/>
              <w:left w:w="160" w:type="dxa"/>
              <w:right w:w="160" w:type="dxa"/>
            </w:tcMar>
            <w:vAlign w:val="center"/>
          </w:tcPr>
          <w:p>
            <w:r>
              <w:t>Scalable tree boosting system using regularized second-order Taylor expansion.</w:t>
            </w:r>
          </w:p>
        </w:tc>
        <w:tc>
          <w:tcPr>
            <w:tcW w:type="dxa" w:w="2250"/>
            <w:tcMar>
              <w:top w:w="120" w:type="dxa"/>
              <w:bottom w:w="120" w:type="dxa"/>
              <w:left w:w="160" w:type="dxa"/>
              <w:right w:w="160" w:type="dxa"/>
            </w:tcMar>
            <w:vAlign w:val="center"/>
          </w:tcPr>
          <w:p>
            <w:r>
              <w:t>Outstanding tabular classification accuracy; handles sparsity; highly optimized cache access.</w:t>
            </w:r>
          </w:p>
        </w:tc>
        <w:tc>
          <w:tcPr>
            <w:tcW w:type="dxa" w:w="2250"/>
            <w:tcMar>
              <w:top w:w="120" w:type="dxa"/>
              <w:bottom w:w="120" w:type="dxa"/>
              <w:left w:w="160" w:type="dxa"/>
              <w:right w:w="160" w:type="dxa"/>
            </w:tcMar>
            <w:vAlign w:val="center"/>
          </w:tcPr>
          <w:p>
            <w:r>
              <w:t>Requires labeled fraud instances; prone to false negatives on novel zero-day attack tactics.</w:t>
            </w:r>
          </w:p>
        </w:tc>
      </w:tr>
      <w:tr>
        <w:trPr>
          <w:cantSplit/>
        </w:trPr>
        <w:tc>
          <w:tcPr>
            <w:tcW w:type="dxa" w:w="2250"/>
            <w:shd w:fill="F7FAFC"/>
            <w:tcMar>
              <w:top w:w="120" w:type="dxa"/>
              <w:bottom w:w="120" w:type="dxa"/>
              <w:left w:w="160" w:type="dxa"/>
              <w:right w:w="160" w:type="dxa"/>
            </w:tcMar>
            <w:vAlign w:val="center"/>
          </w:tcPr>
          <w:p>
            <w:r>
              <w:rPr>
                <w:b/>
              </w:rPr>
              <w:t>Liu, Ting &amp; Zhou (iForest, 2012)</w:t>
            </w:r>
          </w:p>
        </w:tc>
        <w:tc>
          <w:tcPr>
            <w:tcW w:type="dxa" w:w="2250"/>
            <w:shd w:fill="F7FAFC"/>
            <w:tcMar>
              <w:top w:w="120" w:type="dxa"/>
              <w:bottom w:w="120" w:type="dxa"/>
              <w:left w:w="160" w:type="dxa"/>
              <w:right w:w="160" w:type="dxa"/>
            </w:tcMar>
            <w:vAlign w:val="center"/>
          </w:tcPr>
          <w:p>
            <w:r>
              <w:t>Unsupervised anomaly detection via recursive sub-sampling tree depth partitioning.</w:t>
            </w:r>
          </w:p>
        </w:tc>
        <w:tc>
          <w:tcPr>
            <w:tcW w:type="dxa" w:w="2250"/>
            <w:shd w:fill="F7FAFC"/>
            <w:tcMar>
              <w:top w:w="120" w:type="dxa"/>
              <w:bottom w:w="120" w:type="dxa"/>
              <w:left w:w="160" w:type="dxa"/>
              <w:right w:w="160" w:type="dxa"/>
            </w:tcMar>
            <w:vAlign w:val="center"/>
          </w:tcPr>
          <w:p>
            <w:r>
              <w:t>Linear time complexity O(n); does not compute expensive pairwise distance matrices.</w:t>
            </w:r>
          </w:p>
        </w:tc>
        <w:tc>
          <w:tcPr>
            <w:tcW w:type="dxa" w:w="2250"/>
            <w:shd w:fill="F7FAFC"/>
            <w:tcMar>
              <w:top w:w="120" w:type="dxa"/>
              <w:bottom w:w="120" w:type="dxa"/>
              <w:left w:w="160" w:type="dxa"/>
              <w:right w:w="160" w:type="dxa"/>
            </w:tcMar>
            <w:vAlign w:val="center"/>
          </w:tcPr>
          <w:p>
            <w:r>
              <w:t>Cannot leverage historical labeled fraud signals; uniform random split axes cause axis-parallel artifacts.</w:t>
            </w:r>
          </w:p>
        </w:tc>
      </w:tr>
      <w:tr>
        <w:trPr>
          <w:cantSplit/>
        </w:trPr>
        <w:tc>
          <w:tcPr>
            <w:tcW w:type="dxa" w:w="2250"/>
            <w:tcMar>
              <w:top w:w="120" w:type="dxa"/>
              <w:bottom w:w="120" w:type="dxa"/>
              <w:left w:w="160" w:type="dxa"/>
              <w:right w:w="160" w:type="dxa"/>
            </w:tcMar>
            <w:vAlign w:val="center"/>
          </w:tcPr>
          <w:p>
            <w:r>
              <w:rPr>
                <w:b/>
              </w:rPr>
              <w:t>Chalapathy &amp; Chawla (2019)</w:t>
            </w:r>
          </w:p>
        </w:tc>
        <w:tc>
          <w:tcPr>
            <w:tcW w:type="dxa" w:w="2250"/>
            <w:tcMar>
              <w:top w:w="120" w:type="dxa"/>
              <w:bottom w:w="120" w:type="dxa"/>
              <w:left w:w="160" w:type="dxa"/>
              <w:right w:w="160" w:type="dxa"/>
            </w:tcMar>
            <w:vAlign w:val="center"/>
          </w:tcPr>
          <w:p>
            <w:r>
              <w:t>Deep learning for anomaly detection using reconstruction autoencoders.</w:t>
            </w:r>
          </w:p>
        </w:tc>
        <w:tc>
          <w:tcPr>
            <w:tcW w:type="dxa" w:w="2250"/>
            <w:tcMar>
              <w:top w:w="120" w:type="dxa"/>
              <w:bottom w:w="120" w:type="dxa"/>
              <w:left w:w="160" w:type="dxa"/>
              <w:right w:w="160" w:type="dxa"/>
            </w:tcMar>
            <w:vAlign w:val="center"/>
          </w:tcPr>
          <w:p>
            <w:r>
              <w:t>Learns compact non-linear manifold embeddings of legitimate behavior.</w:t>
            </w:r>
          </w:p>
        </w:tc>
        <w:tc>
          <w:tcPr>
            <w:tcW w:type="dxa" w:w="2250"/>
            <w:tcMar>
              <w:top w:w="120" w:type="dxa"/>
              <w:bottom w:w="120" w:type="dxa"/>
              <w:left w:w="160" w:type="dxa"/>
              <w:right w:w="160" w:type="dxa"/>
            </w:tcMar>
            <w:vAlign w:val="center"/>
          </w:tcPr>
          <w:p>
            <w:r>
              <w:t>Reconstruction threshold tuning is sensitive; lacks tabular boosting precision for known fraud.</w:t>
            </w:r>
          </w:p>
        </w:tc>
      </w:tr>
      <w:tr>
        <w:trPr>
          <w:cantSplit/>
        </w:trPr>
        <w:tc>
          <w:tcPr>
            <w:tcW w:type="dxa" w:w="2250"/>
            <w:shd w:fill="F7FAFC"/>
            <w:tcMar>
              <w:top w:w="120" w:type="dxa"/>
              <w:bottom w:w="120" w:type="dxa"/>
              <w:left w:w="160" w:type="dxa"/>
              <w:right w:w="160" w:type="dxa"/>
            </w:tcMar>
            <w:vAlign w:val="center"/>
          </w:tcPr>
          <w:p>
            <w:r>
              <w:rPr>
                <w:b/>
              </w:rPr>
              <w:t>FinGuard (This Work, 2026)</w:t>
            </w:r>
          </w:p>
        </w:tc>
        <w:tc>
          <w:tcPr>
            <w:tcW w:type="dxa" w:w="2250"/>
            <w:shd w:fill="F7FAFC"/>
            <w:tcMar>
              <w:top w:w="120" w:type="dxa"/>
              <w:bottom w:w="120" w:type="dxa"/>
              <w:left w:w="160" w:type="dxa"/>
              <w:right w:w="160" w:type="dxa"/>
            </w:tcMar>
            <w:vAlign w:val="center"/>
          </w:tcPr>
          <w:p>
            <w:r>
              <w:t>Tri-Model Ensemble: XGBoost (55%) + Isolation Forest (25%) + MLP Autoencoder (20%) with FastAPI &amp; Docker.</w:t>
            </w:r>
          </w:p>
        </w:tc>
        <w:tc>
          <w:tcPr>
            <w:tcW w:type="dxa" w:w="2250"/>
            <w:shd w:fill="F7FAFC"/>
            <w:tcMar>
              <w:top w:w="120" w:type="dxa"/>
              <w:bottom w:w="120" w:type="dxa"/>
              <w:left w:w="160" w:type="dxa"/>
              <w:right w:w="160" w:type="dxa"/>
            </w:tcMar>
            <w:vAlign w:val="center"/>
          </w:tcPr>
          <w:p>
            <w:r>
              <w:t>1.00 Precision, 0.93 F1, 0.94 ROC-AUC; sub-15ms inference; instant single-container deployment with DuckDNS.</w:t>
            </w:r>
          </w:p>
        </w:tc>
        <w:tc>
          <w:tcPr>
            <w:tcW w:type="dxa" w:w="2250"/>
            <w:shd w:fill="F7FAFC"/>
            <w:tcMar>
              <w:top w:w="120" w:type="dxa"/>
              <w:bottom w:w="120" w:type="dxa"/>
              <w:left w:w="160" w:type="dxa"/>
              <w:right w:w="160" w:type="dxa"/>
            </w:tcMar>
            <w:vAlign w:val="center"/>
          </w:tcPr>
          <w:p>
            <w:r>
              <w:t>Evaluated on engineered synthetic multi-vector baseline; requires real-time streaming queue for ultra-scale bank cores.</w:t>
            </w:r>
          </w:p>
        </w:tc>
      </w:tr>
    </w:tbl>
    <w:p>
      <w:pPr>
        <w:spacing w:before="0" w:after="240" w:line="276" w:lineRule="auto"/>
        <w:jc w:val="center"/>
      </w:pPr>
      <w:r>
        <w:rPr>
          <w:rFonts w:ascii="Times New Roman" w:hAnsi="Times New Roman"/>
          <w:b w:val="0"/>
          <w:i/>
          <w:sz w:val="20"/>
        </w:rPr>
        <w:t>Table 2.1: Comprehensive Literature Survey of Financial Fraud Detection Approaches</w:t>
      </w:r>
    </w:p>
    <w:p>
      <w:pPr>
        <w:keepNext/>
        <w:spacing w:before="280" w:after="120"/>
      </w:pPr>
      <w:r>
        <w:rPr>
          <w:rFonts w:ascii="Times New Roman" w:hAnsi="Times New Roman"/>
          <w:b/>
          <w:i w:val="0"/>
          <w:color w:val="2D3748"/>
          <w:sz w:val="28"/>
        </w:rPr>
        <w:t>2.3 Mathematical Formulation of Machine Learning Models</w:t>
      </w:r>
    </w:p>
    <w:p>
      <w:pPr>
        <w:spacing w:before="0" w:after="160" w:line="276" w:lineRule="auto"/>
        <w:jc w:val="both"/>
      </w:pPr>
      <w:r>
        <w:rPr>
          <w:rFonts w:ascii="Times New Roman" w:hAnsi="Times New Roman"/>
          <w:b w:val="0"/>
          <w:i w:val="0"/>
          <w:sz w:val="24"/>
        </w:rPr>
        <w:t>The core analytical strength of FinGuard stems from the theoretical diversity of its constituent models. Below we articulate the formal mathematical foundations governing each model in the ensemble.</w:t>
      </w:r>
    </w:p>
    <w:p>
      <w:pPr>
        <w:keepNext/>
        <w:spacing w:before="200" w:after="80"/>
      </w:pPr>
      <w:r>
        <w:rPr>
          <w:rFonts w:ascii="Times New Roman" w:hAnsi="Times New Roman"/>
          <w:b/>
          <w:i w:val="0"/>
          <w:color w:val="2D3748"/>
          <w:sz w:val="25"/>
        </w:rPr>
        <w:t>2.3.1 Supervised Extreme Gradient Boosting (XGBoost)</w:t>
      </w:r>
    </w:p>
    <w:p>
      <w:pPr>
        <w:spacing w:before="0" w:after="80" w:line="276" w:lineRule="auto"/>
        <w:jc w:val="both"/>
      </w:pPr>
      <w:r>
        <w:rPr>
          <w:rFonts w:ascii="Times New Roman" w:hAnsi="Times New Roman"/>
          <w:b w:val="0"/>
          <w:i w:val="0"/>
          <w:sz w:val="24"/>
        </w:rPr>
        <w:t>XGBoost is a scalable tree boosting system based on gradient descent in function space. Let the dataset be represented as D = {(x_i, y_i)} where x_i in R^d represents the transformed 18-dimensional transactional feature vector and y_i in {0, 1} denotes the ground-truth binary label (0 = Legitimate, 1 = Fraudulent).</w:t>
        <w:br/>
        <w:br/>
        <w:t>For an ensemble of K additive tree functions, the predicted output y_hat_i at step t is formulated as:</w:t>
      </w:r>
    </w:p>
    <w:p>
      <w:pPr>
        <w:spacing w:before="120" w:after="160" w:line="252" w:lineRule="auto"/>
        <w:shd w:fill="EDF2F7"/>
      </w:pPr>
      <w:r>
        <w:rPr>
          <w:rFonts w:ascii="Consolas" w:hAnsi="Consolas"/>
          <w:b w:val="0"/>
          <w:i w:val="0"/>
          <w:color w:val="1A202C"/>
          <w:sz w:val="19"/>
        </w:rPr>
        <w:t>y_hat_i^(t) = sum_{k=1}^t f_k(x_i) = y_hat_i^(t-1) + f_t(x_i),  where f_t in F (space of classification trees)</w:t>
      </w:r>
    </w:p>
    <w:p>
      <w:pPr>
        <w:spacing w:before="0" w:after="80" w:line="276" w:lineRule="auto"/>
        <w:jc w:val="both"/>
      </w:pPr>
      <w:r>
        <w:rPr>
          <w:rFonts w:ascii="Times New Roman" w:hAnsi="Times New Roman"/>
          <w:b w:val="0"/>
          <w:i w:val="0"/>
          <w:sz w:val="24"/>
        </w:rPr>
        <w:t>The regularized objective function L^(t) to be minimized at iteration t incorporates both a convex loss function l and a model complexity penalty Omega:</w:t>
      </w:r>
    </w:p>
    <w:p>
      <w:pPr>
        <w:spacing w:before="120" w:after="160" w:line="252" w:lineRule="auto"/>
        <w:shd w:fill="EDF2F7"/>
      </w:pPr>
      <w:r>
        <w:rPr>
          <w:rFonts w:ascii="Consolas" w:hAnsi="Consolas"/>
          <w:b w:val="0"/>
          <w:i w:val="0"/>
          <w:color w:val="1A202C"/>
          <w:sz w:val="19"/>
        </w:rPr>
        <w:t>L^(t) = sum_{i=1}^n l(y_i, y_hat_i^(t-1) + f_t(x_i)) + Omega(f_t)</w:t>
        <w:br/>
        <w:t>where Omega(f_t) = gamma * T + 0.5 * lambda * sum_{j=1}^T w_j^2</w:t>
      </w:r>
    </w:p>
    <w:p>
      <w:pPr>
        <w:spacing w:before="0" w:after="80" w:line="276" w:lineRule="auto"/>
        <w:jc w:val="both"/>
      </w:pPr>
      <w:r>
        <w:rPr>
          <w:rFonts w:ascii="Times New Roman" w:hAnsi="Times New Roman"/>
          <w:b w:val="0"/>
          <w:i w:val="0"/>
          <w:sz w:val="24"/>
        </w:rPr>
        <w:t>Here, T represents the number of terminal leaves in tree f_t, w_j denotes the output weight of leaf j, gamma represents the leaf creation penalty, and lambda is the L2 regularization parameter penalizing excessive leaf weights to prevent overfitting.</w:t>
        <w:br/>
        <w:br/>
        <w:t>Using a second-order Taylor expansion around the previous prediction y_hat_i^(t-1), the objective can be rewritten as:</w:t>
      </w:r>
    </w:p>
    <w:p>
      <w:pPr>
        <w:spacing w:before="120" w:after="160" w:line="252" w:lineRule="auto"/>
        <w:shd w:fill="EDF2F7"/>
      </w:pPr>
      <w:r>
        <w:rPr>
          <w:rFonts w:ascii="Consolas" w:hAnsi="Consolas"/>
          <w:b w:val="0"/>
          <w:i w:val="0"/>
          <w:color w:val="1A202C"/>
          <w:sz w:val="19"/>
        </w:rPr>
        <w:t>L_approx^(t) approx sum_{i=1}^n [ l(y_i, y_hat_i^(t-1)) + g_i * f_t(x_i) + 0.5 * h_i * f_t(x_i)^2 ] + Omega(f_t)</w:t>
        <w:br/>
        <w:t>where g_i = d l(y_i, y_hat^(t-1)) / d y_hat^(t-1)  (first-order gradient)</w:t>
        <w:br/>
        <w:t>and   h_i = d^2 l(y_i, y_hat^(t-1)) / d (y_hat^(t-1))^2  (second-order Hessian)</w:t>
      </w:r>
    </w:p>
    <w:p>
      <w:pPr>
        <w:spacing w:before="0" w:after="80" w:line="276" w:lineRule="auto"/>
        <w:jc w:val="both"/>
      </w:pPr>
      <w:r>
        <w:rPr>
          <w:rFonts w:ascii="Times New Roman" w:hAnsi="Times New Roman"/>
          <w:b w:val="0"/>
          <w:i w:val="0"/>
          <w:sz w:val="24"/>
        </w:rPr>
        <w:t>For binary logistic loss, the optimal leaf weight w_j^* for an instance set I_j assigned to leaf j and the corresponding optimal tree score are analytically computed as:</w:t>
      </w:r>
    </w:p>
    <w:p>
      <w:pPr>
        <w:spacing w:before="120" w:after="160" w:line="252" w:lineRule="auto"/>
        <w:shd w:fill="EDF2F7"/>
      </w:pPr>
      <w:r>
        <w:rPr>
          <w:rFonts w:ascii="Consolas" w:hAnsi="Consolas"/>
          <w:b w:val="0"/>
          <w:i w:val="0"/>
          <w:color w:val="1A202C"/>
          <w:sz w:val="19"/>
        </w:rPr>
        <w:t>w_j^* = - ( sum_{i in I_j} g_i ) / ( sum_{i in I_j} h_i + lambda )</w:t>
        <w:br/>
        <w:t>Optimal Tree Score = - 0.5 * sum_{j=1}^T [ ( sum_{i in I_j} g_i )^2 / ( sum_{i in I_j} h_i + lambda ) ] + gamma * T</w:t>
      </w:r>
    </w:p>
    <w:p>
      <w:pPr>
        <w:spacing w:before="0" w:after="80" w:line="276" w:lineRule="auto"/>
        <w:jc w:val="both"/>
      </w:pPr>
      <w:r>
        <w:rPr>
          <w:rFonts w:ascii="Times New Roman" w:hAnsi="Times New Roman"/>
          <w:b w:val="0"/>
          <w:i w:val="0"/>
          <w:sz w:val="24"/>
        </w:rPr>
        <w:t>The tree split gain evaluating a potential partition of instance set I into left subset I_L and right subset I_R is then:</w:t>
      </w:r>
    </w:p>
    <w:p>
      <w:pPr>
        <w:spacing w:before="120" w:after="160" w:line="252" w:lineRule="auto"/>
        <w:shd w:fill="EDF2F7"/>
      </w:pPr>
      <w:r>
        <w:rPr>
          <w:rFonts w:ascii="Consolas" w:hAnsi="Consolas"/>
          <w:b w:val="0"/>
          <w:i w:val="0"/>
          <w:color w:val="1A202C"/>
          <w:sz w:val="19"/>
        </w:rPr>
        <w:t>Gain = 0.5 * [ (G_L^2 / (H_L + lambda)) + (G_R^2 / (H_R + lambda)) - ((G_L + G_R)^2 / (H_L + H_R + lambda)) ] - gamma</w:t>
      </w:r>
    </w:p>
    <w:p>
      <w:pPr>
        <w:keepNext/>
        <w:spacing w:before="200" w:after="80"/>
      </w:pPr>
      <w:r>
        <w:rPr>
          <w:rFonts w:ascii="Times New Roman" w:hAnsi="Times New Roman"/>
          <w:b/>
          <w:i w:val="0"/>
          <w:color w:val="2D3748"/>
          <w:sz w:val="25"/>
        </w:rPr>
        <w:t>2.3.2 Unsupervised Isolation Forest (iForest)</w:t>
      </w:r>
    </w:p>
    <w:p>
      <w:pPr>
        <w:spacing w:before="0" w:after="80" w:line="276" w:lineRule="auto"/>
        <w:jc w:val="both"/>
      </w:pPr>
      <w:r>
        <w:rPr>
          <w:rFonts w:ascii="Times New Roman" w:hAnsi="Times New Roman"/>
          <w:b w:val="0"/>
          <w:i w:val="0"/>
          <w:sz w:val="24"/>
        </w:rPr>
        <w:t>Unlike density-based or distance-based anomaly detectors, Isolation Forest isolates anomalies explicitly using binary tree partitioning. The fundamental axiom of iForest is that anomalous points are 'few and different'—they reside in sparse regions of the multi-dimensional feature space, meaning they require significantly fewer random recursive partitions to be isolated at leaf nodes.</w:t>
        <w:br/>
        <w:br/>
        <w:t>Given a transactional subsample X = {x_1, ..., x_n}, an Isolation Tree (iTree) is constructed by recursively choosing a random feature q and a random split value p between the minimum and maximum of q in X. The recursive depth h(x) is the number of edges x traverses from the root to an external termination leaf.</w:t>
        <w:br/>
        <w:br/>
        <w:t>The average path length c(n) of an unsuccessful search in a Binary Search Tree (BST) provides the theoretical normalization baseline for a dataset of size n:</w:t>
      </w:r>
    </w:p>
    <w:p>
      <w:pPr>
        <w:spacing w:before="120" w:after="160" w:line="252" w:lineRule="auto"/>
        <w:shd w:fill="EDF2F7"/>
      </w:pPr>
      <w:r>
        <w:rPr>
          <w:rFonts w:ascii="Consolas" w:hAnsi="Consolas"/>
          <w:b w:val="0"/>
          <w:i w:val="0"/>
          <w:color w:val="1A202C"/>
          <w:sz w:val="19"/>
        </w:rPr>
        <w:t>c(n) = 2 * (ln(n - 1) + 0.5772156649) - (2 * (n - 1) / n)  [where 0.5772156649 is Euler-Mascheroni constant]</w:t>
      </w:r>
    </w:p>
    <w:p>
      <w:pPr>
        <w:spacing w:before="0" w:after="80" w:line="276" w:lineRule="auto"/>
        <w:jc w:val="both"/>
      </w:pPr>
      <w:r>
        <w:rPr>
          <w:rFonts w:ascii="Times New Roman" w:hAnsi="Times New Roman"/>
          <w:b w:val="0"/>
          <w:i w:val="0"/>
          <w:sz w:val="24"/>
        </w:rPr>
        <w:t>For an ensemble of m Isolation Trees, the anomaly score s(x, n) of an unseen transaction vector x is mathematically formulated as:</w:t>
      </w:r>
    </w:p>
    <w:p>
      <w:pPr>
        <w:spacing w:before="120" w:after="160" w:line="252" w:lineRule="auto"/>
        <w:shd w:fill="EDF2F7"/>
      </w:pPr>
      <w:r>
        <w:rPr>
          <w:rFonts w:ascii="Consolas" w:hAnsi="Consolas"/>
          <w:b w:val="0"/>
          <w:i w:val="0"/>
          <w:color w:val="1A202C"/>
          <w:sz w:val="19"/>
        </w:rPr>
        <w:t>s(x, n) = 2 ^ ( - E(h(x)) / c(n) )</w:t>
      </w:r>
    </w:p>
    <w:p>
      <w:pPr>
        <w:spacing w:before="0" w:after="160" w:line="276" w:lineRule="auto"/>
        <w:jc w:val="both"/>
      </w:pPr>
      <w:r>
        <w:rPr>
          <w:rFonts w:ascii="Times New Roman" w:hAnsi="Times New Roman"/>
          <w:b w:val="0"/>
          <w:i w:val="0"/>
          <w:sz w:val="24"/>
        </w:rPr>
        <w:t>The mathematical properties of the anomaly score s(x, n) dictate that:</w:t>
        <w:br/>
        <w:t>• If E(h(x)) -&gt; 0  ==&gt;  s(x, n) -&gt; 1.0  (Highly anomalous transaction; isolated near root)</w:t>
        <w:br/>
        <w:t>• If E(h(x)) -&gt; n - 1  ==&gt;  s(x, n) -&gt; 0.0  (Completely normal transaction; buried deep in trees)</w:t>
        <w:br/>
        <w:t>• If E(h(x)) -&gt; c(n)  ==&gt;  s(x, n) -&gt; 0.5  (Indeterminate transactional pattern)</w:t>
      </w:r>
    </w:p>
    <w:p>
      <w:pPr>
        <w:keepNext/>
        <w:spacing w:before="200" w:after="80"/>
      </w:pPr>
      <w:r>
        <w:rPr>
          <w:rFonts w:ascii="Times New Roman" w:hAnsi="Times New Roman"/>
          <w:b/>
          <w:i w:val="0"/>
          <w:color w:val="2D3748"/>
          <w:sz w:val="25"/>
        </w:rPr>
        <w:t>2.3.3 Semi-Supervised Deep MLP Reconstruction Autoencoder</w:t>
      </w:r>
    </w:p>
    <w:p>
      <w:pPr>
        <w:spacing w:before="0" w:after="80" w:line="276" w:lineRule="auto"/>
        <w:jc w:val="both"/>
      </w:pPr>
      <w:r>
        <w:rPr>
          <w:rFonts w:ascii="Times New Roman" w:hAnsi="Times New Roman"/>
          <w:b w:val="0"/>
          <w:i w:val="0"/>
          <w:sz w:val="24"/>
        </w:rPr>
        <w:t>The third analytical pillar of FinGuard is a deep Multi-Layer Perceptron (MLP) Reconstruction Autoencoder. An autoencoder is a symmetrical neural network trained in an unsupervised or semi-supervised manner to copy its input to its output through an informational bottleneck.</w:t>
        <w:br/>
        <w:br/>
        <w:t>In FinGuard, the autoencoder is trained exclusively on non-fraudulent (legitimate) transactions (y = 0). As a consequence, the network learns an optimal low-dimensional manifold projection specifically representing legitimate financial transactions.</w:t>
        <w:br/>
        <w:br/>
        <w:t>The network architecture comprises an Encoder function f_phi and a Decoder function g_theta:</w:t>
      </w:r>
    </w:p>
    <w:p>
      <w:pPr>
        <w:spacing w:before="120" w:after="160" w:line="252" w:lineRule="auto"/>
        <w:shd w:fill="EDF2F7"/>
      </w:pPr>
      <w:r>
        <w:rPr>
          <w:rFonts w:ascii="Consolas" w:hAnsi="Consolas"/>
          <w:b w:val="0"/>
          <w:i w:val="0"/>
          <w:color w:val="1A202C"/>
          <w:sz w:val="19"/>
        </w:rPr>
        <w:t>Encoder:  z = f_phi(x) = sigma( W_e * x + b_e )     [Projection to bottleneck latent space: R^18 -&gt; R^8]</w:t>
        <w:br/>
        <w:t>Decoder:  x_hat = g_theta(z) = sigma( W_d * z + b_d ) [Reconstruction back to input space: R^8 -&gt; R^18]</w:t>
      </w:r>
    </w:p>
    <w:p>
      <w:pPr>
        <w:spacing w:before="0" w:after="80" w:line="276" w:lineRule="auto"/>
        <w:jc w:val="both"/>
      </w:pPr>
      <w:r>
        <w:rPr>
          <w:rFonts w:ascii="Times New Roman" w:hAnsi="Times New Roman"/>
          <w:b w:val="0"/>
          <w:i w:val="0"/>
          <w:sz w:val="24"/>
        </w:rPr>
        <w:t>The training objective minimizes the Mean Squared Error (MSE) reconstruction loss across legitimate transactional samples:</w:t>
      </w:r>
    </w:p>
    <w:p>
      <w:pPr>
        <w:spacing w:before="120" w:after="160" w:line="252" w:lineRule="auto"/>
        <w:shd w:fill="EDF2F7"/>
      </w:pPr>
      <w:r>
        <w:rPr>
          <w:rFonts w:ascii="Consolas" w:hAnsi="Consolas"/>
          <w:b w:val="0"/>
          <w:i w:val="0"/>
          <w:color w:val="1A202C"/>
          <w:sz w:val="19"/>
        </w:rPr>
        <w:t>L_AE(x, x_hat) = (1 / d) * sum_{j=1}^d ( x_j - x_hat_j )^2</w:t>
      </w:r>
    </w:p>
    <w:p>
      <w:pPr>
        <w:spacing w:before="0" w:after="200" w:line="276" w:lineRule="auto"/>
        <w:jc w:val="both"/>
      </w:pPr>
      <w:r>
        <w:rPr>
          <w:rFonts w:ascii="Times New Roman" w:hAnsi="Times New Roman"/>
          <w:b w:val="0"/>
          <w:i w:val="0"/>
          <w:sz w:val="24"/>
        </w:rPr>
        <w:t>During inference, when an anomalous or fraudulent transaction containing unnatural combinations of amount, hour, and velocity is passed through the network, the autoencoder fails to accurately reconstruct it because the pattern deviates from the learned legitimate manifold. The resulting high reconstruction error L_AE provides a direct, uncheatable anomaly signal.</w:t>
      </w:r>
    </w:p>
    <w:p>
      <w:pPr>
        <w:spacing w:before="200" w:after="8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9_autoencoder_reconstruction.png"/>
                    <pic:cNvPicPr/>
                  </pic:nvPicPr>
                  <pic:blipFill>
                    <a:blip r:embed="rId10"/>
                    <a:stretch>
                      <a:fillRect/>
                    </a:stretch>
                  </pic:blipFill>
                  <pic:spPr>
                    <a:xfrm>
                      <a:off x="0" y="0"/>
                      <a:ext cx="5303520" cy="2946400"/>
                    </a:xfrm>
                    <a:prstGeom prst="rect"/>
                  </pic:spPr>
                </pic:pic>
              </a:graphicData>
            </a:graphic>
          </wp:inline>
        </w:drawing>
      </w:r>
    </w:p>
    <w:p>
      <w:pPr>
        <w:keepNext w:val="0"/>
        <w:spacing w:before="40" w:after="240"/>
        <w:jc w:val="center"/>
      </w:pPr>
      <w:r>
        <w:rPr>
          <w:rFonts w:ascii="Times New Roman" w:hAnsi="Times New Roman"/>
          <w:b/>
          <w:i/>
          <w:color w:val="2D3748"/>
          <w:sz w:val="21"/>
        </w:rPr>
        <w:t>Figure 2.1: Deep MLP Autoencoder Latent Bottleneck Error Distribution (Legitimate vs Anomalous)</w:t>
      </w:r>
    </w:p>
    <w:p>
      <w:pPr>
        <w:keepNext/>
        <w:spacing w:before="280" w:after="120"/>
      </w:pPr>
      <w:r>
        <w:rPr>
          <w:rFonts w:ascii="Times New Roman" w:hAnsi="Times New Roman"/>
          <w:b/>
          <w:i w:val="0"/>
          <w:color w:val="2D3748"/>
          <w:sz w:val="28"/>
        </w:rPr>
        <w:t>2.4 Multi-Model Weighted Soft-Voting Risk Engine Formulation</w:t>
      </w:r>
    </w:p>
    <w:p>
      <w:pPr>
        <w:spacing w:before="0" w:after="80" w:line="276" w:lineRule="auto"/>
        <w:jc w:val="both"/>
      </w:pPr>
      <w:r>
        <w:rPr>
          <w:rFonts w:ascii="Times New Roman" w:hAnsi="Times New Roman"/>
          <w:b w:val="0"/>
          <w:i w:val="0"/>
          <w:sz w:val="24"/>
        </w:rPr>
        <w:t>To achieve optimal discriminative stability, FinGuard fuses the outputs of the three models using a calibrated weighted soft-voting scheme. Let P_XGB in [0, 1] denote the supervised fraud probability from XGBoost, S_IF in [-0.5, 0.5] denote the decision function score from Isolation Forest, and E_AE denote the MSE reconstruction error from the MLP Autoencoder.</w:t>
        <w:br/>
        <w:br/>
        <w:t>The continuous FinGuard Anomaly Risk Score R(x) in [0.0, 1.0] is formulated as:</w:t>
      </w:r>
    </w:p>
    <w:p>
      <w:pPr>
        <w:spacing w:before="120" w:after="160" w:line="252" w:lineRule="auto"/>
        <w:shd w:fill="EDF2F7"/>
      </w:pPr>
      <w:r>
        <w:rPr>
          <w:rFonts w:ascii="Consolas" w:hAnsi="Consolas"/>
          <w:b w:val="0"/>
          <w:i w:val="0"/>
          <w:color w:val="1A202C"/>
          <w:sz w:val="19"/>
        </w:rPr>
        <w:t>R(x) = 0.55 * P_XGB + 0.25 * [ 1.0 - ( (S_IF - S_min) / (S_max - S_min) ) ] + 0.20 * min( E_AE / AE_MAX, 1.0 )</w:t>
      </w:r>
    </w:p>
    <w:p>
      <w:pPr>
        <w:spacing w:before="0" w:after="80" w:line="276" w:lineRule="auto"/>
        <w:jc w:val="both"/>
      </w:pPr>
      <w:r>
        <w:rPr>
          <w:rFonts w:ascii="Times New Roman" w:hAnsi="Times New Roman"/>
          <w:b w:val="0"/>
          <w:i w:val="0"/>
          <w:sz w:val="24"/>
        </w:rPr>
        <w:t>The empirical weights (55% XGBoost, 25% Isolation Forest, 20% Autoencoder) were calibrated using grid-search cross-validation to maximize the F1-score on the evaluation dataset while maintaining zero false positives on known regular transactions.</w:t>
        <w:br/>
        <w:br/>
        <w:t>The continuous risk score R(x) is mapped to operational banking actions via a dual-threshold decision policy:</w:t>
      </w:r>
    </w:p>
    <w:p>
      <w:pPr>
        <w:spacing w:before="120" w:after="160" w:line="252" w:lineRule="auto"/>
        <w:shd w:fill="EDF2F7"/>
      </w:pPr>
      <w:r>
        <w:rPr>
          <w:rFonts w:ascii="Consolas" w:hAnsi="Consolas"/>
          <w:b w:val="0"/>
          <w:i w:val="0"/>
          <w:color w:val="1A202C"/>
          <w:sz w:val="19"/>
        </w:rPr>
        <w:t>Decision Policy:</w:t>
        <w:br/>
        <w:t xml:space="preserve">  If R(x) &lt; 0.35          ==&gt; Risk Level: LOW     ==&gt; Action: APPROVE (Instant settlement)</w:t>
        <w:br/>
        <w:t xml:space="preserve">  If 0.35 &lt;= R(x) &lt; 0.70  ==&gt; Risk Level: MEDIUM  ==&gt; Action: REVIEW  (Step-up 2FA challenge / manual hold)</w:t>
        <w:br/>
        <w:t xml:space="preserve">  If R(x) &gt;= 0.70         ==&gt; Risk Level: HIGH    ==&gt; Action: BLOCK   (Immediate transaction termination)</w:t>
      </w:r>
    </w:p>
    <w:p>
      <w:pPr>
        <w:spacing w:before="200" w:after="80"/>
        <w:jc w:val="center"/>
      </w:pPr>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fig3_ensemble_architecture.png"/>
                    <pic:cNvPicPr/>
                  </pic:nvPicPr>
                  <pic:blipFill>
                    <a:blip r:embed="rId11"/>
                    <a:stretch>
                      <a:fillRect/>
                    </a:stretch>
                  </pic:blipFill>
                  <pic:spPr>
                    <a:xfrm>
                      <a:off x="0" y="0"/>
                      <a:ext cx="5303520" cy="2916936"/>
                    </a:xfrm>
                    <a:prstGeom prst="rect"/>
                  </pic:spPr>
                </pic:pic>
              </a:graphicData>
            </a:graphic>
          </wp:inline>
        </w:drawing>
      </w:r>
    </w:p>
    <w:p>
      <w:pPr>
        <w:keepNext w:val="0"/>
        <w:spacing w:before="40" w:after="240"/>
        <w:jc w:val="center"/>
      </w:pPr>
      <w:r>
        <w:rPr>
          <w:rFonts w:ascii="Times New Roman" w:hAnsi="Times New Roman"/>
          <w:b/>
          <w:i/>
          <w:color w:val="2D3748"/>
          <w:sz w:val="21"/>
        </w:rPr>
        <w:t>Figure 2.2: Tri-Model Ensemble Weight Allocation and Decision Policy in FinGuard Risk Engine</w:t>
      </w:r>
    </w:p>
    <w:p>
      <w:r>
        <w:br w:type="page"/>
      </w:r>
    </w:p>
    <w:p>
      <w:pPr>
        <w:keepNext/>
        <w:spacing w:before="360" w:after="160"/>
      </w:pPr>
      <w:r>
        <w:rPr>
          <w:rFonts w:ascii="Times New Roman" w:hAnsi="Times New Roman"/>
          <w:b/>
          <w:i w:val="0"/>
          <w:color w:val="1A365D"/>
          <w:sz w:val="32"/>
        </w:rPr>
        <w:t>Chapter 3: System Analysis, Architecture &amp; Design</w:t>
      </w:r>
    </w:p>
    <w:p>
      <w:pPr>
        <w:keepNext/>
        <w:spacing w:before="280" w:after="120"/>
      </w:pPr>
      <w:r>
        <w:rPr>
          <w:rFonts w:ascii="Times New Roman" w:hAnsi="Times New Roman"/>
          <w:b/>
          <w:i w:val="0"/>
          <w:color w:val="2D3748"/>
          <w:sz w:val="28"/>
        </w:rPr>
        <w:t>3.1 Technology Stack Matrix</w:t>
      </w:r>
    </w:p>
    <w:p>
      <w:pPr>
        <w:spacing w:before="0" w:after="160" w:line="276" w:lineRule="auto"/>
        <w:jc w:val="both"/>
      </w:pPr>
      <w:r>
        <w:rPr>
          <w:rFonts w:ascii="Times New Roman" w:hAnsi="Times New Roman"/>
          <w:b w:val="0"/>
          <w:i w:val="0"/>
          <w:sz w:val="24"/>
        </w:rPr>
        <w:t>The FinGuard platform is engineered using modern, open-source, production-grade technologies selected to achieve optimal latency, scalability, maintainability, and developer productivity. Table 3.1 details the technology stack matrix.</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3000"/>
        <w:gridCol w:w="3000"/>
        <w:gridCol w:w="3000"/>
      </w:tblGrid>
      <w:tr>
        <w:trPr>
          <w:cantSplit/>
        </w:trPr>
        <w:tc>
          <w:tcPr>
            <w:tcW w:type="dxa" w:w="3000"/>
            <w:shd w:fill="EBF8FF"/>
            <w:tcMar>
              <w:top w:w="120" w:type="dxa"/>
              <w:bottom w:w="120" w:type="dxa"/>
              <w:left w:w="160" w:type="dxa"/>
              <w:right w:w="160" w:type="dxa"/>
            </w:tcMar>
            <w:vAlign w:val="center"/>
          </w:tcPr>
          <w:p>
            <w:r>
              <w:rPr>
                <w:b/>
              </w:rPr>
              <w:t>Architectural Tier</w:t>
            </w:r>
          </w:p>
        </w:tc>
        <w:tc>
          <w:tcPr>
            <w:tcW w:type="dxa" w:w="3000"/>
            <w:shd w:fill="EBF8FF"/>
            <w:tcMar>
              <w:top w:w="120" w:type="dxa"/>
              <w:bottom w:w="120" w:type="dxa"/>
              <w:left w:w="160" w:type="dxa"/>
              <w:right w:w="160" w:type="dxa"/>
            </w:tcMar>
            <w:vAlign w:val="center"/>
          </w:tcPr>
          <w:p>
            <w:r>
              <w:rPr>
                <w:b/>
              </w:rPr>
              <w:t>Selected Technology</w:t>
            </w:r>
          </w:p>
        </w:tc>
        <w:tc>
          <w:tcPr>
            <w:tcW w:type="dxa" w:w="3000"/>
            <w:shd w:fill="EBF8FF"/>
            <w:tcMar>
              <w:top w:w="120" w:type="dxa"/>
              <w:bottom w:w="120" w:type="dxa"/>
              <w:left w:w="160" w:type="dxa"/>
              <w:right w:w="160" w:type="dxa"/>
            </w:tcMar>
            <w:vAlign w:val="center"/>
          </w:tcPr>
          <w:p>
            <w:r>
              <w:rPr>
                <w:b/>
              </w:rPr>
              <w:t>Implementation Role &amp; Responsibility</w:t>
            </w:r>
          </w:p>
        </w:tc>
      </w:tr>
      <w:tr>
        <w:trPr>
          <w:cantSplit/>
        </w:trPr>
        <w:tc>
          <w:tcPr>
            <w:tcW w:type="dxa" w:w="3000"/>
            <w:shd w:fill="F7FAFC"/>
            <w:tcMar>
              <w:top w:w="120" w:type="dxa"/>
              <w:bottom w:w="120" w:type="dxa"/>
              <w:left w:w="160" w:type="dxa"/>
              <w:right w:w="160" w:type="dxa"/>
            </w:tcMar>
            <w:vAlign w:val="center"/>
          </w:tcPr>
          <w:p>
            <w:r>
              <w:rPr>
                <w:b/>
              </w:rPr>
              <w:t>Presentation Layer (Client SPA)</w:t>
            </w:r>
          </w:p>
        </w:tc>
        <w:tc>
          <w:tcPr>
            <w:tcW w:type="dxa" w:w="3000"/>
            <w:shd w:fill="F7FAFC"/>
            <w:tcMar>
              <w:top w:w="120" w:type="dxa"/>
              <w:bottom w:w="120" w:type="dxa"/>
              <w:left w:w="160" w:type="dxa"/>
              <w:right w:w="160" w:type="dxa"/>
            </w:tcMar>
            <w:vAlign w:val="center"/>
          </w:tcPr>
          <w:p>
            <w:r>
              <w:t>React 18.3, Vite 5.4, Recharts 3.10, Modern CSS3</w:t>
            </w:r>
          </w:p>
        </w:tc>
        <w:tc>
          <w:tcPr>
            <w:tcW w:type="dxa" w:w="3000"/>
            <w:shd w:fill="F7FAFC"/>
            <w:tcMar>
              <w:top w:w="120" w:type="dxa"/>
              <w:bottom w:w="120" w:type="dxa"/>
              <w:left w:w="160" w:type="dxa"/>
              <w:right w:w="160" w:type="dxa"/>
            </w:tcMar>
            <w:vAlign w:val="center"/>
          </w:tcPr>
          <w:p>
            <w:r>
              <w:t>Reactive single-page dashboard, real-time transaction telemetry, risk treemaps, and interactive probe simulator.</w:t>
            </w:r>
          </w:p>
        </w:tc>
      </w:tr>
      <w:tr>
        <w:trPr>
          <w:cantSplit/>
        </w:trPr>
        <w:tc>
          <w:tcPr>
            <w:tcW w:type="dxa" w:w="3000"/>
            <w:tcMar>
              <w:top w:w="120" w:type="dxa"/>
              <w:bottom w:w="120" w:type="dxa"/>
              <w:left w:w="160" w:type="dxa"/>
              <w:right w:w="160" w:type="dxa"/>
            </w:tcMar>
            <w:vAlign w:val="center"/>
          </w:tcPr>
          <w:p>
            <w:r>
              <w:rPr>
                <w:b/>
              </w:rPr>
              <w:t>API &amp; Inference Server</w:t>
            </w:r>
          </w:p>
        </w:tc>
        <w:tc>
          <w:tcPr>
            <w:tcW w:type="dxa" w:w="3000"/>
            <w:tcMar>
              <w:top w:w="120" w:type="dxa"/>
              <w:bottom w:w="120" w:type="dxa"/>
              <w:left w:w="160" w:type="dxa"/>
              <w:right w:w="160" w:type="dxa"/>
            </w:tcMar>
            <w:vAlign w:val="center"/>
          </w:tcPr>
          <w:p>
            <w:r>
              <w:t>FastAPI 0.110+, Uvicorn 0.54, Python 3.10</w:t>
            </w:r>
          </w:p>
        </w:tc>
        <w:tc>
          <w:tcPr>
            <w:tcW w:type="dxa" w:w="3000"/>
            <w:tcMar>
              <w:top w:w="120" w:type="dxa"/>
              <w:bottom w:w="120" w:type="dxa"/>
              <w:left w:w="160" w:type="dxa"/>
              <w:right w:w="160" w:type="dxa"/>
            </w:tcMar>
            <w:vAlign w:val="center"/>
          </w:tcPr>
          <w:p>
            <w:r>
              <w:t>Asynchronous ASGI web server, Pydantic data validation, high-throughput REST endpoints, and static SPA serving.</w:t>
            </w:r>
          </w:p>
        </w:tc>
      </w:tr>
      <w:tr>
        <w:trPr>
          <w:cantSplit/>
        </w:trPr>
        <w:tc>
          <w:tcPr>
            <w:tcW w:type="dxa" w:w="3000"/>
            <w:shd w:fill="F7FAFC"/>
            <w:tcMar>
              <w:top w:w="120" w:type="dxa"/>
              <w:bottom w:w="120" w:type="dxa"/>
              <w:left w:w="160" w:type="dxa"/>
              <w:right w:w="160" w:type="dxa"/>
            </w:tcMar>
            <w:vAlign w:val="center"/>
          </w:tcPr>
          <w:p>
            <w:r>
              <w:rPr>
                <w:b/>
              </w:rPr>
              <w:t>Machine Learning Core</w:t>
            </w:r>
          </w:p>
        </w:tc>
        <w:tc>
          <w:tcPr>
            <w:tcW w:type="dxa" w:w="3000"/>
            <w:shd w:fill="F7FAFC"/>
            <w:tcMar>
              <w:top w:w="120" w:type="dxa"/>
              <w:bottom w:w="120" w:type="dxa"/>
              <w:left w:w="160" w:type="dxa"/>
              <w:right w:w="160" w:type="dxa"/>
            </w:tcMar>
            <w:vAlign w:val="center"/>
          </w:tcPr>
          <w:p>
            <w:r>
              <w:t>XGBoost 3.2, Scikit-Learn 1.4, Joblib 1.6, NumPy 1.26</w:t>
            </w:r>
          </w:p>
        </w:tc>
        <w:tc>
          <w:tcPr>
            <w:tcW w:type="dxa" w:w="3000"/>
            <w:shd w:fill="F7FAFC"/>
            <w:tcMar>
              <w:top w:w="120" w:type="dxa"/>
              <w:bottom w:w="120" w:type="dxa"/>
              <w:left w:w="160" w:type="dxa"/>
              <w:right w:w="160" w:type="dxa"/>
            </w:tcMar>
            <w:vAlign w:val="center"/>
          </w:tcPr>
          <w:p>
            <w:r>
              <w:t>Feature matrix scaling, tree-partitioning isolation forest, gradient boosted trees, and autoencoder inference.</w:t>
            </w:r>
          </w:p>
        </w:tc>
      </w:tr>
      <w:tr>
        <w:trPr>
          <w:cantSplit/>
        </w:trPr>
        <w:tc>
          <w:tcPr>
            <w:tcW w:type="dxa" w:w="3000"/>
            <w:tcMar>
              <w:top w:w="120" w:type="dxa"/>
              <w:bottom w:w="120" w:type="dxa"/>
              <w:left w:w="160" w:type="dxa"/>
              <w:right w:w="160" w:type="dxa"/>
            </w:tcMar>
            <w:vAlign w:val="center"/>
          </w:tcPr>
          <w:p>
            <w:r>
              <w:rPr>
                <w:b/>
              </w:rPr>
              <w:t>Data Persistence &amp; Storage</w:t>
            </w:r>
          </w:p>
        </w:tc>
        <w:tc>
          <w:tcPr>
            <w:tcW w:type="dxa" w:w="3000"/>
            <w:tcMar>
              <w:top w:w="120" w:type="dxa"/>
              <w:bottom w:w="120" w:type="dxa"/>
              <w:left w:w="160" w:type="dxa"/>
              <w:right w:w="160" w:type="dxa"/>
            </w:tcMar>
            <w:vAlign w:val="center"/>
          </w:tcPr>
          <w:p>
            <w:r>
              <w:t>PostgreSQL 16, SQLAlchemy 2.0, SQLite3, CSV Fallback</w:t>
            </w:r>
          </w:p>
        </w:tc>
        <w:tc>
          <w:tcPr>
            <w:tcW w:type="dxa" w:w="3000"/>
            <w:tcMar>
              <w:top w:w="120" w:type="dxa"/>
              <w:bottom w:w="120" w:type="dxa"/>
              <w:left w:w="160" w:type="dxa"/>
              <w:right w:w="160" w:type="dxa"/>
            </w:tcMar>
            <w:vAlign w:val="center"/>
          </w:tcPr>
          <w:p>
            <w:r>
              <w:t>Dual-mode transactional storage; writes to PostgreSQL when DATABASE_URL is set, falls back to thread-safe local CSV.</w:t>
            </w:r>
          </w:p>
        </w:tc>
      </w:tr>
      <w:tr>
        <w:trPr>
          <w:cantSplit/>
        </w:trPr>
        <w:tc>
          <w:tcPr>
            <w:tcW w:type="dxa" w:w="3000"/>
            <w:shd w:fill="F7FAFC"/>
            <w:tcMar>
              <w:top w:w="120" w:type="dxa"/>
              <w:bottom w:w="120" w:type="dxa"/>
              <w:left w:w="160" w:type="dxa"/>
              <w:right w:w="160" w:type="dxa"/>
            </w:tcMar>
            <w:vAlign w:val="center"/>
          </w:tcPr>
          <w:p>
            <w:r>
              <w:rPr>
                <w:b/>
              </w:rPr>
              <w:t>Cloud Platform &amp; Hosting</w:t>
            </w:r>
          </w:p>
        </w:tc>
        <w:tc>
          <w:tcPr>
            <w:tcW w:type="dxa" w:w="3000"/>
            <w:shd w:fill="F7FAFC"/>
            <w:tcMar>
              <w:top w:w="120" w:type="dxa"/>
              <w:bottom w:w="120" w:type="dxa"/>
              <w:left w:w="160" w:type="dxa"/>
              <w:right w:w="160" w:type="dxa"/>
            </w:tcMar>
            <w:vAlign w:val="center"/>
          </w:tcPr>
          <w:p>
            <w:r>
              <w:t>Render Cloud Application Platform (render.yaml, env: docker)</w:t>
            </w:r>
          </w:p>
        </w:tc>
        <w:tc>
          <w:tcPr>
            <w:tcW w:type="dxa" w:w="3000"/>
            <w:shd w:fill="F7FAFC"/>
            <w:tcMar>
              <w:top w:w="120" w:type="dxa"/>
              <w:bottom w:w="120" w:type="dxa"/>
              <w:left w:w="160" w:type="dxa"/>
              <w:right w:w="160" w:type="dxa"/>
            </w:tcMar>
            <w:vAlign w:val="center"/>
          </w:tcPr>
          <w:p>
            <w:r>
              <w:t>Autonomous single-service cloud hosting, zero-downtime rolling deploys, automated TLS, and custom domain routing.</w:t>
            </w:r>
          </w:p>
        </w:tc>
      </w:tr>
      <w:tr>
        <w:trPr>
          <w:cantSplit/>
        </w:trPr>
        <w:tc>
          <w:tcPr>
            <w:tcW w:type="dxa" w:w="3000"/>
            <w:tcMar>
              <w:top w:w="120" w:type="dxa"/>
              <w:bottom w:w="120" w:type="dxa"/>
              <w:left w:w="160" w:type="dxa"/>
              <w:right w:w="160" w:type="dxa"/>
            </w:tcMar>
            <w:vAlign w:val="center"/>
          </w:tcPr>
          <w:p>
            <w:r>
              <w:rPr>
                <w:b/>
              </w:rPr>
              <w:t>Containerization &amp; Orchestration</w:t>
            </w:r>
          </w:p>
        </w:tc>
        <w:tc>
          <w:tcPr>
            <w:tcW w:type="dxa" w:w="3000"/>
            <w:tcMar>
              <w:top w:w="120" w:type="dxa"/>
              <w:bottom w:w="120" w:type="dxa"/>
              <w:left w:w="160" w:type="dxa"/>
              <w:right w:w="160" w:type="dxa"/>
            </w:tcMar>
            <w:vAlign w:val="center"/>
          </w:tcPr>
          <w:p>
            <w:r>
              <w:t>Docker (Engine 29.9+), Multi-Stage Dockerfile, Compose</w:t>
            </w:r>
          </w:p>
        </w:tc>
        <w:tc>
          <w:tcPr>
            <w:tcW w:type="dxa" w:w="3000"/>
            <w:tcMar>
              <w:top w:w="120" w:type="dxa"/>
              <w:bottom w:w="120" w:type="dxa"/>
              <w:left w:w="160" w:type="dxa"/>
              <w:right w:w="160" w:type="dxa"/>
            </w:tcMar>
            <w:vAlign w:val="center"/>
          </w:tcPr>
          <w:p>
            <w:r>
              <w:t>All-in-one unified container image packaging React frontend dist and FastAPI backend into a single runtime image.</w:t>
            </w:r>
          </w:p>
        </w:tc>
      </w:tr>
      <w:tr>
        <w:trPr>
          <w:cantSplit/>
        </w:trPr>
        <w:tc>
          <w:tcPr>
            <w:tcW w:type="dxa" w:w="3000"/>
            <w:shd w:fill="F7FAFC"/>
            <w:tcMar>
              <w:top w:w="120" w:type="dxa"/>
              <w:bottom w:w="120" w:type="dxa"/>
              <w:left w:w="160" w:type="dxa"/>
              <w:right w:w="160" w:type="dxa"/>
            </w:tcMar>
            <w:vAlign w:val="center"/>
          </w:tcPr>
          <w:p>
            <w:r>
              <w:rPr>
                <w:b/>
              </w:rPr>
              <w:t>Edge Networking &amp; Dynamic DNS</w:t>
            </w:r>
          </w:p>
        </w:tc>
        <w:tc>
          <w:tcPr>
            <w:tcW w:type="dxa" w:w="3000"/>
            <w:shd w:fill="F7FAFC"/>
            <w:tcMar>
              <w:top w:w="120" w:type="dxa"/>
              <w:bottom w:w="120" w:type="dxa"/>
              <w:left w:w="160" w:type="dxa"/>
              <w:right w:w="160" w:type="dxa"/>
            </w:tcMar>
            <w:vAlign w:val="center"/>
          </w:tcPr>
          <w:p>
            <w:r>
              <w:t>DuckDNS Dynamic DNS Service (finguarddd.duckdns.org)</w:t>
            </w:r>
          </w:p>
        </w:tc>
        <w:tc>
          <w:tcPr>
            <w:tcW w:type="dxa" w:w="3000"/>
            <w:shd w:fill="F7FAFC"/>
            <w:tcMar>
              <w:top w:w="120" w:type="dxa"/>
              <w:bottom w:w="120" w:type="dxa"/>
              <w:left w:w="160" w:type="dxa"/>
              <w:right w:w="160" w:type="dxa"/>
            </w:tcMar>
            <w:vAlign w:val="center"/>
          </w:tcPr>
          <w:p>
            <w:r>
              <w:t>Automated DDNS synchronization keeping finguarddd.duckdns.org resolved to current public IP with port forwarding.</w:t>
            </w:r>
          </w:p>
        </w:tc>
      </w:tr>
    </w:tbl>
    <w:p>
      <w:pPr>
        <w:spacing w:before="0" w:after="240" w:line="276" w:lineRule="auto"/>
        <w:jc w:val="center"/>
      </w:pPr>
      <w:r>
        <w:rPr>
          <w:rFonts w:ascii="Times New Roman" w:hAnsi="Times New Roman"/>
          <w:b w:val="0"/>
          <w:i/>
          <w:sz w:val="20"/>
        </w:rPr>
        <w:t>Table 3.1: Production Technology Stack &amp; Architectural Framework Allocation</w:t>
      </w:r>
    </w:p>
    <w:p>
      <w:pPr>
        <w:keepNext/>
        <w:spacing w:before="280" w:after="120"/>
      </w:pPr>
      <w:r>
        <w:rPr>
          <w:rFonts w:ascii="Times New Roman" w:hAnsi="Times New Roman"/>
          <w:b/>
          <w:i w:val="0"/>
          <w:color w:val="2D3748"/>
          <w:sz w:val="28"/>
        </w:rPr>
        <w:t>3.2 High-Level System Architecture &amp; Component Interaction</w:t>
      </w:r>
    </w:p>
    <w:p>
      <w:pPr>
        <w:spacing w:before="0" w:after="200" w:line="276" w:lineRule="auto"/>
        <w:jc w:val="both"/>
      </w:pPr>
      <w:r>
        <w:rPr>
          <w:rFonts w:ascii="Times New Roman" w:hAnsi="Times New Roman"/>
          <w:b w:val="0"/>
          <w:i w:val="0"/>
          <w:sz w:val="24"/>
        </w:rPr>
        <w:t>FinGuard adopts an asynchronous Model-View-Controller (MVC) architectural pattern augmented by a dedicated Machine Learning Inference Pipeline. Figure 3.1 illustrates the end-to-end system topology across presentation, gateway, inference, and persistence boundaries.</w:t>
      </w:r>
    </w:p>
    <w:p>
      <w:pPr>
        <w:spacing w:before="200" w:after="80"/>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303520" cy="3093720"/>
                    </a:xfrm>
                    <a:prstGeom prst="rect"/>
                  </pic:spPr>
                </pic:pic>
              </a:graphicData>
            </a:graphic>
          </wp:inline>
        </w:drawing>
      </w:r>
    </w:p>
    <w:p>
      <w:pPr>
        <w:keepNext w:val="0"/>
        <w:spacing w:before="40" w:after="240"/>
        <w:jc w:val="center"/>
      </w:pPr>
      <w:r>
        <w:rPr>
          <w:rFonts w:ascii="Times New Roman" w:hAnsi="Times New Roman"/>
          <w:b/>
          <w:i/>
          <w:color w:val="2D3748"/>
          <w:sz w:val="21"/>
        </w:rPr>
        <w:t>Figure 3.1: FinGuard End-to-End System Architecture Block Diagram</w:t>
      </w:r>
    </w:p>
    <w:p>
      <w:pPr>
        <w:spacing w:before="0" w:after="240" w:line="288" w:lineRule="auto"/>
        <w:jc w:val="both"/>
      </w:pPr>
      <w:r>
        <w:rPr>
          <w:rFonts w:ascii="Times New Roman" w:hAnsi="Times New Roman"/>
          <w:b w:val="0"/>
          <w:i w:val="0"/>
          <w:sz w:val="24"/>
        </w:rPr>
        <w:t>The architectural lifecycle of a transaction through FinGuard proceeds as follows:</w:t>
        <w:br/>
        <w:br/>
        <w:t>1. Ingestion: A client terminal (e-commerce checkout, point-of-sale device, or simulated stream) submits an HTTP POST request containing transaction attributes (user ID, amount, merchant, location, device, hour) to /predict.</w:t>
        <w:br/>
        <w:br/>
        <w:t>2. Schema Validation: FastAPI receives the payload and executes instantaneous schema validation via Pydantic model Txn. Malformed requests are immediately rejected with HTTP 422 before reaching the computational pipeline.</w:t>
        <w:br/>
        <w:br/>
        <w:t>3. Feature Vector Transformation: The raw dictionary is dispatched to single_to_vector in src/features.py, which transforms continuous values, computes velocity and amount-to-previous ratios, and applies one-hot categorical encoding. The vector is standardized using the pre-fit StandardScaler.</w:t>
        <w:br/>
        <w:br/>
        <w:t>4. Concurrent Multi-Model Inference: The scaled vector Xs is concurrently evaluated by the three models:</w:t>
        <w:br/>
        <w:t xml:space="preserve">   • XGBoost computes the class-1 posterior probability p_sup.</w:t>
        <w:br/>
        <w:t xml:space="preserve">   • Isolation Forest evaluates the tree-partitioning decision score if_s.</w:t>
        <w:br/>
        <w:t xml:space="preserve">   • MLP Autoencoder computes the reconstruction vector x_hat and calculates the MSE reconstruction loss ae_err.</w:t>
        <w:br/>
        <w:br/>
        <w:t>5. Ensemble Fusion &amp; Decision: The combine function in src/risk_engine.py weights the three signals, derives the overall anomaly_score, assigns the risk_level (LOW, MEDIUM, HIGH), and dictates the statutory decision (APPROVE, REVIEW, BLOCK).</w:t>
        <w:br/>
        <w:br/>
        <w:t>6. Persistence &amp; Response: The transaction details and anomaly verdict are logged asynchronously to the active storage backend (Postgres or CSV). The complete JSON verdict, including granular model telemetry signals, is returned to the client in under 15 milliseconds.</w:t>
      </w:r>
    </w:p>
    <w:p>
      <w:pPr>
        <w:keepNext/>
        <w:spacing w:before="280" w:after="120"/>
      </w:pPr>
      <w:r>
        <w:rPr>
          <w:rFonts w:ascii="Times New Roman" w:hAnsi="Times New Roman"/>
          <w:b/>
          <w:i w:val="0"/>
          <w:color w:val="2D3748"/>
          <w:sz w:val="28"/>
        </w:rPr>
        <w:t>3.3 Data Flow Architecture (DFD Levels 0, 1, and 2)</w:t>
      </w:r>
    </w:p>
    <w:p>
      <w:pPr>
        <w:spacing w:before="0" w:after="200" w:line="288" w:lineRule="auto"/>
        <w:jc w:val="both"/>
      </w:pPr>
      <w:r>
        <w:rPr>
          <w:rFonts w:ascii="Times New Roman" w:hAnsi="Times New Roman"/>
          <w:b w:val="0"/>
          <w:i w:val="0"/>
          <w:sz w:val="24"/>
        </w:rPr>
        <w:t>To formalize information flows through the system, the data flow architecture is structured hierarchically:</w:t>
        <w:br/>
        <w:br/>
        <w:t>• DFD Level 0 (Context Diagram): The external user/merchant sends raw transactional payloads across the public internet (via DuckDNS). FinGuard treats the request as a black-box analytical process and returns a structured fraud verdict JSON.</w:t>
        <w:br/>
        <w:br/>
        <w:t>• DFD Level 1 (Macro Subsystems): Decomposes FinGuard into five primary processes: (P1) Request Authentication &amp; Validation, (P2) Feature Engineering &amp; Normalization, (P3) Ensemble ML Inference, (P4) Risk Engine Decision Allocation, and (P5) Transaction Store Logging.</w:t>
        <w:br/>
        <w:br/>
        <w:t>• DFD Level 2 (Inference Micro-Flow): Explodes Process P3 to illustrate the parallel dispatch of transformed vector Xs to XGBoost, Isolation Forest, and Autoencoder models, followed by normalized signal aggregation.</w:t>
      </w:r>
    </w:p>
    <w:p>
      <w:pPr>
        <w:keepNext/>
        <w:spacing w:before="280" w:after="120"/>
      </w:pPr>
      <w:r>
        <w:rPr>
          <w:rFonts w:ascii="Times New Roman" w:hAnsi="Times New Roman"/>
          <w:b/>
          <w:i w:val="0"/>
          <w:color w:val="2D3748"/>
          <w:sz w:val="28"/>
        </w:rPr>
        <w:t>3.4 Feature Engineering Pipeline &amp; Dimensionality Vectors</w:t>
      </w:r>
    </w:p>
    <w:p>
      <w:pPr>
        <w:spacing w:before="0" w:after="160" w:line="276" w:lineRule="auto"/>
        <w:jc w:val="both"/>
      </w:pPr>
      <w:r>
        <w:rPr>
          <w:rFonts w:ascii="Times New Roman" w:hAnsi="Times New Roman"/>
          <w:b w:val="0"/>
          <w:i w:val="0"/>
          <w:sz w:val="24"/>
        </w:rPr>
        <w:t>Machine learning models require numerical matrices rather than raw JSON strings. The feature pipeline implemented in src/features.py transforms 10 raw transactional fields into an 18-dimensional normalized mathematical vector. Table 3.2 specifies the feature vector definition.</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2250"/>
        <w:gridCol w:w="2250"/>
        <w:gridCol w:w="2250"/>
        <w:gridCol w:w="2250"/>
      </w:tblGrid>
      <w:tr>
        <w:trPr>
          <w:cantSplit/>
        </w:trPr>
        <w:tc>
          <w:tcPr>
            <w:tcW w:type="dxa" w:w="2250"/>
            <w:shd w:fill="EBF8FF"/>
            <w:tcMar>
              <w:top w:w="120" w:type="dxa"/>
              <w:bottom w:w="120" w:type="dxa"/>
              <w:left w:w="160" w:type="dxa"/>
              <w:right w:w="160" w:type="dxa"/>
            </w:tcMar>
            <w:vAlign w:val="center"/>
          </w:tcPr>
          <w:p>
            <w:r>
              <w:rPr>
                <w:b/>
              </w:rPr>
              <w:t>Vector Index</w:t>
            </w:r>
          </w:p>
        </w:tc>
        <w:tc>
          <w:tcPr>
            <w:tcW w:type="dxa" w:w="2250"/>
            <w:shd w:fill="EBF8FF"/>
            <w:tcMar>
              <w:top w:w="120" w:type="dxa"/>
              <w:bottom w:w="120" w:type="dxa"/>
              <w:left w:w="160" w:type="dxa"/>
              <w:right w:w="160" w:type="dxa"/>
            </w:tcMar>
            <w:vAlign w:val="center"/>
          </w:tcPr>
          <w:p>
            <w:r>
              <w:rPr>
                <w:b/>
              </w:rPr>
              <w:t>Transformed Feature Name</w:t>
            </w:r>
          </w:p>
        </w:tc>
        <w:tc>
          <w:tcPr>
            <w:tcW w:type="dxa" w:w="2250"/>
            <w:shd w:fill="EBF8FF"/>
            <w:tcMar>
              <w:top w:w="120" w:type="dxa"/>
              <w:bottom w:w="120" w:type="dxa"/>
              <w:left w:w="160" w:type="dxa"/>
              <w:right w:w="160" w:type="dxa"/>
            </w:tcMar>
            <w:vAlign w:val="center"/>
          </w:tcPr>
          <w:p>
            <w:r>
              <w:rPr>
                <w:b/>
              </w:rPr>
              <w:t>Transformation Technique</w:t>
            </w:r>
          </w:p>
        </w:tc>
        <w:tc>
          <w:tcPr>
            <w:tcW w:type="dxa" w:w="2250"/>
            <w:shd w:fill="EBF8FF"/>
            <w:tcMar>
              <w:top w:w="120" w:type="dxa"/>
              <w:bottom w:w="120" w:type="dxa"/>
              <w:left w:w="160" w:type="dxa"/>
              <w:right w:w="160" w:type="dxa"/>
            </w:tcMar>
            <w:vAlign w:val="center"/>
          </w:tcPr>
          <w:p>
            <w:r>
              <w:rPr>
                <w:b/>
              </w:rPr>
              <w:t>Fraud Detection Significance</w:t>
            </w:r>
          </w:p>
        </w:tc>
      </w:tr>
      <w:tr>
        <w:trPr>
          <w:cantSplit/>
        </w:trPr>
        <w:tc>
          <w:tcPr>
            <w:tcW w:type="dxa" w:w="2250"/>
            <w:shd w:fill="F7FAFC"/>
            <w:tcMar>
              <w:top w:w="120" w:type="dxa"/>
              <w:bottom w:w="120" w:type="dxa"/>
              <w:left w:w="160" w:type="dxa"/>
              <w:right w:w="160" w:type="dxa"/>
            </w:tcMar>
            <w:vAlign w:val="center"/>
          </w:tcPr>
          <w:p>
            <w:r>
              <w:rPr>
                <w:b/>
              </w:rPr>
              <w:t>col_00</w:t>
            </w:r>
          </w:p>
        </w:tc>
        <w:tc>
          <w:tcPr>
            <w:tcW w:type="dxa" w:w="2250"/>
            <w:shd w:fill="F7FAFC"/>
            <w:tcMar>
              <w:top w:w="120" w:type="dxa"/>
              <w:bottom w:w="120" w:type="dxa"/>
              <w:left w:w="160" w:type="dxa"/>
              <w:right w:w="160" w:type="dxa"/>
            </w:tcMar>
            <w:vAlign w:val="center"/>
          </w:tcPr>
          <w:p>
            <w:r>
              <w:t>scaled_amount</w:t>
            </w:r>
          </w:p>
        </w:tc>
        <w:tc>
          <w:tcPr>
            <w:tcW w:type="dxa" w:w="2250"/>
            <w:shd w:fill="F7FAFC"/>
            <w:tcMar>
              <w:top w:w="120" w:type="dxa"/>
              <w:bottom w:w="120" w:type="dxa"/>
              <w:left w:w="160" w:type="dxa"/>
              <w:right w:w="160" w:type="dxa"/>
            </w:tcMar>
            <w:vAlign w:val="center"/>
          </w:tcPr>
          <w:p>
            <w:r>
              <w:t>StandardScaler (Z-Score)</w:t>
            </w:r>
          </w:p>
        </w:tc>
        <w:tc>
          <w:tcPr>
            <w:tcW w:type="dxa" w:w="2250"/>
            <w:shd w:fill="F7FAFC"/>
            <w:tcMar>
              <w:top w:w="120" w:type="dxa"/>
              <w:bottom w:w="120" w:type="dxa"/>
              <w:left w:w="160" w:type="dxa"/>
              <w:right w:w="160" w:type="dxa"/>
            </w:tcMar>
            <w:vAlign w:val="center"/>
          </w:tcPr>
          <w:p>
            <w:r>
              <w:t>Detects massive spending deviations above baseline.</w:t>
            </w:r>
          </w:p>
        </w:tc>
      </w:tr>
      <w:tr>
        <w:trPr>
          <w:cantSplit/>
        </w:trPr>
        <w:tc>
          <w:tcPr>
            <w:tcW w:type="dxa" w:w="2250"/>
            <w:tcMar>
              <w:top w:w="120" w:type="dxa"/>
              <w:bottom w:w="120" w:type="dxa"/>
              <w:left w:w="160" w:type="dxa"/>
              <w:right w:w="160" w:type="dxa"/>
            </w:tcMar>
            <w:vAlign w:val="center"/>
          </w:tcPr>
          <w:p>
            <w:r>
              <w:rPr>
                <w:b/>
              </w:rPr>
              <w:t>col_01</w:t>
            </w:r>
          </w:p>
        </w:tc>
        <w:tc>
          <w:tcPr>
            <w:tcW w:type="dxa" w:w="2250"/>
            <w:tcMar>
              <w:top w:w="120" w:type="dxa"/>
              <w:bottom w:w="120" w:type="dxa"/>
              <w:left w:w="160" w:type="dxa"/>
              <w:right w:w="160" w:type="dxa"/>
            </w:tcMar>
            <w:vAlign w:val="center"/>
          </w:tcPr>
          <w:p>
            <w:r>
              <w:t>transaction_hour</w:t>
            </w:r>
          </w:p>
        </w:tc>
        <w:tc>
          <w:tcPr>
            <w:tcW w:type="dxa" w:w="2250"/>
            <w:tcMar>
              <w:top w:w="120" w:type="dxa"/>
              <w:bottom w:w="120" w:type="dxa"/>
              <w:left w:w="160" w:type="dxa"/>
              <w:right w:w="160" w:type="dxa"/>
            </w:tcMar>
            <w:vAlign w:val="center"/>
          </w:tcPr>
          <w:p>
            <w:r>
              <w:t>Numerical / Nocturnal Weight</w:t>
            </w:r>
          </w:p>
        </w:tc>
        <w:tc>
          <w:tcPr>
            <w:tcW w:type="dxa" w:w="2250"/>
            <w:tcMar>
              <w:top w:w="120" w:type="dxa"/>
              <w:bottom w:w="120" w:type="dxa"/>
              <w:left w:w="160" w:type="dxa"/>
              <w:right w:w="160" w:type="dxa"/>
            </w:tcMar>
            <w:vAlign w:val="center"/>
          </w:tcPr>
          <w:p>
            <w:r>
              <w:t>Flags high-risk 1:00 AM - 4:00 AM transactions.</w:t>
            </w:r>
          </w:p>
        </w:tc>
      </w:tr>
      <w:tr>
        <w:trPr>
          <w:cantSplit/>
        </w:trPr>
        <w:tc>
          <w:tcPr>
            <w:tcW w:type="dxa" w:w="2250"/>
            <w:shd w:fill="F7FAFC"/>
            <w:tcMar>
              <w:top w:w="120" w:type="dxa"/>
              <w:bottom w:w="120" w:type="dxa"/>
              <w:left w:w="160" w:type="dxa"/>
              <w:right w:w="160" w:type="dxa"/>
            </w:tcMar>
            <w:vAlign w:val="center"/>
          </w:tcPr>
          <w:p>
            <w:r>
              <w:rPr>
                <w:b/>
              </w:rPr>
              <w:t>col_02</w:t>
            </w:r>
          </w:p>
        </w:tc>
        <w:tc>
          <w:tcPr>
            <w:tcW w:type="dxa" w:w="2250"/>
            <w:shd w:fill="F7FAFC"/>
            <w:tcMar>
              <w:top w:w="120" w:type="dxa"/>
              <w:bottom w:w="120" w:type="dxa"/>
              <w:left w:w="160" w:type="dxa"/>
              <w:right w:w="160" w:type="dxa"/>
            </w:tcMar>
            <w:vAlign w:val="center"/>
          </w:tcPr>
          <w:p>
            <w:r>
              <w:t>amount_to_prev_ratio</w:t>
            </w:r>
          </w:p>
        </w:tc>
        <w:tc>
          <w:tcPr>
            <w:tcW w:type="dxa" w:w="2250"/>
            <w:shd w:fill="F7FAFC"/>
            <w:tcMar>
              <w:top w:w="120" w:type="dxa"/>
              <w:bottom w:w="120" w:type="dxa"/>
              <w:left w:w="160" w:type="dxa"/>
              <w:right w:w="160" w:type="dxa"/>
            </w:tcMar>
            <w:vAlign w:val="center"/>
          </w:tcPr>
          <w:p>
            <w:r>
              <w:t>amount / (prev_amount + 1e-5)</w:t>
            </w:r>
          </w:p>
        </w:tc>
        <w:tc>
          <w:tcPr>
            <w:tcW w:type="dxa" w:w="2250"/>
            <w:shd w:fill="F7FAFC"/>
            <w:tcMar>
              <w:top w:w="120" w:type="dxa"/>
              <w:bottom w:w="120" w:type="dxa"/>
              <w:left w:w="160" w:type="dxa"/>
              <w:right w:w="160" w:type="dxa"/>
            </w:tcMar>
            <w:vAlign w:val="center"/>
          </w:tcPr>
          <w:p>
            <w:r>
              <w:t>Identifies sudden 10x-40x spending spikes.</w:t>
            </w:r>
          </w:p>
        </w:tc>
      </w:tr>
      <w:tr>
        <w:trPr>
          <w:cantSplit/>
        </w:trPr>
        <w:tc>
          <w:tcPr>
            <w:tcW w:type="dxa" w:w="2250"/>
            <w:tcMar>
              <w:top w:w="120" w:type="dxa"/>
              <w:bottom w:w="120" w:type="dxa"/>
              <w:left w:w="160" w:type="dxa"/>
              <w:right w:w="160" w:type="dxa"/>
            </w:tcMar>
            <w:vAlign w:val="center"/>
          </w:tcPr>
          <w:p>
            <w:r>
              <w:rPr>
                <w:b/>
              </w:rPr>
              <w:t>col_03</w:t>
            </w:r>
          </w:p>
        </w:tc>
        <w:tc>
          <w:tcPr>
            <w:tcW w:type="dxa" w:w="2250"/>
            <w:tcMar>
              <w:top w:w="120" w:type="dxa"/>
              <w:bottom w:w="120" w:type="dxa"/>
              <w:left w:w="160" w:type="dxa"/>
              <w:right w:w="160" w:type="dxa"/>
            </w:tcMar>
            <w:vAlign w:val="center"/>
          </w:tcPr>
          <w:p>
            <w:r>
              <w:t>txn_per_hour</w:t>
            </w:r>
          </w:p>
        </w:tc>
        <w:tc>
          <w:tcPr>
            <w:tcW w:type="dxa" w:w="2250"/>
            <w:tcMar>
              <w:top w:w="120" w:type="dxa"/>
              <w:bottom w:w="120" w:type="dxa"/>
              <w:left w:w="160" w:type="dxa"/>
              <w:right w:w="160" w:type="dxa"/>
            </w:tcMar>
            <w:vAlign w:val="center"/>
          </w:tcPr>
          <w:p>
            <w:r>
              <w:t>Frequency Count Scaling</w:t>
            </w:r>
          </w:p>
        </w:tc>
        <w:tc>
          <w:tcPr>
            <w:tcW w:type="dxa" w:w="2250"/>
            <w:tcMar>
              <w:top w:w="120" w:type="dxa"/>
              <w:bottom w:w="120" w:type="dxa"/>
              <w:left w:w="160" w:type="dxa"/>
              <w:right w:w="160" w:type="dxa"/>
            </w:tcMar>
            <w:vAlign w:val="center"/>
          </w:tcPr>
          <w:p>
            <w:r>
              <w:t>Detects automated card-testing burst velocity attacks.</w:t>
            </w:r>
          </w:p>
        </w:tc>
      </w:tr>
      <w:tr>
        <w:trPr>
          <w:cantSplit/>
        </w:trPr>
        <w:tc>
          <w:tcPr>
            <w:tcW w:type="dxa" w:w="2250"/>
            <w:shd w:fill="F7FAFC"/>
            <w:tcMar>
              <w:top w:w="120" w:type="dxa"/>
              <w:bottom w:w="120" w:type="dxa"/>
              <w:left w:w="160" w:type="dxa"/>
              <w:right w:w="160" w:type="dxa"/>
            </w:tcMar>
            <w:vAlign w:val="center"/>
          </w:tcPr>
          <w:p>
            <w:r>
              <w:rPr>
                <w:b/>
              </w:rPr>
              <w:t>col_04</w:t>
            </w:r>
          </w:p>
        </w:tc>
        <w:tc>
          <w:tcPr>
            <w:tcW w:type="dxa" w:w="2250"/>
            <w:shd w:fill="F7FAFC"/>
            <w:tcMar>
              <w:top w:w="120" w:type="dxa"/>
              <w:bottom w:w="120" w:type="dxa"/>
              <w:left w:w="160" w:type="dxa"/>
              <w:right w:w="160" w:type="dxa"/>
            </w:tcMar>
            <w:vAlign w:val="center"/>
          </w:tcPr>
          <w:p>
            <w:r>
              <w:t>account_age_days</w:t>
            </w:r>
          </w:p>
        </w:tc>
        <w:tc>
          <w:tcPr>
            <w:tcW w:type="dxa" w:w="2250"/>
            <w:shd w:fill="F7FAFC"/>
            <w:tcMar>
              <w:top w:w="120" w:type="dxa"/>
              <w:bottom w:w="120" w:type="dxa"/>
              <w:left w:w="160" w:type="dxa"/>
              <w:right w:w="160" w:type="dxa"/>
            </w:tcMar>
            <w:vAlign w:val="center"/>
          </w:tcPr>
          <w:p>
            <w:r>
              <w:t>StandardScaler (Z-Score)</w:t>
            </w:r>
          </w:p>
        </w:tc>
        <w:tc>
          <w:tcPr>
            <w:tcW w:type="dxa" w:w="2250"/>
            <w:shd w:fill="F7FAFC"/>
            <w:tcMar>
              <w:top w:w="120" w:type="dxa"/>
              <w:bottom w:w="120" w:type="dxa"/>
              <w:left w:w="160" w:type="dxa"/>
              <w:right w:w="160" w:type="dxa"/>
            </w:tcMar>
            <w:vAlign w:val="center"/>
          </w:tcPr>
          <w:p>
            <w:r>
              <w:t>Identifies high-risk newly minted synthetic accounts.</w:t>
            </w:r>
          </w:p>
        </w:tc>
      </w:tr>
      <w:tr>
        <w:trPr>
          <w:cantSplit/>
        </w:trPr>
        <w:tc>
          <w:tcPr>
            <w:tcW w:type="dxa" w:w="2250"/>
            <w:tcMar>
              <w:top w:w="120" w:type="dxa"/>
              <w:bottom w:w="120" w:type="dxa"/>
              <w:left w:w="160" w:type="dxa"/>
              <w:right w:w="160" w:type="dxa"/>
            </w:tcMar>
            <w:vAlign w:val="center"/>
          </w:tcPr>
          <w:p>
            <w:r>
              <w:rPr>
                <w:b/>
              </w:rPr>
              <w:t>col_05-17</w:t>
            </w:r>
          </w:p>
        </w:tc>
        <w:tc>
          <w:tcPr>
            <w:tcW w:type="dxa" w:w="2250"/>
            <w:tcMar>
              <w:top w:w="120" w:type="dxa"/>
              <w:bottom w:w="120" w:type="dxa"/>
              <w:left w:w="160" w:type="dxa"/>
              <w:right w:w="160" w:type="dxa"/>
            </w:tcMar>
            <w:vAlign w:val="center"/>
          </w:tcPr>
          <w:p>
            <w:r>
              <w:t>one_hot_merchant / device / type</w:t>
            </w:r>
          </w:p>
        </w:tc>
        <w:tc>
          <w:tcPr>
            <w:tcW w:type="dxa" w:w="2250"/>
            <w:tcMar>
              <w:top w:w="120" w:type="dxa"/>
              <w:bottom w:w="120" w:type="dxa"/>
              <w:left w:w="160" w:type="dxa"/>
              <w:right w:w="160" w:type="dxa"/>
            </w:tcMar>
            <w:vAlign w:val="center"/>
          </w:tcPr>
          <w:p>
            <w:r>
              <w:t>One-Hot Categorical Binarization</w:t>
            </w:r>
          </w:p>
        </w:tc>
        <w:tc>
          <w:tcPr>
            <w:tcW w:type="dxa" w:w="2250"/>
            <w:tcMar>
              <w:top w:w="120" w:type="dxa"/>
              <w:bottom w:w="120" w:type="dxa"/>
              <w:left w:w="160" w:type="dxa"/>
              <w:right w:w="160" w:type="dxa"/>
            </w:tcMar>
            <w:vAlign w:val="center"/>
          </w:tcPr>
          <w:p>
            <w:r>
              <w:t>Captures risk profiles of electronics, travel, unknown devices.</w:t>
            </w:r>
          </w:p>
        </w:tc>
      </w:tr>
    </w:tbl>
    <w:p>
      <w:pPr>
        <w:spacing w:before="0" w:after="240" w:line="276" w:lineRule="auto"/>
        <w:jc w:val="center"/>
      </w:pPr>
      <w:r>
        <w:rPr>
          <w:rFonts w:ascii="Times New Roman" w:hAnsi="Times New Roman"/>
          <w:b w:val="0"/>
          <w:i/>
          <w:sz w:val="20"/>
        </w:rPr>
        <w:t>Table 3.2: Transformed Mathematical Feature Engineering Vector Specification</w:t>
      </w:r>
    </w:p>
    <w:p>
      <w:pPr>
        <w:spacing w:before="200" w:after="80"/>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fig6_feature_importance.png"/>
                    <pic:cNvPicPr/>
                  </pic:nvPicPr>
                  <pic:blipFill>
                    <a:blip r:embed="rId13"/>
                    <a:stretch>
                      <a:fillRect/>
                    </a:stretch>
                  </pic:blipFill>
                  <pic:spPr>
                    <a:xfrm>
                      <a:off x="0" y="0"/>
                      <a:ext cx="5303520" cy="3241040"/>
                    </a:xfrm>
                    <a:prstGeom prst="rect"/>
                  </pic:spPr>
                </pic:pic>
              </a:graphicData>
            </a:graphic>
          </wp:inline>
        </w:drawing>
      </w:r>
    </w:p>
    <w:p>
      <w:pPr>
        <w:keepNext w:val="0"/>
        <w:spacing w:before="40" w:after="240"/>
        <w:jc w:val="center"/>
      </w:pPr>
      <w:r>
        <w:rPr>
          <w:rFonts w:ascii="Times New Roman" w:hAnsi="Times New Roman"/>
          <w:b/>
          <w:i/>
          <w:color w:val="2D3748"/>
          <w:sz w:val="21"/>
        </w:rPr>
        <w:t>Figure 3.2: XGBoost Supervised Relative Gini Feature Importance Ranking</w:t>
      </w:r>
    </w:p>
    <w:p>
      <w:pPr>
        <w:keepNext/>
        <w:spacing w:before="280" w:after="120"/>
      </w:pPr>
      <w:r>
        <w:rPr>
          <w:rFonts w:ascii="Times New Roman" w:hAnsi="Times New Roman"/>
          <w:b/>
          <w:i w:val="0"/>
          <w:color w:val="2D3748"/>
          <w:sz w:val="28"/>
        </w:rPr>
        <w:t>3.5 Database &amp; Store Persistence Architecture</w:t>
      </w:r>
    </w:p>
    <w:p>
      <w:pPr>
        <w:spacing w:before="0" w:after="160" w:line="276" w:lineRule="auto"/>
        <w:jc w:val="both"/>
      </w:pPr>
      <w:r>
        <w:rPr>
          <w:rFonts w:ascii="Times New Roman" w:hAnsi="Times New Roman"/>
          <w:b w:val="0"/>
          <w:i w:val="0"/>
          <w:sz w:val="24"/>
        </w:rPr>
        <w:t>FinGuard is architected with a resilient dual-mode persistence layer managed in src/store.py. When an external PostgreSQL database connection string is supplied via the DATABASE_URL environment variable, FinGuard automatically creates and manages a relational PostgreSQL schema. If no database is configured, or if the database connection encounters a transient network outage, the system seamlessly and transparently falls back to an append-only, thread-safe CSV log (data/predictions_log.csv). Table 3.3 presents the complete relational DDL specification.</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3000"/>
        <w:gridCol w:w="3000"/>
        <w:gridCol w:w="3000"/>
      </w:tblGrid>
      <w:tr>
        <w:trPr>
          <w:cantSplit/>
        </w:trPr>
        <w:tc>
          <w:tcPr>
            <w:tcW w:type="dxa" w:w="3000"/>
            <w:shd w:fill="EBF8FF"/>
            <w:tcMar>
              <w:top w:w="120" w:type="dxa"/>
              <w:bottom w:w="120" w:type="dxa"/>
              <w:left w:w="160" w:type="dxa"/>
              <w:right w:w="160" w:type="dxa"/>
            </w:tcMar>
            <w:vAlign w:val="center"/>
          </w:tcPr>
          <w:p>
            <w:r>
              <w:rPr>
                <w:b/>
              </w:rPr>
              <w:t>Column Name</w:t>
            </w:r>
          </w:p>
        </w:tc>
        <w:tc>
          <w:tcPr>
            <w:tcW w:type="dxa" w:w="3000"/>
            <w:shd w:fill="EBF8FF"/>
            <w:tcMar>
              <w:top w:w="120" w:type="dxa"/>
              <w:bottom w:w="120" w:type="dxa"/>
              <w:left w:w="160" w:type="dxa"/>
              <w:right w:w="160" w:type="dxa"/>
            </w:tcMar>
            <w:vAlign w:val="center"/>
          </w:tcPr>
          <w:p>
            <w:r>
              <w:rPr>
                <w:b/>
              </w:rPr>
              <w:t>Data Type</w:t>
            </w:r>
          </w:p>
        </w:tc>
        <w:tc>
          <w:tcPr>
            <w:tcW w:type="dxa" w:w="3000"/>
            <w:shd w:fill="EBF8FF"/>
            <w:tcMar>
              <w:top w:w="120" w:type="dxa"/>
              <w:bottom w:w="120" w:type="dxa"/>
              <w:left w:w="160" w:type="dxa"/>
              <w:right w:w="160" w:type="dxa"/>
            </w:tcMar>
            <w:vAlign w:val="center"/>
          </w:tcPr>
          <w:p>
            <w:r>
              <w:rPr>
                <w:b/>
              </w:rPr>
              <w:t>Constraint &amp; Storage Purpose</w:t>
            </w:r>
          </w:p>
        </w:tc>
      </w:tr>
      <w:tr>
        <w:trPr>
          <w:cantSplit/>
        </w:trPr>
        <w:tc>
          <w:tcPr>
            <w:tcW w:type="dxa" w:w="3000"/>
            <w:shd w:fill="F7FAFC"/>
            <w:tcMar>
              <w:top w:w="120" w:type="dxa"/>
              <w:bottom w:w="120" w:type="dxa"/>
              <w:left w:w="160" w:type="dxa"/>
              <w:right w:w="160" w:type="dxa"/>
            </w:tcMar>
            <w:vAlign w:val="center"/>
          </w:tcPr>
          <w:p>
            <w:r>
              <w:rPr>
                <w:b/>
              </w:rPr>
              <w:t>id</w:t>
            </w:r>
          </w:p>
        </w:tc>
        <w:tc>
          <w:tcPr>
            <w:tcW w:type="dxa" w:w="3000"/>
            <w:shd w:fill="F7FAFC"/>
            <w:tcMar>
              <w:top w:w="120" w:type="dxa"/>
              <w:bottom w:w="120" w:type="dxa"/>
              <w:left w:w="160" w:type="dxa"/>
              <w:right w:w="160" w:type="dxa"/>
            </w:tcMar>
            <w:vAlign w:val="center"/>
          </w:tcPr>
          <w:p>
            <w:r>
              <w:t>SERIAL / INTEGER</w:t>
            </w:r>
          </w:p>
        </w:tc>
        <w:tc>
          <w:tcPr>
            <w:tcW w:type="dxa" w:w="3000"/>
            <w:shd w:fill="F7FAFC"/>
            <w:tcMar>
              <w:top w:w="120" w:type="dxa"/>
              <w:bottom w:w="120" w:type="dxa"/>
              <w:left w:w="160" w:type="dxa"/>
              <w:right w:w="160" w:type="dxa"/>
            </w:tcMar>
            <w:vAlign w:val="center"/>
          </w:tcPr>
          <w:p>
            <w:r>
              <w:t>PRIMARY KEY AUTOINCREMENT</w:t>
            </w:r>
          </w:p>
        </w:tc>
      </w:tr>
      <w:tr>
        <w:trPr>
          <w:cantSplit/>
        </w:trPr>
        <w:tc>
          <w:tcPr>
            <w:tcW w:type="dxa" w:w="3000"/>
            <w:tcMar>
              <w:top w:w="120" w:type="dxa"/>
              <w:bottom w:w="120" w:type="dxa"/>
              <w:left w:w="160" w:type="dxa"/>
              <w:right w:w="160" w:type="dxa"/>
            </w:tcMar>
            <w:vAlign w:val="center"/>
          </w:tcPr>
          <w:p>
            <w:r>
              <w:rPr>
                <w:b/>
              </w:rPr>
              <w:t>transaction_id</w:t>
            </w:r>
          </w:p>
        </w:tc>
        <w:tc>
          <w:tcPr>
            <w:tcW w:type="dxa" w:w="3000"/>
            <w:tcMar>
              <w:top w:w="120" w:type="dxa"/>
              <w:bottom w:w="120" w:type="dxa"/>
              <w:left w:w="160" w:type="dxa"/>
              <w:right w:w="160" w:type="dxa"/>
            </w:tcMar>
            <w:vAlign w:val="center"/>
          </w:tcPr>
          <w:p>
            <w:r>
              <w:t>VARCHAR(32)</w:t>
            </w:r>
          </w:p>
        </w:tc>
        <w:tc>
          <w:tcPr>
            <w:tcW w:type="dxa" w:w="3000"/>
            <w:tcMar>
              <w:top w:w="120" w:type="dxa"/>
              <w:bottom w:w="120" w:type="dxa"/>
              <w:left w:w="160" w:type="dxa"/>
              <w:right w:w="160" w:type="dxa"/>
            </w:tcMar>
            <w:vAlign w:val="center"/>
          </w:tcPr>
          <w:p>
            <w:r>
              <w:t>UNIQUE NOT NULL (e.g., 'TXN4A1B2C')</w:t>
            </w:r>
          </w:p>
        </w:tc>
      </w:tr>
      <w:tr>
        <w:trPr>
          <w:cantSplit/>
        </w:trPr>
        <w:tc>
          <w:tcPr>
            <w:tcW w:type="dxa" w:w="3000"/>
            <w:shd w:fill="F7FAFC"/>
            <w:tcMar>
              <w:top w:w="120" w:type="dxa"/>
              <w:bottom w:w="120" w:type="dxa"/>
              <w:left w:w="160" w:type="dxa"/>
              <w:right w:w="160" w:type="dxa"/>
            </w:tcMar>
            <w:vAlign w:val="center"/>
          </w:tcPr>
          <w:p>
            <w:r>
              <w:rPr>
                <w:b/>
              </w:rPr>
              <w:t>user_id, merchant_category, location</w:t>
            </w:r>
          </w:p>
        </w:tc>
        <w:tc>
          <w:tcPr>
            <w:tcW w:type="dxa" w:w="3000"/>
            <w:shd w:fill="F7FAFC"/>
            <w:tcMar>
              <w:top w:w="120" w:type="dxa"/>
              <w:bottom w:w="120" w:type="dxa"/>
              <w:left w:w="160" w:type="dxa"/>
              <w:right w:w="160" w:type="dxa"/>
            </w:tcMar>
            <w:vAlign w:val="center"/>
          </w:tcPr>
          <w:p>
            <w:r>
              <w:t>VARCHAR(64)</w:t>
            </w:r>
          </w:p>
        </w:tc>
        <w:tc>
          <w:tcPr>
            <w:tcW w:type="dxa" w:w="3000"/>
            <w:shd w:fill="F7FAFC"/>
            <w:tcMar>
              <w:top w:w="120" w:type="dxa"/>
              <w:bottom w:w="120" w:type="dxa"/>
              <w:left w:w="160" w:type="dxa"/>
              <w:right w:w="160" w:type="dxa"/>
            </w:tcMar>
            <w:vAlign w:val="center"/>
          </w:tcPr>
          <w:p>
            <w:r>
              <w:t>Categorical audit dimensions</w:t>
            </w:r>
          </w:p>
        </w:tc>
      </w:tr>
      <w:tr>
        <w:trPr>
          <w:cantSplit/>
        </w:trPr>
        <w:tc>
          <w:tcPr>
            <w:tcW w:type="dxa" w:w="3000"/>
            <w:tcMar>
              <w:top w:w="120" w:type="dxa"/>
              <w:bottom w:w="120" w:type="dxa"/>
              <w:left w:w="160" w:type="dxa"/>
              <w:right w:w="160" w:type="dxa"/>
            </w:tcMar>
            <w:vAlign w:val="center"/>
          </w:tcPr>
          <w:p>
            <w:r>
              <w:rPr>
                <w:b/>
              </w:rPr>
              <w:t>amount, anomaly_score</w:t>
            </w:r>
          </w:p>
        </w:tc>
        <w:tc>
          <w:tcPr>
            <w:tcW w:type="dxa" w:w="3000"/>
            <w:tcMar>
              <w:top w:w="120" w:type="dxa"/>
              <w:bottom w:w="120" w:type="dxa"/>
              <w:left w:w="160" w:type="dxa"/>
              <w:right w:w="160" w:type="dxa"/>
            </w:tcMar>
            <w:vAlign w:val="center"/>
          </w:tcPr>
          <w:p>
            <w:r>
              <w:t>DOUBLE PRECISION / REAL</w:t>
            </w:r>
          </w:p>
        </w:tc>
        <w:tc>
          <w:tcPr>
            <w:tcW w:type="dxa" w:w="3000"/>
            <w:tcMar>
              <w:top w:w="120" w:type="dxa"/>
              <w:bottom w:w="120" w:type="dxa"/>
              <w:left w:w="160" w:type="dxa"/>
              <w:right w:w="160" w:type="dxa"/>
            </w:tcMar>
            <w:vAlign w:val="center"/>
          </w:tcPr>
          <w:p>
            <w:r>
              <w:t>Numeric monetary and risk metrics</w:t>
            </w:r>
          </w:p>
        </w:tc>
      </w:tr>
      <w:tr>
        <w:trPr>
          <w:cantSplit/>
        </w:trPr>
        <w:tc>
          <w:tcPr>
            <w:tcW w:type="dxa" w:w="3000"/>
            <w:shd w:fill="F7FAFC"/>
            <w:tcMar>
              <w:top w:w="120" w:type="dxa"/>
              <w:bottom w:w="120" w:type="dxa"/>
              <w:left w:w="160" w:type="dxa"/>
              <w:right w:w="160" w:type="dxa"/>
            </w:tcMar>
            <w:vAlign w:val="center"/>
          </w:tcPr>
          <w:p>
            <w:r>
              <w:rPr>
                <w:b/>
              </w:rPr>
              <w:t>risk_level, decision</w:t>
            </w:r>
          </w:p>
        </w:tc>
        <w:tc>
          <w:tcPr>
            <w:tcW w:type="dxa" w:w="3000"/>
            <w:shd w:fill="F7FAFC"/>
            <w:tcMar>
              <w:top w:w="120" w:type="dxa"/>
              <w:bottom w:w="120" w:type="dxa"/>
              <w:left w:w="160" w:type="dxa"/>
              <w:right w:w="160" w:type="dxa"/>
            </w:tcMar>
            <w:vAlign w:val="center"/>
          </w:tcPr>
          <w:p>
            <w:r>
              <w:t>VARCHAR(16)</w:t>
            </w:r>
          </w:p>
        </w:tc>
        <w:tc>
          <w:tcPr>
            <w:tcW w:type="dxa" w:w="3000"/>
            <w:shd w:fill="F7FAFC"/>
            <w:tcMar>
              <w:top w:w="120" w:type="dxa"/>
              <w:bottom w:w="120" w:type="dxa"/>
              <w:left w:w="160" w:type="dxa"/>
              <w:right w:w="160" w:type="dxa"/>
            </w:tcMar>
            <w:vAlign w:val="center"/>
          </w:tcPr>
          <w:p>
            <w:r>
              <w:t>Operational audit verdicts ('LOW', 'APPROVE', etc.)</w:t>
            </w:r>
          </w:p>
        </w:tc>
      </w:tr>
    </w:tbl>
    <w:p>
      <w:pPr>
        <w:spacing w:before="0" w:after="240" w:line="276" w:lineRule="auto"/>
        <w:jc w:val="center"/>
      </w:pPr>
      <w:r>
        <w:rPr>
          <w:rFonts w:ascii="Times New Roman" w:hAnsi="Times New Roman"/>
          <w:b w:val="0"/>
          <w:i/>
          <w:sz w:val="20"/>
        </w:rPr>
        <w:t>Table 3.3: Relational Database Schema Definition (PostgreSQL / SQLite DDL)</w:t>
      </w:r>
    </w:p>
    <w:p>
      <w:pPr>
        <w:keepNext/>
        <w:spacing w:before="280" w:after="120"/>
      </w:pPr>
      <w:r>
        <w:rPr>
          <w:rFonts w:ascii="Times New Roman" w:hAnsi="Times New Roman"/>
          <w:b/>
          <w:i w:val="0"/>
          <w:color w:val="2D3748"/>
          <w:sz w:val="28"/>
        </w:rPr>
        <w:t>3.6 REST API Contract &amp; Endpoint Specifications</w:t>
      </w:r>
    </w:p>
    <w:p>
      <w:pPr>
        <w:spacing w:before="0" w:after="160" w:line="276" w:lineRule="auto"/>
        <w:jc w:val="both"/>
      </w:pPr>
      <w:r>
        <w:rPr>
          <w:rFonts w:ascii="Times New Roman" w:hAnsi="Times New Roman"/>
          <w:b w:val="0"/>
          <w:i w:val="0"/>
          <w:sz w:val="24"/>
        </w:rPr>
        <w:t>The FastAPI backend exposes a clean, standardized, high-performance RESTful API contract. Table 3.4 outlines the primary operational endpoints.</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2250"/>
        <w:gridCol w:w="2250"/>
        <w:gridCol w:w="2250"/>
        <w:gridCol w:w="2250"/>
      </w:tblGrid>
      <w:tr>
        <w:trPr>
          <w:cantSplit/>
        </w:trPr>
        <w:tc>
          <w:tcPr>
            <w:tcW w:type="dxa" w:w="2250"/>
            <w:shd w:fill="EBF8FF"/>
            <w:tcMar>
              <w:top w:w="120" w:type="dxa"/>
              <w:bottom w:w="120" w:type="dxa"/>
              <w:left w:w="160" w:type="dxa"/>
              <w:right w:w="160" w:type="dxa"/>
            </w:tcMar>
            <w:vAlign w:val="center"/>
          </w:tcPr>
          <w:p>
            <w:r>
              <w:rPr>
                <w:b/>
              </w:rPr>
              <w:t>Method</w:t>
            </w:r>
          </w:p>
        </w:tc>
        <w:tc>
          <w:tcPr>
            <w:tcW w:type="dxa" w:w="2250"/>
            <w:shd w:fill="EBF8FF"/>
            <w:tcMar>
              <w:top w:w="120" w:type="dxa"/>
              <w:bottom w:w="120" w:type="dxa"/>
              <w:left w:w="160" w:type="dxa"/>
              <w:right w:w="160" w:type="dxa"/>
            </w:tcMar>
            <w:vAlign w:val="center"/>
          </w:tcPr>
          <w:p>
            <w:r>
              <w:rPr>
                <w:b/>
              </w:rPr>
              <w:t>Path</w:t>
            </w:r>
          </w:p>
        </w:tc>
        <w:tc>
          <w:tcPr>
            <w:tcW w:type="dxa" w:w="2250"/>
            <w:shd w:fill="EBF8FF"/>
            <w:tcMar>
              <w:top w:w="120" w:type="dxa"/>
              <w:bottom w:w="120" w:type="dxa"/>
              <w:left w:w="160" w:type="dxa"/>
              <w:right w:w="160" w:type="dxa"/>
            </w:tcMar>
            <w:vAlign w:val="center"/>
          </w:tcPr>
          <w:p>
            <w:r>
              <w:rPr>
                <w:b/>
              </w:rPr>
              <w:t>Payload / Query</w:t>
            </w:r>
          </w:p>
        </w:tc>
        <w:tc>
          <w:tcPr>
            <w:tcW w:type="dxa" w:w="2250"/>
            <w:shd w:fill="EBF8FF"/>
            <w:tcMar>
              <w:top w:w="120" w:type="dxa"/>
              <w:bottom w:w="120" w:type="dxa"/>
              <w:left w:w="160" w:type="dxa"/>
              <w:right w:w="160" w:type="dxa"/>
            </w:tcMar>
            <w:vAlign w:val="center"/>
          </w:tcPr>
          <w:p>
            <w:r>
              <w:rPr>
                <w:b/>
              </w:rPr>
              <w:t>Response &amp; Status</w:t>
            </w:r>
          </w:p>
        </w:tc>
      </w:tr>
      <w:tr>
        <w:trPr>
          <w:cantSplit/>
        </w:trPr>
        <w:tc>
          <w:tcPr>
            <w:tcW w:type="dxa" w:w="2250"/>
            <w:shd w:fill="F7FAFC"/>
            <w:tcMar>
              <w:top w:w="120" w:type="dxa"/>
              <w:bottom w:w="120" w:type="dxa"/>
              <w:left w:w="160" w:type="dxa"/>
              <w:right w:w="160" w:type="dxa"/>
            </w:tcMar>
            <w:vAlign w:val="center"/>
          </w:tcPr>
          <w:p>
            <w:r>
              <w:rPr>
                <w:b/>
              </w:rPr>
              <w:t>POST</w:t>
            </w:r>
          </w:p>
        </w:tc>
        <w:tc>
          <w:tcPr>
            <w:tcW w:type="dxa" w:w="2250"/>
            <w:shd w:fill="F7FAFC"/>
            <w:tcMar>
              <w:top w:w="120" w:type="dxa"/>
              <w:bottom w:w="120" w:type="dxa"/>
              <w:left w:w="160" w:type="dxa"/>
              <w:right w:w="160" w:type="dxa"/>
            </w:tcMar>
            <w:vAlign w:val="center"/>
          </w:tcPr>
          <w:p>
            <w:r>
              <w:t>/predict</w:t>
            </w:r>
          </w:p>
        </w:tc>
        <w:tc>
          <w:tcPr>
            <w:tcW w:type="dxa" w:w="2250"/>
            <w:shd w:fill="F7FAFC"/>
            <w:tcMar>
              <w:top w:w="120" w:type="dxa"/>
              <w:bottom w:w="120" w:type="dxa"/>
              <w:left w:w="160" w:type="dxa"/>
              <w:right w:w="160" w:type="dxa"/>
            </w:tcMar>
            <w:vAlign w:val="center"/>
          </w:tcPr>
          <w:p>
            <w:r>
              <w:t>JSON: Single transaction Txn object</w:t>
            </w:r>
          </w:p>
        </w:tc>
        <w:tc>
          <w:tcPr>
            <w:tcW w:type="dxa" w:w="2250"/>
            <w:shd w:fill="F7FAFC"/>
            <w:tcMar>
              <w:top w:w="120" w:type="dxa"/>
              <w:bottom w:w="120" w:type="dxa"/>
              <w:left w:w="160" w:type="dxa"/>
              <w:right w:w="160" w:type="dxa"/>
            </w:tcMar>
            <w:vAlign w:val="center"/>
          </w:tcPr>
          <w:p>
            <w:r>
              <w:t>200 OK: Verdict JSON with granular model signals</w:t>
            </w:r>
          </w:p>
        </w:tc>
      </w:tr>
      <w:tr>
        <w:trPr>
          <w:cantSplit/>
        </w:trPr>
        <w:tc>
          <w:tcPr>
            <w:tcW w:type="dxa" w:w="2250"/>
            <w:tcMar>
              <w:top w:w="120" w:type="dxa"/>
              <w:bottom w:w="120" w:type="dxa"/>
              <w:left w:w="160" w:type="dxa"/>
              <w:right w:w="160" w:type="dxa"/>
            </w:tcMar>
            <w:vAlign w:val="center"/>
          </w:tcPr>
          <w:p>
            <w:r>
              <w:rPr>
                <w:b/>
              </w:rPr>
              <w:t>POST</w:t>
            </w:r>
          </w:p>
        </w:tc>
        <w:tc>
          <w:tcPr>
            <w:tcW w:type="dxa" w:w="2250"/>
            <w:tcMar>
              <w:top w:w="120" w:type="dxa"/>
              <w:bottom w:w="120" w:type="dxa"/>
              <w:left w:w="160" w:type="dxa"/>
              <w:right w:w="160" w:type="dxa"/>
            </w:tcMar>
            <w:vAlign w:val="center"/>
          </w:tcPr>
          <w:p>
            <w:r>
              <w:t>/predict/batch</w:t>
            </w:r>
          </w:p>
        </w:tc>
        <w:tc>
          <w:tcPr>
            <w:tcW w:type="dxa" w:w="2250"/>
            <w:tcMar>
              <w:top w:w="120" w:type="dxa"/>
              <w:bottom w:w="120" w:type="dxa"/>
              <w:left w:w="160" w:type="dxa"/>
              <w:right w:w="160" w:type="dxa"/>
            </w:tcMar>
            <w:vAlign w:val="center"/>
          </w:tcPr>
          <w:p>
            <w:r>
              <w:t>JSON: Array of Txn objects</w:t>
            </w:r>
          </w:p>
        </w:tc>
        <w:tc>
          <w:tcPr>
            <w:tcW w:type="dxa" w:w="2250"/>
            <w:tcMar>
              <w:top w:w="120" w:type="dxa"/>
              <w:bottom w:w="120" w:type="dxa"/>
              <w:left w:w="160" w:type="dxa"/>
              <w:right w:w="160" w:type="dxa"/>
            </w:tcMar>
            <w:vAlign w:val="center"/>
          </w:tcPr>
          <w:p>
            <w:r>
              <w:t>200 OK: Count and array of scored transaction results</w:t>
            </w:r>
          </w:p>
        </w:tc>
      </w:tr>
      <w:tr>
        <w:trPr>
          <w:cantSplit/>
        </w:trPr>
        <w:tc>
          <w:tcPr>
            <w:tcW w:type="dxa" w:w="2250"/>
            <w:shd w:fill="F7FAFC"/>
            <w:tcMar>
              <w:top w:w="120" w:type="dxa"/>
              <w:bottom w:w="120" w:type="dxa"/>
              <w:left w:w="160" w:type="dxa"/>
              <w:right w:w="160" w:type="dxa"/>
            </w:tcMar>
            <w:vAlign w:val="center"/>
          </w:tcPr>
          <w:p>
            <w:r>
              <w:rPr>
                <w:b/>
              </w:rPr>
              <w:t>GET</w:t>
            </w:r>
          </w:p>
        </w:tc>
        <w:tc>
          <w:tcPr>
            <w:tcW w:type="dxa" w:w="2250"/>
            <w:shd w:fill="F7FAFC"/>
            <w:tcMar>
              <w:top w:w="120" w:type="dxa"/>
              <w:bottom w:w="120" w:type="dxa"/>
              <w:left w:w="160" w:type="dxa"/>
              <w:right w:w="160" w:type="dxa"/>
            </w:tcMar>
            <w:vAlign w:val="center"/>
          </w:tcPr>
          <w:p>
            <w:r>
              <w:t>/stats</w:t>
            </w:r>
          </w:p>
        </w:tc>
        <w:tc>
          <w:tcPr>
            <w:tcW w:type="dxa" w:w="2250"/>
            <w:shd w:fill="F7FAFC"/>
            <w:tcMar>
              <w:top w:w="120" w:type="dxa"/>
              <w:bottom w:w="120" w:type="dxa"/>
              <w:left w:w="160" w:type="dxa"/>
              <w:right w:w="160" w:type="dxa"/>
            </w:tcMar>
            <w:vAlign w:val="center"/>
          </w:tcPr>
          <w:p>
            <w:r>
              <w:t>None</w:t>
            </w:r>
          </w:p>
        </w:tc>
        <w:tc>
          <w:tcPr>
            <w:tcW w:type="dxa" w:w="2250"/>
            <w:shd w:fill="F7FAFC"/>
            <w:tcMar>
              <w:top w:w="120" w:type="dxa"/>
              <w:bottom w:w="120" w:type="dxa"/>
              <w:left w:w="160" w:type="dxa"/>
              <w:right w:w="160" w:type="dxa"/>
            </w:tcMar>
            <w:vAlign w:val="center"/>
          </w:tcPr>
          <w:p>
            <w:r>
              <w:t>200 OK: Total scored, risk mix, merchant risk averages</w:t>
            </w:r>
          </w:p>
        </w:tc>
      </w:tr>
      <w:tr>
        <w:trPr>
          <w:cantSplit/>
        </w:trPr>
        <w:tc>
          <w:tcPr>
            <w:tcW w:type="dxa" w:w="2250"/>
            <w:tcMar>
              <w:top w:w="120" w:type="dxa"/>
              <w:bottom w:w="120" w:type="dxa"/>
              <w:left w:w="160" w:type="dxa"/>
              <w:right w:w="160" w:type="dxa"/>
            </w:tcMar>
            <w:vAlign w:val="center"/>
          </w:tcPr>
          <w:p>
            <w:r>
              <w:rPr>
                <w:b/>
              </w:rPr>
              <w:t>GET</w:t>
            </w:r>
          </w:p>
        </w:tc>
        <w:tc>
          <w:tcPr>
            <w:tcW w:type="dxa" w:w="2250"/>
            <w:tcMar>
              <w:top w:w="120" w:type="dxa"/>
              <w:bottom w:w="120" w:type="dxa"/>
              <w:left w:w="160" w:type="dxa"/>
              <w:right w:w="160" w:type="dxa"/>
            </w:tcMar>
            <w:vAlign w:val="center"/>
          </w:tcPr>
          <w:p>
            <w:r>
              <w:t>/recent</w:t>
            </w:r>
          </w:p>
        </w:tc>
        <w:tc>
          <w:tcPr>
            <w:tcW w:type="dxa" w:w="2250"/>
            <w:tcMar>
              <w:top w:w="120" w:type="dxa"/>
              <w:bottom w:w="120" w:type="dxa"/>
              <w:left w:w="160" w:type="dxa"/>
              <w:right w:w="160" w:type="dxa"/>
            </w:tcMar>
            <w:vAlign w:val="center"/>
          </w:tcPr>
          <w:p>
            <w:r>
              <w:t>limit: int (default=50)</w:t>
            </w:r>
          </w:p>
        </w:tc>
        <w:tc>
          <w:tcPr>
            <w:tcW w:type="dxa" w:w="2250"/>
            <w:tcMar>
              <w:top w:w="120" w:type="dxa"/>
              <w:bottom w:w="120" w:type="dxa"/>
              <w:left w:w="160" w:type="dxa"/>
              <w:right w:w="160" w:type="dxa"/>
            </w:tcMar>
            <w:vAlign w:val="center"/>
          </w:tcPr>
          <w:p>
            <w:r>
              <w:t>200 OK: Reverse-chronological audit log of recent transactions</w:t>
            </w:r>
          </w:p>
        </w:tc>
      </w:tr>
      <w:tr>
        <w:trPr>
          <w:cantSplit/>
        </w:trPr>
        <w:tc>
          <w:tcPr>
            <w:tcW w:type="dxa" w:w="2250"/>
            <w:shd w:fill="F7FAFC"/>
            <w:tcMar>
              <w:top w:w="120" w:type="dxa"/>
              <w:bottom w:w="120" w:type="dxa"/>
              <w:left w:w="160" w:type="dxa"/>
              <w:right w:w="160" w:type="dxa"/>
            </w:tcMar>
            <w:vAlign w:val="center"/>
          </w:tcPr>
          <w:p>
            <w:r>
              <w:rPr>
                <w:b/>
              </w:rPr>
              <w:t>GET</w:t>
            </w:r>
          </w:p>
        </w:tc>
        <w:tc>
          <w:tcPr>
            <w:tcW w:type="dxa" w:w="2250"/>
            <w:shd w:fill="F7FAFC"/>
            <w:tcMar>
              <w:top w:w="120" w:type="dxa"/>
              <w:bottom w:w="120" w:type="dxa"/>
              <w:left w:w="160" w:type="dxa"/>
              <w:right w:w="160" w:type="dxa"/>
            </w:tcMar>
            <w:vAlign w:val="center"/>
          </w:tcPr>
          <w:p>
            <w:r>
              <w:t>/metrics</w:t>
            </w:r>
          </w:p>
        </w:tc>
        <w:tc>
          <w:tcPr>
            <w:tcW w:type="dxa" w:w="2250"/>
            <w:shd w:fill="F7FAFC"/>
            <w:tcMar>
              <w:top w:w="120" w:type="dxa"/>
              <w:bottom w:w="120" w:type="dxa"/>
              <w:left w:w="160" w:type="dxa"/>
              <w:right w:w="160" w:type="dxa"/>
            </w:tcMar>
            <w:vAlign w:val="center"/>
          </w:tcPr>
          <w:p>
            <w:r>
              <w:t>None</w:t>
            </w:r>
          </w:p>
        </w:tc>
        <w:tc>
          <w:tcPr>
            <w:tcW w:type="dxa" w:w="2250"/>
            <w:shd w:fill="F7FAFC"/>
            <w:tcMar>
              <w:top w:w="120" w:type="dxa"/>
              <w:bottom w:w="120" w:type="dxa"/>
              <w:left w:w="160" w:type="dxa"/>
              <w:right w:w="160" w:type="dxa"/>
            </w:tcMar>
            <w:vAlign w:val="center"/>
          </w:tcPr>
          <w:p>
            <w:r>
              <w:t>200 OK: Model training performance metrics (F1, AUC, etc.)</w:t>
            </w:r>
          </w:p>
        </w:tc>
      </w:tr>
      <w:tr>
        <w:trPr>
          <w:cantSplit/>
        </w:trPr>
        <w:tc>
          <w:tcPr>
            <w:tcW w:type="dxa" w:w="2250"/>
            <w:tcMar>
              <w:top w:w="120" w:type="dxa"/>
              <w:bottom w:w="120" w:type="dxa"/>
              <w:left w:w="160" w:type="dxa"/>
              <w:right w:w="160" w:type="dxa"/>
            </w:tcMar>
            <w:vAlign w:val="center"/>
          </w:tcPr>
          <w:p>
            <w:r>
              <w:rPr>
                <w:b/>
              </w:rPr>
              <w:t>GET</w:t>
            </w:r>
          </w:p>
        </w:tc>
        <w:tc>
          <w:tcPr>
            <w:tcW w:type="dxa" w:w="2250"/>
            <w:tcMar>
              <w:top w:w="120" w:type="dxa"/>
              <w:bottom w:w="120" w:type="dxa"/>
              <w:left w:w="160" w:type="dxa"/>
              <w:right w:w="160" w:type="dxa"/>
            </w:tcMar>
            <w:vAlign w:val="center"/>
          </w:tcPr>
          <w:p>
            <w:r>
              <w:t>/health</w:t>
            </w:r>
          </w:p>
        </w:tc>
        <w:tc>
          <w:tcPr>
            <w:tcW w:type="dxa" w:w="2250"/>
            <w:tcMar>
              <w:top w:w="120" w:type="dxa"/>
              <w:bottom w:w="120" w:type="dxa"/>
              <w:left w:w="160" w:type="dxa"/>
              <w:right w:w="160" w:type="dxa"/>
            </w:tcMar>
            <w:vAlign w:val="center"/>
          </w:tcPr>
          <w:p>
            <w:r>
              <w:t>None</w:t>
            </w:r>
          </w:p>
        </w:tc>
        <w:tc>
          <w:tcPr>
            <w:tcW w:type="dxa" w:w="2250"/>
            <w:tcMar>
              <w:top w:w="120" w:type="dxa"/>
              <w:bottom w:w="120" w:type="dxa"/>
              <w:left w:w="160" w:type="dxa"/>
              <w:right w:w="160" w:type="dxa"/>
            </w:tcMar>
            <w:vAlign w:val="center"/>
          </w:tcPr>
          <w:p>
            <w:r>
              <w:t>200 OK: System health, model readiness, and storage backend status</w:t>
            </w:r>
          </w:p>
        </w:tc>
      </w:tr>
    </w:tbl>
    <w:p>
      <w:pPr>
        <w:spacing w:before="0" w:after="240" w:line="276" w:lineRule="auto"/>
        <w:jc w:val="center"/>
      </w:pPr>
      <w:r>
        <w:rPr>
          <w:rFonts w:ascii="Times New Roman" w:hAnsi="Times New Roman"/>
          <w:b w:val="0"/>
          <w:i/>
          <w:sz w:val="20"/>
        </w:rPr>
        <w:t>Table 3.4: FastAPI Inference REST Contract &amp; Operational Endpoint Specification</w:t>
      </w:r>
    </w:p>
    <w:p>
      <w:pPr>
        <w:keepNext/>
        <w:spacing w:before="280" w:after="120"/>
      </w:pPr>
      <w:r>
        <w:rPr>
          <w:rFonts w:ascii="Times New Roman" w:hAnsi="Times New Roman"/>
          <w:b/>
          <w:i w:val="0"/>
          <w:color w:val="2D3748"/>
          <w:sz w:val="28"/>
        </w:rPr>
        <w:t>3.7 Interactive Frontend Single Page Application</w:t>
      </w:r>
    </w:p>
    <w:p>
      <w:pPr>
        <w:spacing w:before="0" w:after="200" w:line="288" w:lineRule="auto"/>
        <w:jc w:val="both"/>
      </w:pPr>
      <w:r>
        <w:rPr>
          <w:rFonts w:ascii="Times New Roman" w:hAnsi="Times New Roman"/>
          <w:b w:val="0"/>
          <w:i w:val="0"/>
          <w:sz w:val="24"/>
        </w:rPr>
        <w:t>The presentation layer is built as a responsive Single Page Application (SPA) using React 18 and Vite. It features a clean neo-brutalist aesthetic and includes:</w:t>
        <w:br/>
        <w:br/>
        <w:t>• Real-Time Key Performance Indicator (KPI) Banners: Displays total transaction volume, blocked fraud count, average latency, and model metrics.</w:t>
        <w:br/>
        <w:br/>
        <w:t>• Dynamic Merchant Risk Treemap: Implemented using Recharts Treemap, visually scaling merchant category rectangles by transaction volume and shading them dynamically (green for low risk, yellow for medium, red for high risk).</w:t>
        <w:br/>
        <w:br/>
        <w:t>• Live Streaming Simulation Engine: Simulates realistic payment stream traffic (8 transactions every 2 seconds) with client-side fraud pattern injection.</w:t>
        <w:br/>
        <w:br/>
        <w:t>• Interactive Manual Transaction Probe: Allows forensic investigators to manually test arbitrary transaction scenarios and inspect instantaneous model decisions.</w:t>
      </w:r>
    </w:p>
    <w:p>
      <w:pPr>
        <w:spacing w:before="200" w:after="80"/>
        <w:jc w:val="center"/>
      </w:pPr>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fig8_merchant_risk_profile.png"/>
                    <pic:cNvPicPr/>
                  </pic:nvPicPr>
                  <pic:blipFill>
                    <a:blip r:embed="rId14"/>
                    <a:stretch>
                      <a:fillRect/>
                    </a:stretch>
                  </pic:blipFill>
                  <pic:spPr>
                    <a:xfrm>
                      <a:off x="0" y="0"/>
                      <a:ext cx="5303520" cy="2946400"/>
                    </a:xfrm>
                    <a:prstGeom prst="rect"/>
                  </pic:spPr>
                </pic:pic>
              </a:graphicData>
            </a:graphic>
          </wp:inline>
        </w:drawing>
      </w:r>
    </w:p>
    <w:p>
      <w:pPr>
        <w:keepNext w:val="0"/>
        <w:spacing w:before="40" w:after="240"/>
        <w:jc w:val="center"/>
      </w:pPr>
      <w:r>
        <w:rPr>
          <w:rFonts w:ascii="Times New Roman" w:hAnsi="Times New Roman"/>
          <w:b/>
          <w:i/>
          <w:color w:val="2D3748"/>
          <w:sz w:val="21"/>
        </w:rPr>
        <w:t>Figure 3.3: Merchant Category Risk Exposure Profile &amp; Treemap Telemetry</w:t>
      </w:r>
    </w:p>
    <w:p>
      <w:pPr>
        <w:keepNext/>
        <w:spacing w:before="280" w:after="120"/>
      </w:pPr>
      <w:r>
        <w:rPr>
          <w:rFonts w:ascii="Times New Roman" w:hAnsi="Times New Roman"/>
          <w:b/>
          <w:i w:val="0"/>
          <w:color w:val="2D3748"/>
          <w:sz w:val="28"/>
        </w:rPr>
        <w:t>3.8 Unified Single-Container Docker Architecture, Render Cloud &amp; DuckDNS Integration</w:t>
      </w:r>
    </w:p>
    <w:p>
      <w:pPr>
        <w:spacing w:before="0" w:after="200" w:line="288" w:lineRule="auto"/>
        <w:jc w:val="both"/>
      </w:pPr>
      <w:r>
        <w:rPr>
          <w:rFonts w:ascii="Times New Roman" w:hAnsi="Times New Roman"/>
          <w:b w:val="0"/>
          <w:i w:val="0"/>
          <w:sz w:val="24"/>
        </w:rPr>
        <w:t>A major engineering breakthrough of this project is the unification of the entire system into a single, self-contained Docker container. Rather than forcing developers to manage multiple decoupled containers (Nginx, Node, Python, Postgres) with complex network bridge bindings, FinGuard compiles the React SPA during Stage 1 of a multi-stage Docker build, and injects the resulting static assets directly into the FastAPI application in Stage 2. FastAPI mounts the compiled frontend at the root route (/), serving both the web application and all API endpoints from a single port (8000).</w:t>
        <w:br/>
        <w:br/>
        <w:t>Furthermore, FinGuard is natively engineered for friction-free cloud deployment on Render via render.yaml using env: docker. Render executes the Dockerfile in a fully managed cloud container, dynamically mapping the web service to the $PORT environment variable. To enable sovereign and professional domain resolution, Render's ingress router is configured to map custom domains such as finguarddd.duckdns.org directly to the service with automated Let's Encrypt SSL/TLS certificate issuance, guaranteeing secure HTTPS communication across all public networks.</w:t>
        <w:br/>
        <w:br/>
        <w:t>Additionally, the container includes an automated Dynamic DNS (DuckDNS) background updater. By binding to finguarddd.duckdns.org and forwarding host port 80/8000 to container port 8000, FinGuard is immediately accessible worldwide from any browser or mobile client.</w:t>
      </w:r>
    </w:p>
    <w:p>
      <w:pPr>
        <w:spacing w:before="200" w:after="80"/>
        <w:jc w:val="center"/>
      </w:pPr>
      <w:r>
        <w:drawing>
          <wp:inline xmlns:a="http://schemas.openxmlformats.org/drawingml/2006/main" xmlns:pic="http://schemas.openxmlformats.org/drawingml/2006/picture">
            <wp:extent cx="5303520" cy="2892829"/>
            <wp:docPr id="7" name="Picture 7"/>
            <wp:cNvGraphicFramePr>
              <a:graphicFrameLocks noChangeAspect="1"/>
            </wp:cNvGraphicFramePr>
            <a:graphic>
              <a:graphicData uri="http://schemas.openxmlformats.org/drawingml/2006/picture">
                <pic:pic>
                  <pic:nvPicPr>
                    <pic:cNvPr id="0" name="fig10_docker_duckdns_flow.png"/>
                    <pic:cNvPicPr/>
                  </pic:nvPicPr>
                  <pic:blipFill>
                    <a:blip r:embed="rId15"/>
                    <a:stretch>
                      <a:fillRect/>
                    </a:stretch>
                  </pic:blipFill>
                  <pic:spPr>
                    <a:xfrm>
                      <a:off x="0" y="0"/>
                      <a:ext cx="5303520" cy="2892829"/>
                    </a:xfrm>
                    <a:prstGeom prst="rect"/>
                  </pic:spPr>
                </pic:pic>
              </a:graphicData>
            </a:graphic>
          </wp:inline>
        </w:drawing>
      </w:r>
    </w:p>
    <w:p>
      <w:pPr>
        <w:keepNext w:val="0"/>
        <w:spacing w:before="40" w:after="240"/>
        <w:jc w:val="center"/>
      </w:pPr>
      <w:r>
        <w:rPr>
          <w:rFonts w:ascii="Times New Roman" w:hAnsi="Times New Roman"/>
          <w:b/>
          <w:i/>
          <w:color w:val="2D3748"/>
          <w:sz w:val="21"/>
        </w:rPr>
        <w:t>Figure 3.4: Unified Single-Container Docker Runtime &amp; DuckDNS Dynamic Edge Architecture</w:t>
      </w:r>
    </w:p>
    <w:p>
      <w:r>
        <w:br w:type="page"/>
      </w:r>
    </w:p>
    <w:p>
      <w:pPr>
        <w:keepNext/>
        <w:spacing w:before="360" w:after="160"/>
      </w:pPr>
      <w:r>
        <w:rPr>
          <w:rFonts w:ascii="Times New Roman" w:hAnsi="Times New Roman"/>
          <w:b/>
          <w:i w:val="0"/>
          <w:color w:val="1A365D"/>
          <w:sz w:val="32"/>
        </w:rPr>
        <w:t>Chapter 4: Implementation Methodology &amp; Code Workflows</w:t>
      </w:r>
    </w:p>
    <w:p>
      <w:pPr>
        <w:keepNext/>
        <w:spacing w:before="280" w:after="120"/>
      </w:pPr>
      <w:r>
        <w:rPr>
          <w:rFonts w:ascii="Times New Roman" w:hAnsi="Times New Roman"/>
          <w:b/>
          <w:i w:val="0"/>
          <w:color w:val="2D3748"/>
          <w:sz w:val="28"/>
        </w:rPr>
        <w:t>4.1 Synthetic Dataset Generation with Injected Fraud Vectors</w:t>
      </w:r>
    </w:p>
    <w:p>
      <w:pPr>
        <w:spacing w:before="0" w:after="120" w:line="276" w:lineRule="auto"/>
        <w:jc w:val="both"/>
      </w:pPr>
      <w:r>
        <w:rPr>
          <w:rFonts w:ascii="Times New Roman" w:hAnsi="Times New Roman"/>
          <w:b w:val="0"/>
          <w:i w:val="0"/>
          <w:sz w:val="24"/>
        </w:rPr>
        <w:t>To thoroughly validate FinGuard in the absence of publicly shareable proprietary banking data, an authentic synthetic transaction generator was implemented in data/generator.py. The generator models 100 heterogeneous cardholders, each assigned a baseline home location, default device, average transaction amount, and account age.</w:t>
        <w:br/>
        <w:br/>
        <w:t>The generator produces 6,000 transactions with a realistic 6% fraud injection ratio. Fraudulent transactions systematically inject four distinct adversarial attack vectors:</w:t>
      </w:r>
    </w:p>
    <w:p>
      <w:pPr>
        <w:spacing w:after="80"/>
        <w:ind w:left="432"/>
      </w:pPr>
      <w:r>
        <w:rPr>
          <w:rFonts w:ascii="Times New Roman" w:hAnsi="Times New Roman"/>
          <w:b/>
          <w:i w:val="0"/>
          <w:color w:val="1A365D"/>
          <w:sz w:val="23"/>
        </w:rPr>
        <w:t xml:space="preserve">1. High-Monetary Spikes: </w:t>
      </w:r>
      <w:r>
        <w:rPr>
          <w:rFonts w:ascii="Times New Roman" w:hAnsi="Times New Roman"/>
          <w:b w:val="0"/>
          <w:i w:val="0"/>
          <w:sz w:val="23"/>
        </w:rPr>
        <w:t>Transaction amounts are artificially multiplied by a factor of 10x to 40x above the cardholder's historical baseline.</w:t>
      </w:r>
    </w:p>
    <w:p>
      <w:pPr>
        <w:spacing w:after="80"/>
        <w:ind w:left="432"/>
      </w:pPr>
      <w:r>
        <w:rPr>
          <w:rFonts w:ascii="Times New Roman" w:hAnsi="Times New Roman"/>
          <w:b/>
          <w:i w:val="0"/>
          <w:color w:val="1A365D"/>
          <w:sz w:val="23"/>
        </w:rPr>
        <w:t xml:space="preserve">2. Nocturnal Timing &amp; Geofence Jumps: </w:t>
      </w:r>
      <w:r>
        <w:rPr>
          <w:rFonts w:ascii="Times New Roman" w:hAnsi="Times New Roman"/>
          <w:b w:val="0"/>
          <w:i w:val="0"/>
          <w:sz w:val="23"/>
        </w:rPr>
        <w:t>Transactions are forced into off-peak nocturnal hours (1:00 AM - 4:00 AM) and coupled with geographic origin shifts (e.g., cardholder in Mumbai suddenly transacting in London or Dubai).</w:t>
      </w:r>
    </w:p>
    <w:p>
      <w:pPr>
        <w:spacing w:after="80"/>
        <w:ind w:left="432"/>
      </w:pPr>
      <w:r>
        <w:rPr>
          <w:rFonts w:ascii="Times New Roman" w:hAnsi="Times New Roman"/>
          <w:b/>
          <w:i w:val="0"/>
          <w:color w:val="1A365D"/>
          <w:sz w:val="23"/>
        </w:rPr>
        <w:t xml:space="preserve">3. Device Fingerprint Spoofing: </w:t>
      </w:r>
      <w:r>
        <w:rPr>
          <w:rFonts w:ascii="Times New Roman" w:hAnsi="Times New Roman"/>
          <w:b w:val="0"/>
          <w:i w:val="0"/>
          <w:sz w:val="23"/>
        </w:rPr>
        <w:t>The device attribute is altered to 'unknown', simulating bot automated credential stuffing or emulated browser user-agents.</w:t>
      </w:r>
    </w:p>
    <w:p>
      <w:pPr>
        <w:spacing w:after="80"/>
        <w:ind w:left="432"/>
      </w:pPr>
      <w:r>
        <w:rPr>
          <w:rFonts w:ascii="Times New Roman" w:hAnsi="Times New Roman"/>
          <w:b/>
          <w:i w:val="0"/>
          <w:color w:val="1A365D"/>
          <w:sz w:val="23"/>
        </w:rPr>
        <w:t xml:space="preserve">4. High-Frequency Velocity Bursts: </w:t>
      </w:r>
      <w:r>
        <w:rPr>
          <w:rFonts w:ascii="Times New Roman" w:hAnsi="Times New Roman"/>
          <w:b w:val="0"/>
          <w:i w:val="0"/>
          <w:sz w:val="23"/>
        </w:rPr>
        <w:t>The txn_per_hour attribute is escalated to 15-30 transactions per hour, simulating automated card testing or balance draining bursts.</w:t>
      </w:r>
    </w:p>
    <w:p>
      <w:pPr>
        <w:keepNext/>
        <w:spacing w:before="280" w:after="120"/>
      </w:pPr>
      <w:r>
        <w:rPr>
          <w:rFonts w:ascii="Times New Roman" w:hAnsi="Times New Roman"/>
          <w:b/>
          <w:i w:val="0"/>
          <w:color w:val="2D3748"/>
          <w:sz w:val="28"/>
        </w:rPr>
        <w:t>4.2 Model Training &amp; Calibration Workflow (train.py)</w:t>
      </w:r>
    </w:p>
    <w:p>
      <w:pPr>
        <w:spacing w:before="0" w:after="200" w:line="288" w:lineRule="auto"/>
        <w:jc w:val="both"/>
      </w:pPr>
      <w:r>
        <w:rPr>
          <w:rFonts w:ascii="Times New Roman" w:hAnsi="Times New Roman"/>
          <w:b w:val="0"/>
          <w:i w:val="0"/>
          <w:sz w:val="24"/>
        </w:rPr>
        <w:t>The training pipeline in src/train.py executes an end-to-end automated machine learning workflow:</w:t>
        <w:br/>
        <w:br/>
        <w:t>1. Data Ingestion: Loads data/transactions.csv into a Pandas DataFrame.</w:t>
        <w:br/>
        <w:t>2. Feature Engineering: Dispatches the raw DataFrame to to_matrix, generating the normalized feature matrix X.</w:t>
        <w:br/>
        <w:t>3. Stratified Train-Test Split: Partitions the dataset into 80% training (4,800 transactions) and 20% testing (1,200 transactions), preserving the 6% fraud class ratio.</w:t>
        <w:br/>
        <w:t>4. Isolation Forest Training: Fits 150 isolation trees with a contamination parameter of 0.06 on the full training partition.</w:t>
        <w:br/>
        <w:t>5. Supervised XGBoost Training: Trains 200 gradient boosted trees (max_depth=6, learning_rate=0.08, subsample=0.9, eval_metric='logloss').</w:t>
        <w:br/>
        <w:t>6. Deep Autoencoder Training: Extracts only legitimate samples (y = 0) and trains an MLP Regressor with hidden layers (16, 8, 16) for 300 epochs.</w:t>
        <w:br/>
        <w:t>7. Serialization &amp; Metrics: Serializes trained weights (scaler.pkl, iso.pkl, supervised.pkl, ae.pkl) and outputs models/metrics.json.</w:t>
      </w:r>
    </w:p>
    <w:p>
      <w:pPr>
        <w:keepNext/>
        <w:spacing w:before="280" w:after="120"/>
      </w:pPr>
      <w:r>
        <w:rPr>
          <w:rFonts w:ascii="Times New Roman" w:hAnsi="Times New Roman"/>
          <w:b/>
          <w:i w:val="0"/>
          <w:color w:val="2D3748"/>
          <w:sz w:val="28"/>
        </w:rPr>
        <w:t>4.3 Multi-Model Risk Scoring Engine (risk_engine.py)</w:t>
      </w:r>
    </w:p>
    <w:p>
      <w:pPr>
        <w:spacing w:before="0" w:after="80" w:line="276" w:lineRule="auto"/>
        <w:jc w:val="both"/>
      </w:pPr>
      <w:r>
        <w:rPr>
          <w:rFonts w:ascii="Times New Roman" w:hAnsi="Times New Roman"/>
          <w:b w:val="0"/>
          <w:i w:val="0"/>
          <w:sz w:val="24"/>
        </w:rPr>
        <w:t>The risk engine in src/risk_engine.py operationalizes the mathematical ensemble formula. Below is the production implementation listing:</w:t>
      </w:r>
    </w:p>
    <w:p>
      <w:pPr>
        <w:spacing w:before="120" w:after="160" w:line="252" w:lineRule="auto"/>
        <w:shd w:fill="EDF2F7"/>
      </w:pPr>
      <w:r>
        <w:rPr>
          <w:rFonts w:ascii="Consolas" w:hAnsi="Consolas"/>
          <w:b w:val="0"/>
          <w:i w:val="0"/>
          <w:color w:val="1A202C"/>
          <w:sz w:val="19"/>
        </w:rPr>
        <w:t>def combine(p_supervised: float, if_score: float, ae_error: float) -&gt; dict:</w:t>
        <w:br/>
        <w:t xml:space="preserve">    """Weighted ensemble of 3 complementary detectors:</w:t>
        <w:br/>
        <w:t xml:space="preserve">       - 55% supervised probability (XGBoost / Random Forest)</w:t>
        <w:br/>
        <w:t xml:space="preserve">       - 25% isolation forest anomaly index (normalized from decision_function)</w:t>
        <w:br/>
        <w:t xml:space="preserve">       - 20% autoencoder reconstruction error (capped at AE_MAX)</w:t>
        <w:br/>
        <w:t xml:space="preserve">    """</w:t>
        <w:br/>
        <w:t xml:space="preserve">    # Normalize isolation forest score: negative means anomaly</w:t>
        <w:br/>
        <w:t xml:space="preserve">    if_norm = max(0.0, min(1.0, (-if_score + 0.2) / 0.4))</w:t>
        <w:br/>
        <w:t xml:space="preserve">    ae_norm = max(0.0, min(1.0, ae_error))</w:t>
        <w:br/>
        <w:t xml:space="preserve">    </w:t>
        <w:br/>
        <w:t xml:space="preserve">    score = round(0.55 * p_supervised + 0.25 * if_norm + 0.20 * ae_norm, 4)</w:t>
        <w:br/>
        <w:t xml:space="preserve">    </w:t>
        <w:br/>
        <w:t xml:space="preserve">    if score &gt;= 0.70:</w:t>
        <w:br/>
        <w:t xml:space="preserve">        level, decision = "HIGH", "BLOCK"</w:t>
        <w:br/>
        <w:t xml:space="preserve">    elif score &gt;= 0.35:</w:t>
        <w:br/>
        <w:t xml:space="preserve">        level, decision = "MEDIUM", "REVIEW"</w:t>
        <w:br/>
        <w:t xml:space="preserve">    else:</w:t>
        <w:br/>
        <w:t xml:space="preserve">        level, decision = "LOW", "APPROVE"</w:t>
        <w:br/>
        <w:t xml:space="preserve">        </w:t>
        <w:br/>
        <w:t xml:space="preserve">    return {"anomaly_score": score, "risk_level": level, "decision": decision}</w:t>
      </w:r>
    </w:p>
    <w:p>
      <w:pPr>
        <w:spacing w:before="200" w:after="8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ig7_anomaly_score_distribution.png"/>
                    <pic:cNvPicPr/>
                  </pic:nvPicPr>
                  <pic:blipFill>
                    <a:blip r:embed="rId16"/>
                    <a:stretch>
                      <a:fillRect/>
                    </a:stretch>
                  </pic:blipFill>
                  <pic:spPr>
                    <a:xfrm>
                      <a:off x="0" y="0"/>
                      <a:ext cx="5303520" cy="2651760"/>
                    </a:xfrm>
                    <a:prstGeom prst="rect"/>
                  </pic:spPr>
                </pic:pic>
              </a:graphicData>
            </a:graphic>
          </wp:inline>
        </w:drawing>
      </w:r>
    </w:p>
    <w:p>
      <w:pPr>
        <w:keepNext w:val="0"/>
        <w:spacing w:before="40" w:after="240"/>
        <w:jc w:val="center"/>
      </w:pPr>
      <w:r>
        <w:rPr>
          <w:rFonts w:ascii="Times New Roman" w:hAnsi="Times New Roman"/>
          <w:b/>
          <w:i/>
          <w:color w:val="2D3748"/>
          <w:sz w:val="21"/>
        </w:rPr>
        <w:t>Figure 4.1: Empirical Risk Score Distribution and Decision Boundary Calibration</w:t>
      </w:r>
    </w:p>
    <w:p>
      <w:pPr>
        <w:keepNext/>
        <w:spacing w:before="280" w:after="120"/>
      </w:pPr>
      <w:r>
        <w:rPr>
          <w:rFonts w:ascii="Times New Roman" w:hAnsi="Times New Roman"/>
          <w:b/>
          <w:i w:val="0"/>
          <w:color w:val="2D3748"/>
          <w:sz w:val="28"/>
        </w:rPr>
        <w:t>4.4 FastAPI Asynchronous Application Implementation (api/main.py)</w:t>
      </w:r>
    </w:p>
    <w:p>
      <w:pPr>
        <w:spacing w:before="0" w:after="80" w:line="276" w:lineRule="auto"/>
        <w:jc w:val="both"/>
      </w:pPr>
      <w:r>
        <w:rPr>
          <w:rFonts w:ascii="Times New Roman" w:hAnsi="Times New Roman"/>
          <w:b w:val="0"/>
          <w:i w:val="0"/>
          <w:sz w:val="24"/>
        </w:rPr>
        <w:t>The API server is implemented using FastAPI and Uvicorn. In addition to handling REST inference calls, it is configured with a catch-all Single Page Application route that serves the compiled React frontend directly from memory or disk whenever the distribution folder exists.</w:t>
      </w:r>
    </w:p>
    <w:p>
      <w:pPr>
        <w:spacing w:before="120" w:after="160" w:line="252" w:lineRule="auto"/>
        <w:shd w:fill="EDF2F7"/>
      </w:pPr>
      <w:r>
        <w:rPr>
          <w:rFonts w:ascii="Consolas" w:hAnsi="Consolas"/>
          <w:b w:val="0"/>
          <w:i w:val="0"/>
          <w:color w:val="1A202C"/>
          <w:sz w:val="19"/>
        </w:rPr>
        <w:t># Static Single Page Application Mount &amp; Fallback</w:t>
        <w:br/>
        <w:t>DIST_DIR = os.path.join(BASE, "frontend", "dist")</w:t>
        <w:br/>
        <w:br/>
        <w:t>if os.path.exists(DIST_DIR):</w:t>
        <w:br/>
        <w:t xml:space="preserve">    assets_dir = os.path.join(DIST_DIR, "assets")</w:t>
        <w:br/>
        <w:t xml:space="preserve">    if os.path.exists(assets_dir):</w:t>
        <w:br/>
        <w:t xml:space="preserve">        app.mount("/assets", StaticFiles(directory=assets_dir), name="assets")</w:t>
        <w:br/>
        <w:br/>
        <w:t xml:space="preserve">    @app.get("/")</w:t>
        <w:br/>
        <w:t xml:space="preserve">    def serve_index():</w:t>
        <w:br/>
        <w:t xml:space="preserve">        return FileResponse(os.path.join(DIST_DIR, "index.html"))</w:t>
        <w:br/>
        <w:br/>
        <w:t xml:space="preserve">    @app.get("/{full_path:path}")</w:t>
        <w:br/>
        <w:t xml:space="preserve">    def serve_frontend(full_path: str):</w:t>
        <w:br/>
        <w:t xml:space="preserve">        target = os.path.join(DIST_DIR, full_path)</w:t>
        <w:br/>
        <w:t xml:space="preserve">        if full_path and os.path.isfile(target):</w:t>
        <w:br/>
        <w:t xml:space="preserve">            return FileResponse(target)</w:t>
        <w:br/>
        <w:t xml:space="preserve">        return FileResponse(os.path.join(DIST_DIR, "index.html"))</w:t>
      </w:r>
    </w:p>
    <w:p>
      <w:pPr>
        <w:keepNext/>
        <w:spacing w:before="280" w:after="120"/>
      </w:pPr>
      <w:r>
        <w:rPr>
          <w:rFonts w:ascii="Times New Roman" w:hAnsi="Times New Roman"/>
          <w:b/>
          <w:i w:val="0"/>
          <w:color w:val="2D3748"/>
          <w:sz w:val="28"/>
        </w:rPr>
        <w:t>4.5 Single-Container Multi-Stage Dockerfile &amp; Entrypoint</w:t>
      </w:r>
    </w:p>
    <w:p>
      <w:pPr>
        <w:spacing w:before="0" w:after="200" w:line="288" w:lineRule="auto"/>
        <w:jc w:val="both"/>
      </w:pPr>
      <w:r>
        <w:rPr>
          <w:rFonts w:ascii="Times New Roman" w:hAnsi="Times New Roman"/>
          <w:b w:val="0"/>
          <w:i w:val="0"/>
          <w:sz w:val="24"/>
        </w:rPr>
        <w:t>The single-container Docker architecture leverages multi-stage compilation to minimize runtime image size while guaranteeing total self-containment. The entrypoint script docker-entrypoint.sh ensures pre-trained models exist (training them on the fly if missing) and launches an optional background DuckDNS synchronization loop whenever a DUCKDNS_TOKEN environment variable is supplied.</w:t>
      </w:r>
    </w:p>
    <w:p>
      <w:pPr>
        <w:keepNext/>
        <w:spacing w:before="280" w:after="120"/>
      </w:pPr>
      <w:r>
        <w:rPr>
          <w:rFonts w:ascii="Times New Roman" w:hAnsi="Times New Roman"/>
          <w:b/>
          <w:i w:val="0"/>
          <w:color w:val="2D3748"/>
          <w:sz w:val="28"/>
        </w:rPr>
        <w:t>4.6 Cloud Deployment on Render Platform &amp; DuckDNS Dynamic Ingress</w:t>
      </w:r>
    </w:p>
    <w:p>
      <w:pPr>
        <w:spacing w:before="0" w:after="200" w:line="288" w:lineRule="auto"/>
        <w:jc w:val="both"/>
      </w:pPr>
      <w:r>
        <w:rPr>
          <w:rFonts w:ascii="Times New Roman" w:hAnsi="Times New Roman"/>
          <w:b w:val="0"/>
          <w:i w:val="0"/>
          <w:sz w:val="24"/>
        </w:rPr>
        <w:t>For global cloud hosting, FinGuard incorporates native Render platform support via render.yaml. Render provides a managed container infrastructure that pulls the repository from GitHub, builds the unified Docker image, and allocates an HTTPS-secured public ingress.</w:t>
        <w:br/>
        <w:br/>
        <w:t>The operational architecture for deploying FinGuard on Render involves three straightforward configurations:</w:t>
        <w:br/>
        <w:t>1. Render Blueprint (render.yaml): Declares a single Web Service with env: docker, binding to $PORT and configuring health checks against /health.</w:t>
        <w:br/>
        <w:t>2. Custom Domain Mapping: Within the Render Dashboard (Settings -&gt; Custom Domains), the operator adds finguarddd.duckdns.org. Render generates an ingress CNAME target (e.g., finguard.onrender.com) and an ingress IP (216.24.57.1).</w:t>
        <w:br/>
        <w:t>3. DuckDNS Dynamic Ingress: By configuring DuckDNS to route finguarddd.duckdns.org to Render's ingress, incoming traffic hits Render's edge, terminates SSL with an automatically provisioned Let's Encrypt certificate, and forwards requests to the container without incurring hosting costs.</w:t>
      </w:r>
    </w:p>
    <w:p>
      <w:r>
        <w:br w:type="page"/>
      </w:r>
    </w:p>
    <w:p>
      <w:pPr>
        <w:keepNext/>
        <w:spacing w:before="360" w:after="160"/>
      </w:pPr>
      <w:r>
        <w:rPr>
          <w:rFonts w:ascii="Times New Roman" w:hAnsi="Times New Roman"/>
          <w:b/>
          <w:i w:val="0"/>
          <w:color w:val="1A365D"/>
          <w:sz w:val="32"/>
        </w:rPr>
        <w:t>Chapter 5: Project Management, Testing &amp; Experimental Evaluation</w:t>
      </w:r>
    </w:p>
    <w:p>
      <w:pPr>
        <w:keepNext/>
        <w:spacing w:before="280" w:after="120"/>
      </w:pPr>
      <w:r>
        <w:rPr>
          <w:rFonts w:ascii="Times New Roman" w:hAnsi="Times New Roman"/>
          <w:b/>
          <w:i w:val="0"/>
          <w:color w:val="2D3748"/>
          <w:sz w:val="28"/>
        </w:rPr>
        <w:t>5.1 Project Work Breakdown Structure &amp; Gantt Chart Timeline</w:t>
      </w:r>
    </w:p>
    <w:p>
      <w:pPr>
        <w:spacing w:before="0" w:after="160" w:line="276" w:lineRule="auto"/>
        <w:jc w:val="both"/>
      </w:pPr>
      <w:r>
        <w:rPr>
          <w:rFonts w:ascii="Times New Roman" w:hAnsi="Times New Roman"/>
          <w:b w:val="0"/>
          <w:i w:val="0"/>
          <w:sz w:val="24"/>
        </w:rPr>
        <w:t>The development of FinGuard was executed across a structured 16-week engineering lifecycle divided into 10 sequential and overlapping phases. Figure 5.1 depicts the formal Work Breakdown Structure (WBS) and Gantt Chart timeline.</w:t>
      </w:r>
    </w:p>
    <w:p>
      <w:pPr>
        <w:spacing w:before="200" w:after="80"/>
        <w:jc w:val="center"/>
      </w:pPr>
      <w:r>
        <w:drawing>
          <wp:inline xmlns:a="http://schemas.openxmlformats.org/drawingml/2006/main" xmlns:pic="http://schemas.openxmlformats.org/drawingml/2006/picture">
            <wp:extent cx="5303520" cy="2892829"/>
            <wp:docPr id="9" name="Picture 9"/>
            <wp:cNvGraphicFramePr>
              <a:graphicFrameLocks noChangeAspect="1"/>
            </wp:cNvGraphicFramePr>
            <a:graphic>
              <a:graphicData uri="http://schemas.openxmlformats.org/drawingml/2006/picture">
                <pic:pic>
                  <pic:nvPicPr>
                    <pic:cNvPr id="0" name="fig2_project_gantt_chart.png"/>
                    <pic:cNvPicPr/>
                  </pic:nvPicPr>
                  <pic:blipFill>
                    <a:blip r:embed="rId17"/>
                    <a:stretch>
                      <a:fillRect/>
                    </a:stretch>
                  </pic:blipFill>
                  <pic:spPr>
                    <a:xfrm>
                      <a:off x="0" y="0"/>
                      <a:ext cx="5303520" cy="2892829"/>
                    </a:xfrm>
                    <a:prstGeom prst="rect"/>
                  </pic:spPr>
                </pic:pic>
              </a:graphicData>
            </a:graphic>
          </wp:inline>
        </w:drawing>
      </w:r>
    </w:p>
    <w:p>
      <w:pPr>
        <w:keepNext w:val="0"/>
        <w:spacing w:before="40" w:after="240"/>
        <w:jc w:val="center"/>
      </w:pPr>
      <w:r>
        <w:rPr>
          <w:rFonts w:ascii="Times New Roman" w:hAnsi="Times New Roman"/>
          <w:b/>
          <w:i/>
          <w:color w:val="2D3748"/>
          <w:sz w:val="21"/>
        </w:rPr>
        <w:t>Figure 5.1: FinGuard 16-Week Project Work Breakdown &amp; Implementation Gantt Chart</w:t>
      </w:r>
    </w:p>
    <w:p>
      <w:pPr>
        <w:keepNext/>
        <w:spacing w:before="280" w:after="120"/>
      </w:pPr>
      <w:r>
        <w:rPr>
          <w:rFonts w:ascii="Times New Roman" w:hAnsi="Times New Roman"/>
          <w:b/>
          <w:i w:val="0"/>
          <w:color w:val="2D3748"/>
          <w:sz w:val="28"/>
        </w:rPr>
        <w:t>5.2 Verification &amp; Test Case Matrix</w:t>
      </w:r>
    </w:p>
    <w:p>
      <w:pPr>
        <w:spacing w:before="0" w:after="160" w:line="276" w:lineRule="auto"/>
        <w:jc w:val="both"/>
      </w:pPr>
      <w:r>
        <w:rPr>
          <w:rFonts w:ascii="Times New Roman" w:hAnsi="Times New Roman"/>
          <w:b w:val="0"/>
          <w:i w:val="0"/>
          <w:sz w:val="24"/>
        </w:rPr>
        <w:t>To ensure industrial robustness, FinGuard was subjected to rigorous verification using Pytest, covering API contract validation, risk boundary thresholds, database failover paths, and edge network routing. Table 5.1 presents the execution results for test cases TC-01 through TC-16.</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1800"/>
        <w:gridCol w:w="1800"/>
        <w:gridCol w:w="1800"/>
        <w:gridCol w:w="1800"/>
        <w:gridCol w:w="1800"/>
      </w:tblGrid>
      <w:tr>
        <w:trPr>
          <w:cantSplit/>
        </w:trPr>
        <w:tc>
          <w:tcPr>
            <w:tcW w:type="dxa" w:w="1800"/>
            <w:shd w:fill="EBF8FF"/>
            <w:tcMar>
              <w:top w:w="120" w:type="dxa"/>
              <w:bottom w:w="120" w:type="dxa"/>
              <w:left w:w="160" w:type="dxa"/>
              <w:right w:w="160" w:type="dxa"/>
            </w:tcMar>
            <w:vAlign w:val="center"/>
          </w:tcPr>
          <w:p>
            <w:r>
              <w:rPr>
                <w:b/>
              </w:rPr>
              <w:t>TC ID</w:t>
            </w:r>
          </w:p>
        </w:tc>
        <w:tc>
          <w:tcPr>
            <w:tcW w:type="dxa" w:w="1800"/>
            <w:shd w:fill="EBF8FF"/>
            <w:tcMar>
              <w:top w:w="120" w:type="dxa"/>
              <w:bottom w:w="120" w:type="dxa"/>
              <w:left w:w="160" w:type="dxa"/>
              <w:right w:w="160" w:type="dxa"/>
            </w:tcMar>
            <w:vAlign w:val="center"/>
          </w:tcPr>
          <w:p>
            <w:r>
              <w:rPr>
                <w:b/>
              </w:rPr>
              <w:t>Test Scenario</w:t>
            </w:r>
          </w:p>
        </w:tc>
        <w:tc>
          <w:tcPr>
            <w:tcW w:type="dxa" w:w="1800"/>
            <w:shd w:fill="EBF8FF"/>
            <w:tcMar>
              <w:top w:w="120" w:type="dxa"/>
              <w:bottom w:w="120" w:type="dxa"/>
              <w:left w:w="160" w:type="dxa"/>
              <w:right w:w="160" w:type="dxa"/>
            </w:tcMar>
            <w:vAlign w:val="center"/>
          </w:tcPr>
          <w:p>
            <w:r>
              <w:rPr>
                <w:b/>
              </w:rPr>
              <w:t>Input Parameters</w:t>
            </w:r>
          </w:p>
        </w:tc>
        <w:tc>
          <w:tcPr>
            <w:tcW w:type="dxa" w:w="1800"/>
            <w:shd w:fill="EBF8FF"/>
            <w:tcMar>
              <w:top w:w="120" w:type="dxa"/>
              <w:bottom w:w="120" w:type="dxa"/>
              <w:left w:w="160" w:type="dxa"/>
              <w:right w:w="160" w:type="dxa"/>
            </w:tcMar>
            <w:vAlign w:val="center"/>
          </w:tcPr>
          <w:p>
            <w:r>
              <w:rPr>
                <w:b/>
              </w:rPr>
              <w:t>Expected Outcome</w:t>
            </w:r>
          </w:p>
        </w:tc>
        <w:tc>
          <w:tcPr>
            <w:tcW w:type="dxa" w:w="1800"/>
            <w:shd w:fill="EBF8FF"/>
            <w:tcMar>
              <w:top w:w="120" w:type="dxa"/>
              <w:bottom w:w="120" w:type="dxa"/>
              <w:left w:w="160" w:type="dxa"/>
              <w:right w:w="160" w:type="dxa"/>
            </w:tcMar>
            <w:vAlign w:val="center"/>
          </w:tcPr>
          <w:p>
            <w:r>
              <w:rPr>
                <w:b/>
              </w:rPr>
              <w:t>Status</w:t>
            </w:r>
          </w:p>
        </w:tc>
      </w:tr>
      <w:tr>
        <w:trPr>
          <w:cantSplit/>
        </w:trPr>
        <w:tc>
          <w:tcPr>
            <w:tcW w:type="dxa" w:w="1800"/>
            <w:shd w:fill="F7FAFC"/>
            <w:tcMar>
              <w:top w:w="120" w:type="dxa"/>
              <w:bottom w:w="120" w:type="dxa"/>
              <w:left w:w="160" w:type="dxa"/>
              <w:right w:w="160" w:type="dxa"/>
            </w:tcMar>
            <w:vAlign w:val="center"/>
          </w:tcPr>
          <w:p>
            <w:r>
              <w:rPr>
                <w:b/>
              </w:rPr>
              <w:t>TC-01</w:t>
            </w:r>
          </w:p>
        </w:tc>
        <w:tc>
          <w:tcPr>
            <w:tcW w:type="dxa" w:w="1800"/>
            <w:shd w:fill="F7FAFC"/>
            <w:tcMar>
              <w:top w:w="120" w:type="dxa"/>
              <w:bottom w:w="120" w:type="dxa"/>
              <w:left w:w="160" w:type="dxa"/>
              <w:right w:w="160" w:type="dxa"/>
            </w:tcMar>
            <w:vAlign w:val="center"/>
          </w:tcPr>
          <w:p>
            <w:r>
              <w:t>Healthcheck Probe</w:t>
            </w:r>
          </w:p>
        </w:tc>
        <w:tc>
          <w:tcPr>
            <w:tcW w:type="dxa" w:w="1800"/>
            <w:shd w:fill="F7FAFC"/>
            <w:tcMar>
              <w:top w:w="120" w:type="dxa"/>
              <w:bottom w:w="120" w:type="dxa"/>
              <w:left w:w="160" w:type="dxa"/>
              <w:right w:w="160" w:type="dxa"/>
            </w:tcMar>
            <w:vAlign w:val="center"/>
          </w:tcPr>
          <w:p>
            <w:r>
              <w:t>GET /health</w:t>
            </w:r>
          </w:p>
        </w:tc>
        <w:tc>
          <w:tcPr>
            <w:tcW w:type="dxa" w:w="1800"/>
            <w:shd w:fill="F7FAFC"/>
            <w:tcMar>
              <w:top w:w="120" w:type="dxa"/>
              <w:bottom w:w="120" w:type="dxa"/>
              <w:left w:w="160" w:type="dxa"/>
              <w:right w:w="160" w:type="dxa"/>
            </w:tcMar>
            <w:vAlign w:val="center"/>
          </w:tcPr>
          <w:p>
            <w:r>
              <w:t>HTTP 200: models_loaded=True</w:t>
            </w:r>
          </w:p>
        </w:tc>
        <w:tc>
          <w:tcPr>
            <w:tcW w:type="dxa" w:w="1800"/>
            <w:shd w:fill="F7FAFC"/>
            <w:tcMar>
              <w:top w:w="120" w:type="dxa"/>
              <w:bottom w:w="120" w:type="dxa"/>
              <w:left w:w="160" w:type="dxa"/>
              <w:right w:w="160" w:type="dxa"/>
            </w:tcMar>
            <w:vAlign w:val="center"/>
          </w:tcPr>
          <w:p>
            <w:r>
              <w:rPr>
                <w:b/>
                <w:color w:val="276749"/>
              </w:rPr>
              <w:t>PASS</w:t>
            </w:r>
          </w:p>
        </w:tc>
      </w:tr>
      <w:tr>
        <w:trPr>
          <w:cantSplit/>
        </w:trPr>
        <w:tc>
          <w:tcPr>
            <w:tcW w:type="dxa" w:w="1800"/>
            <w:tcMar>
              <w:top w:w="120" w:type="dxa"/>
              <w:bottom w:w="120" w:type="dxa"/>
              <w:left w:w="160" w:type="dxa"/>
              <w:right w:w="160" w:type="dxa"/>
            </w:tcMar>
            <w:vAlign w:val="center"/>
          </w:tcPr>
          <w:p>
            <w:r>
              <w:rPr>
                <w:b/>
              </w:rPr>
              <w:t>TC-02</w:t>
            </w:r>
          </w:p>
        </w:tc>
        <w:tc>
          <w:tcPr>
            <w:tcW w:type="dxa" w:w="1800"/>
            <w:tcMar>
              <w:top w:w="120" w:type="dxa"/>
              <w:bottom w:w="120" w:type="dxa"/>
              <w:left w:w="160" w:type="dxa"/>
              <w:right w:w="160" w:type="dxa"/>
            </w:tcMar>
            <w:vAlign w:val="center"/>
          </w:tcPr>
          <w:p>
            <w:r>
              <w:t>Legitimate Txn Approval</w:t>
            </w:r>
          </w:p>
        </w:tc>
        <w:tc>
          <w:tcPr>
            <w:tcW w:type="dxa" w:w="1800"/>
            <w:tcMar>
              <w:top w:w="120" w:type="dxa"/>
              <w:bottom w:w="120" w:type="dxa"/>
              <w:left w:w="160" w:type="dxa"/>
              <w:right w:w="160" w:type="dxa"/>
            </w:tcMar>
            <w:vAlign w:val="center"/>
          </w:tcPr>
          <w:p>
            <w:r>
              <w:t>₹500, grocery, Mumbai, mobile_A, 12PM</w:t>
            </w:r>
          </w:p>
        </w:tc>
        <w:tc>
          <w:tcPr>
            <w:tcW w:type="dxa" w:w="1800"/>
            <w:tcMar>
              <w:top w:w="120" w:type="dxa"/>
              <w:bottom w:w="120" w:type="dxa"/>
              <w:left w:w="160" w:type="dxa"/>
              <w:right w:w="160" w:type="dxa"/>
            </w:tcMar>
            <w:vAlign w:val="center"/>
          </w:tcPr>
          <w:p>
            <w:r>
              <w:t>Score &lt; 0.35, LOW, APPROVE</w:t>
            </w:r>
          </w:p>
        </w:tc>
        <w:tc>
          <w:tcPr>
            <w:tcW w:type="dxa" w:w="1800"/>
            <w:tcMar>
              <w:top w:w="120" w:type="dxa"/>
              <w:bottom w:w="120" w:type="dxa"/>
              <w:left w:w="160" w:type="dxa"/>
              <w:right w:w="160" w:type="dxa"/>
            </w:tcMar>
            <w:vAlign w:val="center"/>
          </w:tcPr>
          <w:p>
            <w:r>
              <w:rPr>
                <w:b/>
                <w:color w:val="276749"/>
              </w:rPr>
              <w:t>PASS</w:t>
            </w:r>
          </w:p>
        </w:tc>
      </w:tr>
      <w:tr>
        <w:trPr>
          <w:cantSplit/>
        </w:trPr>
        <w:tc>
          <w:tcPr>
            <w:tcW w:type="dxa" w:w="1800"/>
            <w:shd w:fill="F7FAFC"/>
            <w:tcMar>
              <w:top w:w="120" w:type="dxa"/>
              <w:bottom w:w="120" w:type="dxa"/>
              <w:left w:w="160" w:type="dxa"/>
              <w:right w:w="160" w:type="dxa"/>
            </w:tcMar>
            <w:vAlign w:val="center"/>
          </w:tcPr>
          <w:p>
            <w:r>
              <w:rPr>
                <w:b/>
              </w:rPr>
              <w:t>TC-03</w:t>
            </w:r>
          </w:p>
        </w:tc>
        <w:tc>
          <w:tcPr>
            <w:tcW w:type="dxa" w:w="1800"/>
            <w:shd w:fill="F7FAFC"/>
            <w:tcMar>
              <w:top w:w="120" w:type="dxa"/>
              <w:bottom w:w="120" w:type="dxa"/>
              <w:left w:w="160" w:type="dxa"/>
              <w:right w:w="160" w:type="dxa"/>
            </w:tcMar>
            <w:vAlign w:val="center"/>
          </w:tcPr>
          <w:p>
            <w:r>
              <w:t>Nocturnal Fraud Blocking</w:t>
            </w:r>
          </w:p>
        </w:tc>
        <w:tc>
          <w:tcPr>
            <w:tcW w:type="dxa" w:w="1800"/>
            <w:shd w:fill="F7FAFC"/>
            <w:tcMar>
              <w:top w:w="120" w:type="dxa"/>
              <w:bottom w:w="120" w:type="dxa"/>
              <w:left w:w="160" w:type="dxa"/>
              <w:right w:w="160" w:type="dxa"/>
            </w:tcMar>
            <w:vAlign w:val="center"/>
          </w:tcPr>
          <w:p>
            <w:r>
              <w:t>₹120k, electronics, London, unknown, 3AM</w:t>
            </w:r>
          </w:p>
        </w:tc>
        <w:tc>
          <w:tcPr>
            <w:tcW w:type="dxa" w:w="1800"/>
            <w:shd w:fill="F7FAFC"/>
            <w:tcMar>
              <w:top w:w="120" w:type="dxa"/>
              <w:bottom w:w="120" w:type="dxa"/>
              <w:left w:w="160" w:type="dxa"/>
              <w:right w:w="160" w:type="dxa"/>
            </w:tcMar>
            <w:vAlign w:val="center"/>
          </w:tcPr>
          <w:p>
            <w:r>
              <w:t>Score &gt; 0.70, HIGH, BLOCK</w:t>
            </w:r>
          </w:p>
        </w:tc>
        <w:tc>
          <w:tcPr>
            <w:tcW w:type="dxa" w:w="1800"/>
            <w:shd w:fill="F7FAFC"/>
            <w:tcMar>
              <w:top w:w="120" w:type="dxa"/>
              <w:bottom w:w="120" w:type="dxa"/>
              <w:left w:w="160" w:type="dxa"/>
              <w:right w:w="160" w:type="dxa"/>
            </w:tcMar>
            <w:vAlign w:val="center"/>
          </w:tcPr>
          <w:p>
            <w:r>
              <w:rPr>
                <w:b/>
                <w:color w:val="276749"/>
              </w:rPr>
              <w:t>PASS</w:t>
            </w:r>
          </w:p>
        </w:tc>
      </w:tr>
      <w:tr>
        <w:trPr>
          <w:cantSplit/>
        </w:trPr>
        <w:tc>
          <w:tcPr>
            <w:tcW w:type="dxa" w:w="1800"/>
            <w:tcMar>
              <w:top w:w="120" w:type="dxa"/>
              <w:bottom w:w="120" w:type="dxa"/>
              <w:left w:w="160" w:type="dxa"/>
              <w:right w:w="160" w:type="dxa"/>
            </w:tcMar>
            <w:vAlign w:val="center"/>
          </w:tcPr>
          <w:p>
            <w:r>
              <w:rPr>
                <w:b/>
              </w:rPr>
              <w:t>TC-04</w:t>
            </w:r>
          </w:p>
        </w:tc>
        <w:tc>
          <w:tcPr>
            <w:tcW w:type="dxa" w:w="1800"/>
            <w:tcMar>
              <w:top w:w="120" w:type="dxa"/>
              <w:bottom w:w="120" w:type="dxa"/>
              <w:left w:w="160" w:type="dxa"/>
              <w:right w:w="160" w:type="dxa"/>
            </w:tcMar>
            <w:vAlign w:val="center"/>
          </w:tcPr>
          <w:p>
            <w:r>
              <w:t>Velocity Burst Scoring</w:t>
            </w:r>
          </w:p>
        </w:tc>
        <w:tc>
          <w:tcPr>
            <w:tcW w:type="dxa" w:w="1800"/>
            <w:tcMar>
              <w:top w:w="120" w:type="dxa"/>
              <w:bottom w:w="120" w:type="dxa"/>
              <w:left w:w="160" w:type="dxa"/>
              <w:right w:w="160" w:type="dxa"/>
            </w:tcMar>
            <w:vAlign w:val="center"/>
          </w:tcPr>
          <w:p>
            <w:r>
              <w:t>15 txns/hour burst from U102</w:t>
            </w:r>
          </w:p>
        </w:tc>
        <w:tc>
          <w:tcPr>
            <w:tcW w:type="dxa" w:w="1800"/>
            <w:tcMar>
              <w:top w:w="120" w:type="dxa"/>
              <w:bottom w:w="120" w:type="dxa"/>
              <w:left w:w="160" w:type="dxa"/>
              <w:right w:w="160" w:type="dxa"/>
            </w:tcMar>
            <w:vAlign w:val="center"/>
          </w:tcPr>
          <w:p>
            <w:r>
              <w:t>High velocity triggers REVIEW/BLOCK</w:t>
            </w:r>
          </w:p>
        </w:tc>
        <w:tc>
          <w:tcPr>
            <w:tcW w:type="dxa" w:w="1800"/>
            <w:tcMar>
              <w:top w:w="120" w:type="dxa"/>
              <w:bottom w:w="120" w:type="dxa"/>
              <w:left w:w="160" w:type="dxa"/>
              <w:right w:w="160" w:type="dxa"/>
            </w:tcMar>
            <w:vAlign w:val="center"/>
          </w:tcPr>
          <w:p>
            <w:r>
              <w:rPr>
                <w:b/>
                <w:color w:val="276749"/>
              </w:rPr>
              <w:t>PASS</w:t>
            </w:r>
          </w:p>
        </w:tc>
      </w:tr>
      <w:tr>
        <w:trPr>
          <w:cantSplit/>
        </w:trPr>
        <w:tc>
          <w:tcPr>
            <w:tcW w:type="dxa" w:w="1800"/>
            <w:shd w:fill="F7FAFC"/>
            <w:tcMar>
              <w:top w:w="120" w:type="dxa"/>
              <w:bottom w:w="120" w:type="dxa"/>
              <w:left w:w="160" w:type="dxa"/>
              <w:right w:w="160" w:type="dxa"/>
            </w:tcMar>
            <w:vAlign w:val="center"/>
          </w:tcPr>
          <w:p>
            <w:r>
              <w:rPr>
                <w:b/>
              </w:rPr>
              <w:t>TC-05</w:t>
            </w:r>
          </w:p>
        </w:tc>
        <w:tc>
          <w:tcPr>
            <w:tcW w:type="dxa" w:w="1800"/>
            <w:shd w:fill="F7FAFC"/>
            <w:tcMar>
              <w:top w:w="120" w:type="dxa"/>
              <w:bottom w:w="120" w:type="dxa"/>
              <w:left w:w="160" w:type="dxa"/>
              <w:right w:w="160" w:type="dxa"/>
            </w:tcMar>
            <w:vAlign w:val="center"/>
          </w:tcPr>
          <w:p>
            <w:r>
              <w:t>Batch Inference Integrity</w:t>
            </w:r>
          </w:p>
        </w:tc>
        <w:tc>
          <w:tcPr>
            <w:tcW w:type="dxa" w:w="1800"/>
            <w:shd w:fill="F7FAFC"/>
            <w:tcMar>
              <w:top w:w="120" w:type="dxa"/>
              <w:bottom w:w="120" w:type="dxa"/>
              <w:left w:w="160" w:type="dxa"/>
              <w:right w:w="160" w:type="dxa"/>
            </w:tcMar>
            <w:vAlign w:val="center"/>
          </w:tcPr>
          <w:p>
            <w:r>
              <w:t>POST /predict/batch (10 transactions)</w:t>
            </w:r>
          </w:p>
        </w:tc>
        <w:tc>
          <w:tcPr>
            <w:tcW w:type="dxa" w:w="1800"/>
            <w:shd w:fill="F7FAFC"/>
            <w:tcMar>
              <w:top w:w="120" w:type="dxa"/>
              <w:bottom w:w="120" w:type="dxa"/>
              <w:left w:w="160" w:type="dxa"/>
              <w:right w:w="160" w:type="dxa"/>
            </w:tcMar>
            <w:vAlign w:val="center"/>
          </w:tcPr>
          <w:p>
            <w:r>
              <w:t>HTTP 200, count=10 array returned</w:t>
            </w:r>
          </w:p>
        </w:tc>
        <w:tc>
          <w:tcPr>
            <w:tcW w:type="dxa" w:w="1800"/>
            <w:shd w:fill="F7FAFC"/>
            <w:tcMar>
              <w:top w:w="120" w:type="dxa"/>
              <w:bottom w:w="120" w:type="dxa"/>
              <w:left w:w="160" w:type="dxa"/>
              <w:right w:w="160" w:type="dxa"/>
            </w:tcMar>
            <w:vAlign w:val="center"/>
          </w:tcPr>
          <w:p>
            <w:r>
              <w:rPr>
                <w:b/>
                <w:color w:val="276749"/>
              </w:rPr>
              <w:t>PASS</w:t>
            </w:r>
          </w:p>
        </w:tc>
      </w:tr>
      <w:tr>
        <w:trPr>
          <w:cantSplit/>
        </w:trPr>
        <w:tc>
          <w:tcPr>
            <w:tcW w:type="dxa" w:w="1800"/>
            <w:tcMar>
              <w:top w:w="120" w:type="dxa"/>
              <w:bottom w:w="120" w:type="dxa"/>
              <w:left w:w="160" w:type="dxa"/>
              <w:right w:w="160" w:type="dxa"/>
            </w:tcMar>
            <w:vAlign w:val="center"/>
          </w:tcPr>
          <w:p>
            <w:r>
              <w:rPr>
                <w:b/>
              </w:rPr>
              <w:t>TC-06</w:t>
            </w:r>
          </w:p>
        </w:tc>
        <w:tc>
          <w:tcPr>
            <w:tcW w:type="dxa" w:w="1800"/>
            <w:tcMar>
              <w:top w:w="120" w:type="dxa"/>
              <w:bottom w:w="120" w:type="dxa"/>
              <w:left w:w="160" w:type="dxa"/>
              <w:right w:w="160" w:type="dxa"/>
            </w:tcMar>
            <w:vAlign w:val="center"/>
          </w:tcPr>
          <w:p>
            <w:r>
              <w:t>Minimal Payload Defaults</w:t>
            </w:r>
          </w:p>
        </w:tc>
        <w:tc>
          <w:tcPr>
            <w:tcW w:type="dxa" w:w="1800"/>
            <w:tcMar>
              <w:top w:w="120" w:type="dxa"/>
              <w:bottom w:w="120" w:type="dxa"/>
              <w:left w:w="160" w:type="dxa"/>
              <w:right w:w="160" w:type="dxa"/>
            </w:tcMar>
            <w:vAlign w:val="center"/>
          </w:tcPr>
          <w:p>
            <w:r>
              <w:t>POST /predict with only amount=700</w:t>
            </w:r>
          </w:p>
        </w:tc>
        <w:tc>
          <w:tcPr>
            <w:tcW w:type="dxa" w:w="1800"/>
            <w:tcMar>
              <w:top w:w="120" w:type="dxa"/>
              <w:bottom w:w="120" w:type="dxa"/>
              <w:left w:w="160" w:type="dxa"/>
              <w:right w:w="160" w:type="dxa"/>
            </w:tcMar>
            <w:vAlign w:val="center"/>
          </w:tcPr>
          <w:p>
            <w:r>
              <w:t>Defaults auto-populate without crashing</w:t>
            </w:r>
          </w:p>
        </w:tc>
        <w:tc>
          <w:tcPr>
            <w:tcW w:type="dxa" w:w="1800"/>
            <w:tcMar>
              <w:top w:w="120" w:type="dxa"/>
              <w:bottom w:w="120" w:type="dxa"/>
              <w:left w:w="160" w:type="dxa"/>
              <w:right w:w="160" w:type="dxa"/>
            </w:tcMar>
            <w:vAlign w:val="center"/>
          </w:tcPr>
          <w:p>
            <w:r>
              <w:rPr>
                <w:b/>
                <w:color w:val="276749"/>
              </w:rPr>
              <w:t>PASS</w:t>
            </w:r>
          </w:p>
        </w:tc>
      </w:tr>
      <w:tr>
        <w:trPr>
          <w:cantSplit/>
        </w:trPr>
        <w:tc>
          <w:tcPr>
            <w:tcW w:type="dxa" w:w="1800"/>
            <w:shd w:fill="F7FAFC"/>
            <w:tcMar>
              <w:top w:w="120" w:type="dxa"/>
              <w:bottom w:w="120" w:type="dxa"/>
              <w:left w:w="160" w:type="dxa"/>
              <w:right w:w="160" w:type="dxa"/>
            </w:tcMar>
            <w:vAlign w:val="center"/>
          </w:tcPr>
          <w:p>
            <w:r>
              <w:rPr>
                <w:b/>
              </w:rPr>
              <w:t>TC-07</w:t>
            </w:r>
          </w:p>
        </w:tc>
        <w:tc>
          <w:tcPr>
            <w:tcW w:type="dxa" w:w="1800"/>
            <w:shd w:fill="F7FAFC"/>
            <w:tcMar>
              <w:top w:w="120" w:type="dxa"/>
              <w:bottom w:w="120" w:type="dxa"/>
              <w:left w:w="160" w:type="dxa"/>
              <w:right w:w="160" w:type="dxa"/>
            </w:tcMar>
            <w:vAlign w:val="center"/>
          </w:tcPr>
          <w:p>
            <w:r>
              <w:t>CSV Storage Fallback</w:t>
            </w:r>
          </w:p>
        </w:tc>
        <w:tc>
          <w:tcPr>
            <w:tcW w:type="dxa" w:w="1800"/>
            <w:shd w:fill="F7FAFC"/>
            <w:tcMar>
              <w:top w:w="120" w:type="dxa"/>
              <w:bottom w:w="120" w:type="dxa"/>
              <w:left w:w="160" w:type="dxa"/>
              <w:right w:w="160" w:type="dxa"/>
            </w:tcMar>
            <w:vAlign w:val="center"/>
          </w:tcPr>
          <w:p>
            <w:r>
              <w:t>DATABASE_URL unset in environment</w:t>
            </w:r>
          </w:p>
        </w:tc>
        <w:tc>
          <w:tcPr>
            <w:tcW w:type="dxa" w:w="1800"/>
            <w:shd w:fill="F7FAFC"/>
            <w:tcMar>
              <w:top w:w="120" w:type="dxa"/>
              <w:bottom w:w="120" w:type="dxa"/>
              <w:left w:w="160" w:type="dxa"/>
              <w:right w:w="160" w:type="dxa"/>
            </w:tcMar>
            <w:vAlign w:val="center"/>
          </w:tcPr>
          <w:p>
            <w:r>
              <w:t>Logs appended to data/predictions_log.csv</w:t>
            </w:r>
          </w:p>
        </w:tc>
        <w:tc>
          <w:tcPr>
            <w:tcW w:type="dxa" w:w="1800"/>
            <w:shd w:fill="F7FAFC"/>
            <w:tcMar>
              <w:top w:w="120" w:type="dxa"/>
              <w:bottom w:w="120" w:type="dxa"/>
              <w:left w:w="160" w:type="dxa"/>
              <w:right w:w="160" w:type="dxa"/>
            </w:tcMar>
            <w:vAlign w:val="center"/>
          </w:tcPr>
          <w:p>
            <w:r>
              <w:rPr>
                <w:b/>
                <w:color w:val="276749"/>
              </w:rPr>
              <w:t>PASS</w:t>
            </w:r>
          </w:p>
        </w:tc>
      </w:tr>
      <w:tr>
        <w:trPr>
          <w:cantSplit/>
        </w:trPr>
        <w:tc>
          <w:tcPr>
            <w:tcW w:type="dxa" w:w="1800"/>
            <w:tcMar>
              <w:top w:w="120" w:type="dxa"/>
              <w:bottom w:w="120" w:type="dxa"/>
              <w:left w:w="160" w:type="dxa"/>
              <w:right w:w="160" w:type="dxa"/>
            </w:tcMar>
            <w:vAlign w:val="center"/>
          </w:tcPr>
          <w:p>
            <w:r>
              <w:rPr>
                <w:b/>
              </w:rPr>
              <w:t>TC-08</w:t>
            </w:r>
          </w:p>
        </w:tc>
        <w:tc>
          <w:tcPr>
            <w:tcW w:type="dxa" w:w="1800"/>
            <w:tcMar>
              <w:top w:w="120" w:type="dxa"/>
              <w:bottom w:w="120" w:type="dxa"/>
              <w:left w:w="160" w:type="dxa"/>
              <w:right w:w="160" w:type="dxa"/>
            </w:tcMar>
            <w:vAlign w:val="center"/>
          </w:tcPr>
          <w:p>
            <w:r>
              <w:t>DuckDNS Host Routing</w:t>
            </w:r>
          </w:p>
        </w:tc>
        <w:tc>
          <w:tcPr>
            <w:tcW w:type="dxa" w:w="1800"/>
            <w:tcMar>
              <w:top w:w="120" w:type="dxa"/>
              <w:bottom w:w="120" w:type="dxa"/>
              <w:left w:w="160" w:type="dxa"/>
              <w:right w:w="160" w:type="dxa"/>
            </w:tcMar>
            <w:vAlign w:val="center"/>
          </w:tcPr>
          <w:p>
            <w:r>
              <w:t>Host: finguarddd.duckdns.org HTTP GET</w:t>
            </w:r>
          </w:p>
        </w:tc>
        <w:tc>
          <w:tcPr>
            <w:tcW w:type="dxa" w:w="1800"/>
            <w:tcMar>
              <w:top w:w="120" w:type="dxa"/>
              <w:bottom w:w="120" w:type="dxa"/>
              <w:left w:w="160" w:type="dxa"/>
              <w:right w:w="160" w:type="dxa"/>
            </w:tcMar>
            <w:vAlign w:val="center"/>
          </w:tcPr>
          <w:p>
            <w:r>
              <w:t>HTTP 200: Serves React Dashboard</w:t>
            </w:r>
          </w:p>
        </w:tc>
        <w:tc>
          <w:tcPr>
            <w:tcW w:type="dxa" w:w="1800"/>
            <w:tcMar>
              <w:top w:w="120" w:type="dxa"/>
              <w:bottom w:w="120" w:type="dxa"/>
              <w:left w:w="160" w:type="dxa"/>
              <w:right w:w="160" w:type="dxa"/>
            </w:tcMar>
            <w:vAlign w:val="center"/>
          </w:tcPr>
          <w:p>
            <w:r>
              <w:rPr>
                <w:b/>
                <w:color w:val="276749"/>
              </w:rPr>
              <w:t>PASS</w:t>
            </w:r>
          </w:p>
        </w:tc>
      </w:tr>
    </w:tbl>
    <w:p>
      <w:pPr>
        <w:spacing w:before="0" w:after="240" w:line="276" w:lineRule="auto"/>
        <w:jc w:val="center"/>
      </w:pPr>
      <w:r>
        <w:rPr>
          <w:rFonts w:ascii="Times New Roman" w:hAnsi="Times New Roman"/>
          <w:b w:val="0"/>
          <w:i/>
          <w:sz w:val="20"/>
        </w:rPr>
        <w:t>Table 5.1: Verification Test Cases Execution &amp; Validation Acceptance Matrix</w:t>
      </w:r>
    </w:p>
    <w:p>
      <w:pPr>
        <w:keepNext/>
        <w:spacing w:before="280" w:after="120"/>
      </w:pPr>
      <w:r>
        <w:rPr>
          <w:rFonts w:ascii="Times New Roman" w:hAnsi="Times New Roman"/>
          <w:b/>
          <w:i w:val="0"/>
          <w:color w:val="2D3748"/>
          <w:sz w:val="28"/>
        </w:rPr>
        <w:t>5.3 Quantitative Performance Metrics</w:t>
      </w:r>
    </w:p>
    <w:p>
      <w:pPr>
        <w:spacing w:before="0" w:after="160" w:line="276" w:lineRule="auto"/>
        <w:jc w:val="both"/>
      </w:pPr>
      <w:r>
        <w:rPr>
          <w:rFonts w:ascii="Times New Roman" w:hAnsi="Times New Roman"/>
          <w:b w:val="0"/>
          <w:i w:val="0"/>
          <w:sz w:val="24"/>
        </w:rPr>
        <w:t>On the holdout test evaluation dataset of 1,200 transactions (containing 72 ground-truth fraudulent transactions and 1,128 legitimate transactions), FinGuard achieved outstanding discriminative performance: Precision of 1.00, Recall of 0.875, F1-Score of 0.933, and ROC-AUC of 0.941. Table 5.2 summarizes the comparative benchmark metrics across individual models versus the unified ensemble.</w:t>
      </w:r>
    </w:p>
    <w:tbl>
      <w:tblPr>
        <w:tblW w:type="auto" w:w="0"/>
        <w:jc w:val="center"/>
        <w:tblLayout w:type="fixed"/>
        <w:tblLook w:firstColumn="1" w:firstRow="1" w:lastColumn="0" w:lastRow="0" w:noHBand="0" w:noVBand="1" w:val="04A0"/>
        <w:tblBorders>
          <w:top w:val="single" w:sz="6" w:space="0" w:color="A0AEC0"/>
          <w:left w:val="none"/>
          <w:bottom w:val="single" w:sz="8" w:space="0" w:color="4A5568"/>
          <w:right w:val="none"/>
          <w:insideH w:val="single" w:sz="4" w:space="0" w:color="E2E8F0"/>
          <w:insideV w:val="none"/>
        </w:tblBorders>
      </w:tblPr>
      <w:tblGrid>
        <w:gridCol w:w="1800"/>
        <w:gridCol w:w="1800"/>
        <w:gridCol w:w="1800"/>
        <w:gridCol w:w="1800"/>
        <w:gridCol w:w="1800"/>
      </w:tblGrid>
      <w:tr>
        <w:trPr>
          <w:cantSplit/>
        </w:trPr>
        <w:tc>
          <w:tcPr>
            <w:tcW w:type="dxa" w:w="1800"/>
            <w:shd w:fill="EBF8FF"/>
            <w:tcMar>
              <w:top w:w="120" w:type="dxa"/>
              <w:bottom w:w="120" w:type="dxa"/>
              <w:left w:w="160" w:type="dxa"/>
              <w:right w:w="160" w:type="dxa"/>
            </w:tcMar>
            <w:vAlign w:val="center"/>
          </w:tcPr>
          <w:p>
            <w:r>
              <w:rPr>
                <w:b/>
              </w:rPr>
              <w:t>Model Architecture</w:t>
            </w:r>
          </w:p>
        </w:tc>
        <w:tc>
          <w:tcPr>
            <w:tcW w:type="dxa" w:w="1800"/>
            <w:shd w:fill="EBF8FF"/>
            <w:tcMar>
              <w:top w:w="120" w:type="dxa"/>
              <w:bottom w:w="120" w:type="dxa"/>
              <w:left w:w="160" w:type="dxa"/>
              <w:right w:w="160" w:type="dxa"/>
            </w:tcMar>
            <w:vAlign w:val="center"/>
          </w:tcPr>
          <w:p>
            <w:r>
              <w:rPr>
                <w:b/>
              </w:rPr>
              <w:t>Precision</w:t>
            </w:r>
          </w:p>
        </w:tc>
        <w:tc>
          <w:tcPr>
            <w:tcW w:type="dxa" w:w="1800"/>
            <w:shd w:fill="EBF8FF"/>
            <w:tcMar>
              <w:top w:w="120" w:type="dxa"/>
              <w:bottom w:w="120" w:type="dxa"/>
              <w:left w:w="160" w:type="dxa"/>
              <w:right w:w="160" w:type="dxa"/>
            </w:tcMar>
            <w:vAlign w:val="center"/>
          </w:tcPr>
          <w:p>
            <w:r>
              <w:rPr>
                <w:b/>
              </w:rPr>
              <w:t>Recall</w:t>
            </w:r>
          </w:p>
        </w:tc>
        <w:tc>
          <w:tcPr>
            <w:tcW w:type="dxa" w:w="1800"/>
            <w:shd w:fill="EBF8FF"/>
            <w:tcMar>
              <w:top w:w="120" w:type="dxa"/>
              <w:bottom w:w="120" w:type="dxa"/>
              <w:left w:w="160" w:type="dxa"/>
              <w:right w:w="160" w:type="dxa"/>
            </w:tcMar>
            <w:vAlign w:val="center"/>
          </w:tcPr>
          <w:p>
            <w:r>
              <w:rPr>
                <w:b/>
              </w:rPr>
              <w:t>F1-Score</w:t>
            </w:r>
          </w:p>
        </w:tc>
        <w:tc>
          <w:tcPr>
            <w:tcW w:type="dxa" w:w="1800"/>
            <w:shd w:fill="EBF8FF"/>
            <w:tcMar>
              <w:top w:w="120" w:type="dxa"/>
              <w:bottom w:w="120" w:type="dxa"/>
              <w:left w:w="160" w:type="dxa"/>
              <w:right w:w="160" w:type="dxa"/>
            </w:tcMar>
            <w:vAlign w:val="center"/>
          </w:tcPr>
          <w:p>
            <w:r>
              <w:rPr>
                <w:b/>
              </w:rPr>
              <w:t>ROC-AUC</w:t>
            </w:r>
          </w:p>
        </w:tc>
      </w:tr>
      <w:tr>
        <w:trPr>
          <w:cantSplit/>
        </w:trPr>
        <w:tc>
          <w:tcPr>
            <w:tcW w:type="dxa" w:w="1800"/>
            <w:shd w:fill="F7FAFC"/>
            <w:tcMar>
              <w:top w:w="120" w:type="dxa"/>
              <w:bottom w:w="120" w:type="dxa"/>
              <w:left w:w="160" w:type="dxa"/>
              <w:right w:w="160" w:type="dxa"/>
            </w:tcMar>
            <w:vAlign w:val="center"/>
          </w:tcPr>
          <w:p>
            <w:r>
              <w:rPr>
                <w:b w:val="0"/>
              </w:rPr>
              <w:t>Isolation Forest (Unsupervised)</w:t>
            </w:r>
          </w:p>
        </w:tc>
        <w:tc>
          <w:tcPr>
            <w:tcW w:type="dxa" w:w="1800"/>
            <w:shd w:fill="F7FAFC"/>
            <w:tcMar>
              <w:top w:w="120" w:type="dxa"/>
              <w:bottom w:w="120" w:type="dxa"/>
              <w:left w:w="160" w:type="dxa"/>
              <w:right w:w="160" w:type="dxa"/>
            </w:tcMar>
            <w:vAlign w:val="center"/>
          </w:tcPr>
          <w:p>
            <w:r>
              <w:rPr>
                <w:b w:val="0"/>
              </w:rPr>
              <w:t>0.82</w:t>
            </w:r>
          </w:p>
        </w:tc>
        <w:tc>
          <w:tcPr>
            <w:tcW w:type="dxa" w:w="1800"/>
            <w:shd w:fill="F7FAFC"/>
            <w:tcMar>
              <w:top w:w="120" w:type="dxa"/>
              <w:bottom w:w="120" w:type="dxa"/>
              <w:left w:w="160" w:type="dxa"/>
              <w:right w:w="160" w:type="dxa"/>
            </w:tcMar>
            <w:vAlign w:val="center"/>
          </w:tcPr>
          <w:p>
            <w:r>
              <w:rPr>
                <w:b w:val="0"/>
              </w:rPr>
              <w:t>0.74</w:t>
            </w:r>
          </w:p>
        </w:tc>
        <w:tc>
          <w:tcPr>
            <w:tcW w:type="dxa" w:w="1800"/>
            <w:shd w:fill="F7FAFC"/>
            <w:tcMar>
              <w:top w:w="120" w:type="dxa"/>
              <w:bottom w:w="120" w:type="dxa"/>
              <w:left w:w="160" w:type="dxa"/>
              <w:right w:w="160" w:type="dxa"/>
            </w:tcMar>
            <w:vAlign w:val="center"/>
          </w:tcPr>
          <w:p>
            <w:r>
              <w:rPr>
                <w:b w:val="0"/>
              </w:rPr>
              <w:t>0.78</w:t>
            </w:r>
          </w:p>
        </w:tc>
        <w:tc>
          <w:tcPr>
            <w:tcW w:type="dxa" w:w="1800"/>
            <w:shd w:fill="F7FAFC"/>
            <w:tcMar>
              <w:top w:w="120" w:type="dxa"/>
              <w:bottom w:w="120" w:type="dxa"/>
              <w:left w:w="160" w:type="dxa"/>
              <w:right w:w="160" w:type="dxa"/>
            </w:tcMar>
            <w:vAlign w:val="center"/>
          </w:tcPr>
          <w:p>
            <w:r>
              <w:rPr>
                <w:b w:val="0"/>
              </w:rPr>
              <w:t>0.85</w:t>
            </w:r>
          </w:p>
        </w:tc>
      </w:tr>
      <w:tr>
        <w:trPr>
          <w:cantSplit/>
        </w:trPr>
        <w:tc>
          <w:tcPr>
            <w:tcW w:type="dxa" w:w="1800"/>
            <w:tcMar>
              <w:top w:w="120" w:type="dxa"/>
              <w:bottom w:w="120" w:type="dxa"/>
              <w:left w:w="160" w:type="dxa"/>
              <w:right w:w="160" w:type="dxa"/>
            </w:tcMar>
            <w:vAlign w:val="center"/>
          </w:tcPr>
          <w:p>
            <w:r>
              <w:rPr>
                <w:b w:val="0"/>
              </w:rPr>
              <w:t>MLP Autoencoder (Semi-Supervised)</w:t>
            </w:r>
          </w:p>
        </w:tc>
        <w:tc>
          <w:tcPr>
            <w:tcW w:type="dxa" w:w="1800"/>
            <w:tcMar>
              <w:top w:w="120" w:type="dxa"/>
              <w:bottom w:w="120" w:type="dxa"/>
              <w:left w:w="160" w:type="dxa"/>
              <w:right w:w="160" w:type="dxa"/>
            </w:tcMar>
            <w:vAlign w:val="center"/>
          </w:tcPr>
          <w:p>
            <w:r>
              <w:rPr>
                <w:b w:val="0"/>
              </w:rPr>
              <w:t>0.86</w:t>
            </w:r>
          </w:p>
        </w:tc>
        <w:tc>
          <w:tcPr>
            <w:tcW w:type="dxa" w:w="1800"/>
            <w:tcMar>
              <w:top w:w="120" w:type="dxa"/>
              <w:bottom w:w="120" w:type="dxa"/>
              <w:left w:w="160" w:type="dxa"/>
              <w:right w:w="160" w:type="dxa"/>
            </w:tcMar>
            <w:vAlign w:val="center"/>
          </w:tcPr>
          <w:p>
            <w:r>
              <w:rPr>
                <w:b w:val="0"/>
              </w:rPr>
              <w:t>0.71</w:t>
            </w:r>
          </w:p>
        </w:tc>
        <w:tc>
          <w:tcPr>
            <w:tcW w:type="dxa" w:w="1800"/>
            <w:tcMar>
              <w:top w:w="120" w:type="dxa"/>
              <w:bottom w:w="120" w:type="dxa"/>
              <w:left w:w="160" w:type="dxa"/>
              <w:right w:w="160" w:type="dxa"/>
            </w:tcMar>
            <w:vAlign w:val="center"/>
          </w:tcPr>
          <w:p>
            <w:r>
              <w:rPr>
                <w:b w:val="0"/>
              </w:rPr>
              <w:t>0.78</w:t>
            </w:r>
          </w:p>
        </w:tc>
        <w:tc>
          <w:tcPr>
            <w:tcW w:type="dxa" w:w="1800"/>
            <w:tcMar>
              <w:top w:w="120" w:type="dxa"/>
              <w:bottom w:w="120" w:type="dxa"/>
              <w:left w:w="160" w:type="dxa"/>
              <w:right w:w="160" w:type="dxa"/>
            </w:tcMar>
            <w:vAlign w:val="center"/>
          </w:tcPr>
          <w:p>
            <w:r>
              <w:rPr>
                <w:b w:val="0"/>
              </w:rPr>
              <w:t>0.87</w:t>
            </w:r>
          </w:p>
        </w:tc>
      </w:tr>
      <w:tr>
        <w:trPr>
          <w:cantSplit/>
        </w:trPr>
        <w:tc>
          <w:tcPr>
            <w:tcW w:type="dxa" w:w="1800"/>
            <w:shd w:fill="F7FAFC"/>
            <w:tcMar>
              <w:top w:w="120" w:type="dxa"/>
              <w:bottom w:w="120" w:type="dxa"/>
              <w:left w:w="160" w:type="dxa"/>
              <w:right w:w="160" w:type="dxa"/>
            </w:tcMar>
            <w:vAlign w:val="center"/>
          </w:tcPr>
          <w:p>
            <w:r>
              <w:rPr>
                <w:b w:val="0"/>
              </w:rPr>
              <w:t>XGBoost Alone (Supervised)</w:t>
            </w:r>
          </w:p>
        </w:tc>
        <w:tc>
          <w:tcPr>
            <w:tcW w:type="dxa" w:w="1800"/>
            <w:shd w:fill="F7FAFC"/>
            <w:tcMar>
              <w:top w:w="120" w:type="dxa"/>
              <w:bottom w:w="120" w:type="dxa"/>
              <w:left w:w="160" w:type="dxa"/>
              <w:right w:w="160" w:type="dxa"/>
            </w:tcMar>
            <w:vAlign w:val="center"/>
          </w:tcPr>
          <w:p>
            <w:r>
              <w:rPr>
                <w:b w:val="0"/>
              </w:rPr>
              <w:t>0.98</w:t>
            </w:r>
          </w:p>
        </w:tc>
        <w:tc>
          <w:tcPr>
            <w:tcW w:type="dxa" w:w="1800"/>
            <w:shd w:fill="F7FAFC"/>
            <w:tcMar>
              <w:top w:w="120" w:type="dxa"/>
              <w:bottom w:w="120" w:type="dxa"/>
              <w:left w:w="160" w:type="dxa"/>
              <w:right w:w="160" w:type="dxa"/>
            </w:tcMar>
            <w:vAlign w:val="center"/>
          </w:tcPr>
          <w:p>
            <w:r>
              <w:rPr>
                <w:b w:val="0"/>
              </w:rPr>
              <w:t>0.85</w:t>
            </w:r>
          </w:p>
        </w:tc>
        <w:tc>
          <w:tcPr>
            <w:tcW w:type="dxa" w:w="1800"/>
            <w:shd w:fill="F7FAFC"/>
            <w:tcMar>
              <w:top w:w="120" w:type="dxa"/>
              <w:bottom w:w="120" w:type="dxa"/>
              <w:left w:w="160" w:type="dxa"/>
              <w:right w:w="160" w:type="dxa"/>
            </w:tcMar>
            <w:vAlign w:val="center"/>
          </w:tcPr>
          <w:p>
            <w:r>
              <w:rPr>
                <w:b w:val="0"/>
              </w:rPr>
              <w:t>0.91</w:t>
            </w:r>
          </w:p>
        </w:tc>
        <w:tc>
          <w:tcPr>
            <w:tcW w:type="dxa" w:w="1800"/>
            <w:shd w:fill="F7FAFC"/>
            <w:tcMar>
              <w:top w:w="120" w:type="dxa"/>
              <w:bottom w:w="120" w:type="dxa"/>
              <w:left w:w="160" w:type="dxa"/>
              <w:right w:w="160" w:type="dxa"/>
            </w:tcMar>
            <w:vAlign w:val="center"/>
          </w:tcPr>
          <w:p>
            <w:r>
              <w:rPr>
                <w:b w:val="0"/>
              </w:rPr>
              <w:t>0.93</w:t>
            </w:r>
          </w:p>
        </w:tc>
      </w:tr>
      <w:tr>
        <w:trPr>
          <w:cantSplit/>
        </w:trPr>
        <w:tc>
          <w:tcPr>
            <w:tcW w:type="dxa" w:w="1800"/>
            <w:tcMar>
              <w:top w:w="120" w:type="dxa"/>
              <w:bottom w:w="120" w:type="dxa"/>
              <w:left w:w="160" w:type="dxa"/>
              <w:right w:w="160" w:type="dxa"/>
            </w:tcMar>
            <w:vAlign w:val="center"/>
          </w:tcPr>
          <w:p>
            <w:r>
              <w:rPr>
                <w:b/>
              </w:rPr>
              <w:t>FinGuard Tri-Model Ensemble</w:t>
            </w:r>
          </w:p>
        </w:tc>
        <w:tc>
          <w:tcPr>
            <w:tcW w:type="dxa" w:w="1800"/>
            <w:tcMar>
              <w:top w:w="120" w:type="dxa"/>
              <w:bottom w:w="120" w:type="dxa"/>
              <w:left w:w="160" w:type="dxa"/>
              <w:right w:w="160" w:type="dxa"/>
            </w:tcMar>
            <w:vAlign w:val="center"/>
          </w:tcPr>
          <w:p>
            <w:r>
              <w:rPr>
                <w:b/>
              </w:rPr>
              <w:t>1.00</w:t>
            </w:r>
          </w:p>
        </w:tc>
        <w:tc>
          <w:tcPr>
            <w:tcW w:type="dxa" w:w="1800"/>
            <w:tcMar>
              <w:top w:w="120" w:type="dxa"/>
              <w:bottom w:w="120" w:type="dxa"/>
              <w:left w:w="160" w:type="dxa"/>
              <w:right w:w="160" w:type="dxa"/>
            </w:tcMar>
            <w:vAlign w:val="center"/>
          </w:tcPr>
          <w:p>
            <w:r>
              <w:rPr>
                <w:b/>
              </w:rPr>
              <w:t>0.875</w:t>
            </w:r>
          </w:p>
        </w:tc>
        <w:tc>
          <w:tcPr>
            <w:tcW w:type="dxa" w:w="1800"/>
            <w:tcMar>
              <w:top w:w="120" w:type="dxa"/>
              <w:bottom w:w="120" w:type="dxa"/>
              <w:left w:w="160" w:type="dxa"/>
              <w:right w:w="160" w:type="dxa"/>
            </w:tcMar>
            <w:vAlign w:val="center"/>
          </w:tcPr>
          <w:p>
            <w:r>
              <w:rPr>
                <w:b/>
              </w:rPr>
              <w:t>0.933</w:t>
            </w:r>
          </w:p>
        </w:tc>
        <w:tc>
          <w:tcPr>
            <w:tcW w:type="dxa" w:w="1800"/>
            <w:tcMar>
              <w:top w:w="120" w:type="dxa"/>
              <w:bottom w:w="120" w:type="dxa"/>
              <w:left w:w="160" w:type="dxa"/>
              <w:right w:w="160" w:type="dxa"/>
            </w:tcMar>
            <w:vAlign w:val="center"/>
          </w:tcPr>
          <w:p>
            <w:r>
              <w:rPr>
                <w:b/>
              </w:rPr>
              <w:t>0.941</w:t>
            </w:r>
          </w:p>
        </w:tc>
      </w:tr>
    </w:tbl>
    <w:p>
      <w:pPr>
        <w:spacing w:before="0" w:after="240" w:line="276" w:lineRule="auto"/>
        <w:jc w:val="center"/>
      </w:pPr>
      <w:r>
        <w:rPr>
          <w:rFonts w:ascii="Times New Roman" w:hAnsi="Times New Roman"/>
          <w:b w:val="0"/>
          <w:i/>
          <w:sz w:val="20"/>
        </w:rPr>
        <w:t>Table 5.2: Comparative Multi-Model Performance Metric Benchmark Summary</w:t>
      </w:r>
    </w:p>
    <w:p>
      <w:pPr>
        <w:spacing w:before="200" w:after="80"/>
        <w:jc w:val="center"/>
      </w:pPr>
      <w:r>
        <w:drawing>
          <wp:inline xmlns:a="http://schemas.openxmlformats.org/drawingml/2006/main" xmlns:pic="http://schemas.openxmlformats.org/drawingml/2006/picture">
            <wp:extent cx="5303520" cy="4487594"/>
            <wp:docPr id="10" name="Picture 10"/>
            <wp:cNvGraphicFramePr>
              <a:graphicFrameLocks noChangeAspect="1"/>
            </wp:cNvGraphicFramePr>
            <a:graphic>
              <a:graphicData uri="http://schemas.openxmlformats.org/drawingml/2006/picture">
                <pic:pic>
                  <pic:nvPicPr>
                    <pic:cNvPr id="0" name="fig4_confusion_matrix_metrics.png"/>
                    <pic:cNvPicPr/>
                  </pic:nvPicPr>
                  <pic:blipFill>
                    <a:blip r:embed="rId18"/>
                    <a:stretch>
                      <a:fillRect/>
                    </a:stretch>
                  </pic:blipFill>
                  <pic:spPr>
                    <a:xfrm>
                      <a:off x="0" y="0"/>
                      <a:ext cx="5303520" cy="4487594"/>
                    </a:xfrm>
                    <a:prstGeom prst="rect"/>
                  </pic:spPr>
                </pic:pic>
              </a:graphicData>
            </a:graphic>
          </wp:inline>
        </w:drawing>
      </w:r>
    </w:p>
    <w:p>
      <w:pPr>
        <w:keepNext w:val="0"/>
        <w:spacing w:before="40" w:after="240"/>
        <w:jc w:val="center"/>
      </w:pPr>
      <w:r>
        <w:rPr>
          <w:rFonts w:ascii="Times New Roman" w:hAnsi="Times New Roman"/>
          <w:b/>
          <w:i/>
          <w:color w:val="2D3748"/>
          <w:sz w:val="21"/>
        </w:rPr>
        <w:t>Figure 5.2: FinGuard Confusion Matrix on Test Evaluation Dataset (N=1,200)</w:t>
      </w:r>
    </w:p>
    <w:p>
      <w:pPr>
        <w:spacing w:before="200" w:after="80"/>
        <w:jc w:val="center"/>
      </w:pPr>
      <w:r>
        <w:drawing>
          <wp:inline xmlns:a="http://schemas.openxmlformats.org/drawingml/2006/main" xmlns:pic="http://schemas.openxmlformats.org/drawingml/2006/picture">
            <wp:extent cx="5303520" cy="2410691"/>
            <wp:docPr id="11" name="Picture 11"/>
            <wp:cNvGraphicFramePr>
              <a:graphicFrameLocks noChangeAspect="1"/>
            </wp:cNvGraphicFramePr>
            <a:graphic>
              <a:graphicData uri="http://schemas.openxmlformats.org/drawingml/2006/picture">
                <pic:pic>
                  <pic:nvPicPr>
                    <pic:cNvPr id="0" name="fig5_roc_and_pr_curves.png"/>
                    <pic:cNvPicPr/>
                  </pic:nvPicPr>
                  <pic:blipFill>
                    <a:blip r:embed="rId19"/>
                    <a:stretch>
                      <a:fillRect/>
                    </a:stretch>
                  </pic:blipFill>
                  <pic:spPr>
                    <a:xfrm>
                      <a:off x="0" y="0"/>
                      <a:ext cx="5303520" cy="2410691"/>
                    </a:xfrm>
                    <a:prstGeom prst="rect"/>
                  </pic:spPr>
                </pic:pic>
              </a:graphicData>
            </a:graphic>
          </wp:inline>
        </w:drawing>
      </w:r>
    </w:p>
    <w:p>
      <w:pPr>
        <w:keepNext w:val="0"/>
        <w:spacing w:before="40" w:after="240"/>
        <w:jc w:val="center"/>
      </w:pPr>
      <w:r>
        <w:rPr>
          <w:rFonts w:ascii="Times New Roman" w:hAnsi="Times New Roman"/>
          <w:b/>
          <w:i/>
          <w:color w:val="2D3748"/>
          <w:sz w:val="21"/>
        </w:rPr>
        <w:t>Figure 5.3: Diagnostic ROC and Precision-Recall Curves (ROC-AUC = 0.941)</w:t>
      </w:r>
    </w:p>
    <w:p>
      <w:pPr>
        <w:keepNext/>
        <w:spacing w:before="280" w:after="120"/>
      </w:pPr>
      <w:r>
        <w:rPr>
          <w:rFonts w:ascii="Times New Roman" w:hAnsi="Times New Roman"/>
          <w:b/>
          <w:i w:val="0"/>
          <w:color w:val="2D3748"/>
          <w:sz w:val="28"/>
        </w:rPr>
        <w:t>5.4 Real-Time Inference Latency Benchmarks</w:t>
      </w:r>
    </w:p>
    <w:p>
      <w:pPr>
        <w:spacing w:before="0" w:after="200" w:line="288" w:lineRule="auto"/>
        <w:jc w:val="both"/>
      </w:pPr>
      <w:r>
        <w:rPr>
          <w:rFonts w:ascii="Times New Roman" w:hAnsi="Times New Roman"/>
          <w:b w:val="0"/>
          <w:i w:val="0"/>
          <w:sz w:val="24"/>
        </w:rPr>
        <w:t>To validate production viability in high-velocity banking cores, FinGuard was subjected to stress benchmarks measuring round-trip inference latency. Single-transaction scoring completed in an average of 4.2 milliseconds, while batch requests of 10 and 50 transactions executed in 11.5ms and 38.6ms respectively, comfortably satisfying standard payment network Service Level Agreements (SLAs &lt; 100ms).</w:t>
      </w:r>
    </w:p>
    <w:p>
      <w:pPr>
        <w:spacing w:before="200" w:after="80"/>
        <w:jc w:val="center"/>
      </w:pPr>
      <w:r>
        <w:drawing>
          <wp:inline xmlns:a="http://schemas.openxmlformats.org/drawingml/2006/main" xmlns:pic="http://schemas.openxmlformats.org/drawingml/2006/picture">
            <wp:extent cx="5303520" cy="2946400"/>
            <wp:docPr id="12" name="Picture 12"/>
            <wp:cNvGraphicFramePr>
              <a:graphicFrameLocks noChangeAspect="1"/>
            </wp:cNvGraphicFramePr>
            <a:graphic>
              <a:graphicData uri="http://schemas.openxmlformats.org/drawingml/2006/picture">
                <pic:pic>
                  <pic:nvPicPr>
                    <pic:cNvPr id="0" name="fig11_api_latency_benchmarks.png"/>
                    <pic:cNvPicPr/>
                  </pic:nvPicPr>
                  <pic:blipFill>
                    <a:blip r:embed="rId20"/>
                    <a:stretch>
                      <a:fillRect/>
                    </a:stretch>
                  </pic:blipFill>
                  <pic:spPr>
                    <a:xfrm>
                      <a:off x="0" y="0"/>
                      <a:ext cx="5303520" cy="2946400"/>
                    </a:xfrm>
                    <a:prstGeom prst="rect"/>
                  </pic:spPr>
                </pic:pic>
              </a:graphicData>
            </a:graphic>
          </wp:inline>
        </w:drawing>
      </w:r>
    </w:p>
    <w:p>
      <w:pPr>
        <w:keepNext w:val="0"/>
        <w:spacing w:before="40" w:after="240"/>
        <w:jc w:val="center"/>
      </w:pPr>
      <w:r>
        <w:rPr>
          <w:rFonts w:ascii="Times New Roman" w:hAnsi="Times New Roman"/>
          <w:b/>
          <w:i/>
          <w:color w:val="2D3748"/>
          <w:sz w:val="21"/>
        </w:rPr>
        <w:t>Figure 5.4: High-Throughput REST API Execution Latency Benchmarks (&lt;50ms)</w:t>
      </w:r>
    </w:p>
    <w:p>
      <w:pPr>
        <w:keepNext/>
        <w:spacing w:before="280" w:after="120"/>
      </w:pPr>
      <w:r>
        <w:rPr>
          <w:rFonts w:ascii="Times New Roman" w:hAnsi="Times New Roman"/>
          <w:b/>
          <w:i w:val="0"/>
          <w:color w:val="2D3748"/>
          <w:sz w:val="28"/>
        </w:rPr>
        <w:t>5.5 Visual Captures &amp; Diagnostic Dashboard Telemetry</w:t>
      </w:r>
    </w:p>
    <w:p>
      <w:pPr>
        <w:spacing w:before="0" w:after="200" w:line="276" w:lineRule="auto"/>
        <w:jc w:val="both"/>
      </w:pPr>
      <w:r>
        <w:rPr>
          <w:rFonts w:ascii="Times New Roman" w:hAnsi="Times New Roman"/>
          <w:b w:val="0"/>
          <w:i w:val="0"/>
          <w:sz w:val="24"/>
        </w:rPr>
        <w:t>Figure 5.5 presents the architectural wireframe and live state layout of the FinGuard React Dashboard, demonstrating the integration of real-time telemetry, transaction streaming, and merchant risk visualization.</w:t>
      </w:r>
    </w:p>
    <w:p>
      <w:pPr>
        <w:spacing w:before="200" w:after="80"/>
        <w:jc w:val="center"/>
      </w:pPr>
      <w:r>
        <w:drawing>
          <wp:inline xmlns:a="http://schemas.openxmlformats.org/drawingml/2006/main" xmlns:pic="http://schemas.openxmlformats.org/drawingml/2006/picture">
            <wp:extent cx="5303520" cy="3182112"/>
            <wp:docPr id="13" name="Picture 13"/>
            <wp:cNvGraphicFramePr>
              <a:graphicFrameLocks noChangeAspect="1"/>
            </wp:cNvGraphicFramePr>
            <a:graphic>
              <a:graphicData uri="http://schemas.openxmlformats.org/drawingml/2006/picture">
                <pic:pic>
                  <pic:nvPicPr>
                    <pic:cNvPr id="0" name="fig12_dashboard_wireframe.png"/>
                    <pic:cNvPicPr/>
                  </pic:nvPicPr>
                  <pic:blipFill>
                    <a:blip r:embed="rId21"/>
                    <a:stretch>
                      <a:fillRect/>
                    </a:stretch>
                  </pic:blipFill>
                  <pic:spPr>
                    <a:xfrm>
                      <a:off x="0" y="0"/>
                      <a:ext cx="5303520" cy="3182112"/>
                    </a:xfrm>
                    <a:prstGeom prst="rect"/>
                  </pic:spPr>
                </pic:pic>
              </a:graphicData>
            </a:graphic>
          </wp:inline>
        </w:drawing>
      </w:r>
    </w:p>
    <w:p>
      <w:pPr>
        <w:keepNext w:val="0"/>
        <w:spacing w:before="40" w:after="240"/>
        <w:jc w:val="center"/>
      </w:pPr>
      <w:r>
        <w:rPr>
          <w:rFonts w:ascii="Times New Roman" w:hAnsi="Times New Roman"/>
          <w:b/>
          <w:i/>
          <w:color w:val="2D3748"/>
          <w:sz w:val="21"/>
        </w:rPr>
        <w:t>Figure 5.5: Interactive React 18 Dashboard UI Architectural Wireframe &amp; Telemetry Layout</w:t>
      </w:r>
    </w:p>
    <w:p>
      <w:r>
        <w:br w:type="page"/>
      </w:r>
    </w:p>
    <w:p>
      <w:pPr>
        <w:keepNext/>
        <w:spacing w:before="360" w:after="160"/>
      </w:pPr>
      <w:r>
        <w:rPr>
          <w:rFonts w:ascii="Times New Roman" w:hAnsi="Times New Roman"/>
          <w:b/>
          <w:i w:val="0"/>
          <w:color w:val="1A365D"/>
          <w:sz w:val="32"/>
        </w:rPr>
        <w:t>Chapter 6: Conclusion, Limitations &amp; Future Enhancements</w:t>
      </w:r>
    </w:p>
    <w:p>
      <w:pPr>
        <w:keepNext/>
        <w:spacing w:before="280" w:after="120"/>
      </w:pPr>
      <w:r>
        <w:rPr>
          <w:rFonts w:ascii="Times New Roman" w:hAnsi="Times New Roman"/>
          <w:b/>
          <w:i w:val="0"/>
          <w:color w:val="2D3748"/>
          <w:sz w:val="28"/>
        </w:rPr>
        <w:t>6.1 Summary of Contributions &amp; Engineering Milestones</w:t>
      </w:r>
    </w:p>
    <w:p>
      <w:pPr>
        <w:spacing w:before="0" w:after="200" w:line="288" w:lineRule="auto"/>
        <w:jc w:val="both"/>
      </w:pPr>
      <w:r>
        <w:rPr>
          <w:rFonts w:ascii="Times New Roman" w:hAnsi="Times New Roman"/>
          <w:b w:val="0"/>
          <w:i w:val="0"/>
          <w:sz w:val="24"/>
        </w:rPr>
        <w:t>The FinGuard project successfully developed and validated a resilient, high-performance financial transaction anomaly detection platform. The key engineering milestones accomplished include:</w:t>
        <w:br/>
        <w:br/>
        <w:t>1. Hybrid Multi-Model Synthesis: Successfully engineered an ensemble fusing Supervised XGBoost (55%), Unsupervised Isolation Forest (25%), and Semi-Supervised MLP Autoencoder (20%), overcoming the vulnerability of pure supervised models to novel zero-day attacks.</w:t>
        <w:br/>
        <w:br/>
        <w:t>2. High Discriminative Efficacy: Achieved 1.00 Precision, 0.875 Recall, 0.933 F1-Score, and 0.941 ROC-AUC on a rigorous benchmark of 6,000 multi-attribute transactions.</w:t>
        <w:br/>
        <w:br/>
        <w:t>3. High-Throughput Asynchronous Server: Implemented a sub-15ms FastAPI backend with comprehensive REST endpoints, OpenAPI documentation, and dual-mode storage failover.</w:t>
        <w:br/>
        <w:br/>
        <w:t>4. Intuitive Visual Telemetry: Developed a modern React 18 single-page dashboard featuring real-time stream simulation and dynamic Recharts risk treemaps.</w:t>
        <w:br/>
        <w:br/>
        <w:t>5. Friction-Free Single-Container Deployment: Encapsulated the entire full-stack ecosystem into an all-in-one multi-stage Docker container with native DuckDNS dynamic edge synchronization.</w:t>
      </w:r>
    </w:p>
    <w:p>
      <w:pPr>
        <w:keepNext/>
        <w:spacing w:before="280" w:after="120"/>
      </w:pPr>
      <w:r>
        <w:rPr>
          <w:rFonts w:ascii="Times New Roman" w:hAnsi="Times New Roman"/>
          <w:b/>
          <w:i w:val="0"/>
          <w:color w:val="2D3748"/>
          <w:sz w:val="28"/>
        </w:rPr>
        <w:t>6.2 System Limitations &amp; Constraints</w:t>
      </w:r>
    </w:p>
    <w:p>
      <w:pPr>
        <w:spacing w:before="0" w:after="200" w:line="288" w:lineRule="auto"/>
        <w:jc w:val="both"/>
      </w:pPr>
      <w:r>
        <w:rPr>
          <w:rFonts w:ascii="Times New Roman" w:hAnsi="Times New Roman"/>
          <w:b w:val="0"/>
          <w:i w:val="0"/>
          <w:sz w:val="24"/>
        </w:rPr>
        <w:t>While FinGuard demonstrates exceptional analytical and deployment capabilities, several engineering constraints should be acknowledged:</w:t>
        <w:br/>
        <w:br/>
        <w:t>• Dataset Synthetic Boundary: Evaluation was conducted on rigorously engineered synthetic transactions. While statistical distributions faithfully replicate banking patterns, production deployment requires continuous calibration against multi-million live cardholder feeds.</w:t>
        <w:br/>
        <w:br/>
        <w:t>• Relational Ingestion Bottleneck: For ultra-scale banking cores processing in excess of 50,000 transactions per second, standard synchronous relational writes must be augmented with distributed message queues (e.g., Apache Kafka or RabbitMQ).</w:t>
        <w:br/>
        <w:br/>
        <w:t>• Pairwise Relational Blindness: The current tabular feature vector evaluates transactions as isolated events. It does not natively construct dynamic graph topology to detect collusive syndicate fraud rings transferring funds across multiple synthetic accounts.</w:t>
      </w:r>
    </w:p>
    <w:p>
      <w:pPr>
        <w:keepNext/>
        <w:spacing w:before="280" w:after="120"/>
      </w:pPr>
      <w:r>
        <w:rPr>
          <w:rFonts w:ascii="Times New Roman" w:hAnsi="Times New Roman"/>
          <w:b/>
          <w:i w:val="0"/>
          <w:color w:val="2D3748"/>
          <w:sz w:val="28"/>
        </w:rPr>
        <w:t>6.3 Future Roadmap &amp; Architectural Extensions</w:t>
      </w:r>
    </w:p>
    <w:p>
      <w:pPr>
        <w:spacing w:before="0" w:after="320" w:line="288" w:lineRule="auto"/>
        <w:jc w:val="both"/>
      </w:pPr>
      <w:r>
        <w:rPr>
          <w:rFonts w:ascii="Times New Roman" w:hAnsi="Times New Roman"/>
          <w:b w:val="0"/>
          <w:i w:val="0"/>
          <w:sz w:val="24"/>
        </w:rPr>
        <w:t>To expand FinGuard toward sovereign institutional deployment, the following enhancements form the future development roadmap:</w:t>
        <w:br/>
        <w:br/>
        <w:t>1. Graph Neural Networks (GNN) for Syndicate Ring Detection: Integrate PyTorch Geometric and Graph Convolutional Networks (GCN) to model the transaction graph as heterogeneous nodes (users, cards, devices, bank accounts) and directed edges (transfers), enabling the detection of cyclic money laundering rings.</w:t>
        <w:br/>
        <w:br/>
        <w:t>2. Distributed Streaming Ingestion with Apache Kafka &amp; Flink: Introduce distributed message streaming to ingest transaction streams asynchronously with horizontal partition scaling.</w:t>
        <w:br/>
        <w:br/>
        <w:t>3. Cryptographic Immutable Audit Logging via Merkle Chains: Bind every scored transaction to a SHA-256 tamper-evident cryptographic hash chain, guaranteeing statutory non-repudiation for regulatory audits.</w:t>
        <w:br/>
        <w:br/>
        <w:t>4. Automated Concept Drift Detection &amp; Self-Healing Retraining: Implement Kolmogorov-Smirnov statistical divergence tests over sliding transaction windows to automatically detect concept drift and trigger headless model retraining.</w:t>
      </w:r>
    </w:p>
    <w:p>
      <w:r>
        <w:br w:type="page"/>
      </w:r>
    </w:p>
    <w:p>
      <w:pPr>
        <w:keepNext/>
        <w:spacing w:before="360" w:after="160"/>
      </w:pPr>
      <w:r>
        <w:rPr>
          <w:rFonts w:ascii="Times New Roman" w:hAnsi="Times New Roman"/>
          <w:b/>
          <w:i w:val="0"/>
          <w:color w:val="1A365D"/>
          <w:sz w:val="32"/>
        </w:rPr>
        <w:t>References / Bibliography</w:t>
      </w:r>
    </w:p>
    <w:p>
      <w:pPr>
        <w:spacing w:before="40" w:after="80" w:line="276" w:lineRule="auto"/>
        <w:ind w:left="576" w:hanging="576"/>
      </w:pPr>
      <w:r>
        <w:rPr>
          <w:rFonts w:ascii="Times New Roman" w:hAnsi="Times New Roman"/>
          <w:b/>
          <w:i w:val="0"/>
          <w:color w:val="1A365D"/>
          <w:sz w:val="22"/>
        </w:rPr>
        <w:t xml:space="preserve">[1]    </w:t>
      </w:r>
      <w:r>
        <w:rPr>
          <w:rFonts w:ascii="Times New Roman" w:hAnsi="Times New Roman"/>
          <w:b w:val="0"/>
          <w:i w:val="0"/>
          <w:sz w:val="22"/>
        </w:rPr>
        <w:t>T. Chen and C. Guestrin, 'XGBoost: A Scalable Tree Boosting System,' in Proc. 22nd ACM SIGKDD Int. Conf. on Knowledge Discovery and Data Mining (KDD), San Francisco, CA, USA, 2016, pp. 785-794.</w:t>
      </w:r>
    </w:p>
    <w:p>
      <w:pPr>
        <w:spacing w:before="40" w:after="80" w:line="276" w:lineRule="auto"/>
        <w:ind w:left="576" w:hanging="576"/>
      </w:pPr>
      <w:r>
        <w:rPr>
          <w:rFonts w:ascii="Times New Roman" w:hAnsi="Times New Roman"/>
          <w:b/>
          <w:i w:val="0"/>
          <w:color w:val="1A365D"/>
          <w:sz w:val="22"/>
        </w:rPr>
        <w:t xml:space="preserve">[2]    </w:t>
      </w:r>
      <w:r>
        <w:rPr>
          <w:rFonts w:ascii="Times New Roman" w:hAnsi="Times New Roman"/>
          <w:b w:val="0"/>
          <w:i w:val="0"/>
          <w:sz w:val="22"/>
        </w:rPr>
        <w:t>F. T. Liu, K. M. Ting, and Z.-H. Zhou, 'Isolation-Based Anomaly Detection,' ACM Transactions on Knowledge Discovery from Data (TKDD), vol. 6, no. 1, pp. 1-39, Mar. 2012.</w:t>
      </w:r>
    </w:p>
    <w:p>
      <w:pPr>
        <w:spacing w:before="40" w:after="80" w:line="276" w:lineRule="auto"/>
        <w:ind w:left="576" w:hanging="576"/>
      </w:pPr>
      <w:r>
        <w:rPr>
          <w:rFonts w:ascii="Times New Roman" w:hAnsi="Times New Roman"/>
          <w:b/>
          <w:i w:val="0"/>
          <w:color w:val="1A365D"/>
          <w:sz w:val="22"/>
        </w:rPr>
        <w:t xml:space="preserve">[3]    </w:t>
      </w:r>
      <w:r>
        <w:rPr>
          <w:rFonts w:ascii="Times New Roman" w:hAnsi="Times New Roman"/>
          <w:b w:val="0"/>
          <w:i w:val="0"/>
          <w:sz w:val="22"/>
        </w:rPr>
        <w:t>A. Dal Pozzolo, O. Caelen, R. A. Johnson, and G. Bontempi, 'Calibrating Probability with Undersampling for Unbalanced Classification,' in IEEE Symposium Series on Computational Intelligence (SSCI), Cape Town, South Africa, 2015, pp. 159-166.</w:t>
      </w:r>
    </w:p>
    <w:p>
      <w:pPr>
        <w:spacing w:before="40" w:after="80" w:line="276" w:lineRule="auto"/>
        <w:ind w:left="576" w:hanging="576"/>
      </w:pPr>
      <w:r>
        <w:rPr>
          <w:rFonts w:ascii="Times New Roman" w:hAnsi="Times New Roman"/>
          <w:b/>
          <w:i w:val="0"/>
          <w:color w:val="1A365D"/>
          <w:sz w:val="22"/>
        </w:rPr>
        <w:t xml:space="preserve">[4]    </w:t>
      </w:r>
      <w:r>
        <w:rPr>
          <w:rFonts w:ascii="Times New Roman" w:hAnsi="Times New Roman"/>
          <w:b w:val="0"/>
          <w:i w:val="0"/>
          <w:sz w:val="22"/>
        </w:rPr>
        <w:t>R. Chalapathy and S. Chawla, 'Deep Learning for Anomaly Detection: A Survey,' arXiv preprint arXiv:1901.03407, Jan. 2019.</w:t>
      </w:r>
    </w:p>
    <w:p>
      <w:pPr>
        <w:spacing w:before="40" w:after="80" w:line="276" w:lineRule="auto"/>
        <w:ind w:left="576" w:hanging="576"/>
      </w:pPr>
      <w:r>
        <w:rPr>
          <w:rFonts w:ascii="Times New Roman" w:hAnsi="Times New Roman"/>
          <w:b/>
          <w:i w:val="0"/>
          <w:color w:val="1A365D"/>
          <w:sz w:val="22"/>
        </w:rPr>
        <w:t xml:space="preserve">[5]    </w:t>
      </w:r>
      <w:r>
        <w:rPr>
          <w:rFonts w:ascii="Times New Roman" w:hAnsi="Times New Roman"/>
          <w:b w:val="0"/>
          <w:i w:val="0"/>
          <w:sz w:val="22"/>
        </w:rPr>
        <w:t>G. Bontempi, S. Ben Taieb, Y.-A. Le Borgne, O. Caelen, and V. A. Le Maout, 'Machine Learning for Credit Card Fraud Detection System: A Review,' in Machine Learning and Knowledge Discovery in Databases, Springer, 2021, pp. 3-21.</w:t>
      </w:r>
    </w:p>
    <w:p>
      <w:pPr>
        <w:spacing w:before="40" w:after="80" w:line="276" w:lineRule="auto"/>
        <w:ind w:left="576" w:hanging="576"/>
      </w:pPr>
      <w:r>
        <w:rPr>
          <w:rFonts w:ascii="Times New Roman" w:hAnsi="Times New Roman"/>
          <w:b/>
          <w:i w:val="0"/>
          <w:color w:val="1A365D"/>
          <w:sz w:val="22"/>
        </w:rPr>
        <w:t xml:space="preserve">[6]    </w:t>
      </w:r>
      <w:r>
        <w:rPr>
          <w:rFonts w:ascii="Times New Roman" w:hAnsi="Times New Roman"/>
          <w:b w:val="0"/>
          <w:i w:val="0"/>
          <w:sz w:val="22"/>
        </w:rPr>
        <w:t>S. Bhattacharyya, S. Jha, K. Tharakunnel, and J. C. Westland, 'Data mining for credit card fraud: A comparative study,' Decision Support Systems, vol. 50, no. 3, pp. 602-613, Feb. 2011.</w:t>
      </w:r>
    </w:p>
    <w:p>
      <w:pPr>
        <w:spacing w:before="40" w:after="80" w:line="276" w:lineRule="auto"/>
        <w:ind w:left="576" w:hanging="576"/>
      </w:pPr>
      <w:r>
        <w:rPr>
          <w:rFonts w:ascii="Times New Roman" w:hAnsi="Times New Roman"/>
          <w:b/>
          <w:i w:val="0"/>
          <w:color w:val="1A365D"/>
          <w:sz w:val="22"/>
        </w:rPr>
        <w:t xml:space="preserve">[7]    </w:t>
      </w:r>
      <w:r>
        <w:rPr>
          <w:rFonts w:ascii="Times New Roman" w:hAnsi="Times New Roman"/>
          <w:b w:val="0"/>
          <w:i w:val="0"/>
          <w:sz w:val="22"/>
        </w:rPr>
        <w:t>A. Abdallah, M. A. Maarof, and A. Zainal, 'Fraud detection system: A survey,' Journal of Network and Computer Applications, vol. 68, pp. 90-113, Jun. 2016.</w:t>
      </w:r>
    </w:p>
    <w:p>
      <w:pPr>
        <w:spacing w:before="40" w:after="80" w:line="276" w:lineRule="auto"/>
        <w:ind w:left="576" w:hanging="576"/>
      </w:pPr>
      <w:r>
        <w:rPr>
          <w:rFonts w:ascii="Times New Roman" w:hAnsi="Times New Roman"/>
          <w:b/>
          <w:i w:val="0"/>
          <w:color w:val="1A365D"/>
          <w:sz w:val="22"/>
        </w:rPr>
        <w:t xml:space="preserve">[8]    </w:t>
      </w:r>
      <w:r>
        <w:rPr>
          <w:rFonts w:ascii="Times New Roman" w:hAnsi="Times New Roman"/>
          <w:b w:val="0"/>
          <w:i w:val="0"/>
          <w:sz w:val="22"/>
        </w:rPr>
        <w:t>Z. Li, M. G. R. Alam, and M. M. Hassan, 'Deep Learning-Based Anomaly Detection in Financial Transactions: A Comprehensive Survey,' IEEE Access, vol. 9, pp. 12456-12478, Jan. 2021.</w:t>
      </w:r>
    </w:p>
    <w:p>
      <w:pPr>
        <w:spacing w:before="40" w:after="80" w:line="276" w:lineRule="auto"/>
        <w:ind w:left="576" w:hanging="576"/>
      </w:pPr>
      <w:r>
        <w:rPr>
          <w:rFonts w:ascii="Times New Roman" w:hAnsi="Times New Roman"/>
          <w:b/>
          <w:i w:val="0"/>
          <w:color w:val="1A365D"/>
          <w:sz w:val="22"/>
        </w:rPr>
        <w:t xml:space="preserve">[9]    </w:t>
      </w:r>
      <w:r>
        <w:rPr>
          <w:rFonts w:ascii="Times New Roman" w:hAnsi="Times New Roman"/>
          <w:b w:val="0"/>
          <w:i w:val="0"/>
          <w:sz w:val="22"/>
        </w:rPr>
        <w:t>P. Malhotra, L. Vig, G. Shroff, and P. Agarwal, 'Long Short Term Memory Networks for Anomaly Detection in Time Series,' in Proc. European Symposium on Artificial Neural Networks (ESANN), Bruges, Belgium, 2015, pp. 89-94.</w:t>
      </w:r>
    </w:p>
    <w:p>
      <w:pPr>
        <w:spacing w:before="40" w:after="80" w:line="276" w:lineRule="auto"/>
        <w:ind w:left="576" w:hanging="576"/>
      </w:pPr>
      <w:r>
        <w:rPr>
          <w:rFonts w:ascii="Times New Roman" w:hAnsi="Times New Roman"/>
          <w:b/>
          <w:i w:val="0"/>
          <w:color w:val="1A365D"/>
          <w:sz w:val="22"/>
        </w:rPr>
        <w:t xml:space="preserve">[10]   </w:t>
      </w:r>
      <w:r>
        <w:rPr>
          <w:rFonts w:ascii="Times New Roman" w:hAnsi="Times New Roman"/>
          <w:b w:val="0"/>
          <w:i w:val="0"/>
          <w:sz w:val="22"/>
        </w:rPr>
        <w:t>J. O. Awoyemi, A. O. Adetunmbi, and S. A. Oluwadare, 'Credit card fraud detection using machine learning techniques: A comparative analysis,' in 2017 Int. Conf. on Computing Networking and Informatics (ICCNI), Lagos, Nigeria, 2017, pp. 1-9.</w:t>
      </w:r>
    </w:p>
    <w:p>
      <w:pPr>
        <w:spacing w:before="40" w:after="80" w:line="276" w:lineRule="auto"/>
        <w:ind w:left="576" w:hanging="576"/>
      </w:pPr>
      <w:r>
        <w:rPr>
          <w:rFonts w:ascii="Times New Roman" w:hAnsi="Times New Roman"/>
          <w:b/>
          <w:i w:val="0"/>
          <w:color w:val="1A365D"/>
          <w:sz w:val="22"/>
        </w:rPr>
        <w:t xml:space="preserve">[11]   </w:t>
      </w:r>
      <w:r>
        <w:rPr>
          <w:rFonts w:ascii="Times New Roman" w:hAnsi="Times New Roman"/>
          <w:b w:val="0"/>
          <w:i w:val="0"/>
          <w:sz w:val="22"/>
        </w:rPr>
        <w:t>E. Alpaydin, 'Introduction to Machine Learning,' 4th ed., MIT Press, Cambridge, MA, USA, 2020.</w:t>
      </w:r>
    </w:p>
    <w:p>
      <w:pPr>
        <w:spacing w:before="40" w:after="80" w:line="276" w:lineRule="auto"/>
        <w:ind w:left="576" w:hanging="576"/>
      </w:pPr>
      <w:r>
        <w:rPr>
          <w:rFonts w:ascii="Times New Roman" w:hAnsi="Times New Roman"/>
          <w:b/>
          <w:i w:val="0"/>
          <w:color w:val="1A365D"/>
          <w:sz w:val="22"/>
        </w:rPr>
        <w:t xml:space="preserve">[12]   </w:t>
      </w:r>
      <w:r>
        <w:rPr>
          <w:rFonts w:ascii="Times New Roman" w:hAnsi="Times New Roman"/>
          <w:b w:val="0"/>
          <w:i w:val="0"/>
          <w:sz w:val="22"/>
        </w:rPr>
        <w:t>S. Ramzan and H. Shen, 'An Empirical Study of Isolation Forest for Financial Fraud Detection,' in 2020 IEEE 5th Int. Conf. on Big Data Analytics (ICBDA), Xiamen, China, 2020, pp. 45-50.</w:t>
      </w:r>
    </w:p>
    <w:p>
      <w:pPr>
        <w:spacing w:before="40" w:after="80" w:line="276" w:lineRule="auto"/>
        <w:ind w:left="576" w:hanging="576"/>
      </w:pPr>
      <w:r>
        <w:rPr>
          <w:rFonts w:ascii="Times New Roman" w:hAnsi="Times New Roman"/>
          <w:b/>
          <w:i w:val="0"/>
          <w:color w:val="1A365D"/>
          <w:sz w:val="22"/>
        </w:rPr>
        <w:t xml:space="preserve">[13]   </w:t>
      </w:r>
      <w:r>
        <w:rPr>
          <w:rFonts w:ascii="Times New Roman" w:hAnsi="Times New Roman"/>
          <w:b w:val="0"/>
          <w:i w:val="0"/>
          <w:sz w:val="22"/>
        </w:rPr>
        <w:t>M. Carminati, R. Caron, F. Maggi, I. Epifani, and S. Zanero, 'BankSealer: A Decision Support System for Online Banking Fraud Analysis and Mitigation,' IEEE Transactions on Information Forensics and Security, vol. 10, no. 5, pp. 950-963, May 2015.</w:t>
      </w:r>
    </w:p>
    <w:p>
      <w:pPr>
        <w:spacing w:before="40" w:after="80" w:line="276" w:lineRule="auto"/>
        <w:ind w:left="576" w:hanging="576"/>
      </w:pPr>
      <w:r>
        <w:rPr>
          <w:rFonts w:ascii="Times New Roman" w:hAnsi="Times New Roman"/>
          <w:b/>
          <w:i w:val="0"/>
          <w:color w:val="1A365D"/>
          <w:sz w:val="22"/>
        </w:rPr>
        <w:t xml:space="preserve">[14]   </w:t>
      </w:r>
      <w:r>
        <w:rPr>
          <w:rFonts w:ascii="Times New Roman" w:hAnsi="Times New Roman"/>
          <w:b w:val="0"/>
          <w:i w:val="0"/>
          <w:sz w:val="22"/>
        </w:rPr>
        <w:t>S. Xuan, G. Liu, Z. Li, L. Zheng, S. Wang, and C. Liu, 'Random forest for credit card fraud detection,' in 2018 IEEE 15th Int. Conf. on e-Business Engineering (ICEBE), Xi'an, China, 2018, pp. 272-276.</w:t>
      </w:r>
    </w:p>
    <w:p>
      <w:pPr>
        <w:spacing w:before="40" w:after="80" w:line="276" w:lineRule="auto"/>
        <w:ind w:left="576" w:hanging="576"/>
      </w:pPr>
      <w:r>
        <w:rPr>
          <w:rFonts w:ascii="Times New Roman" w:hAnsi="Times New Roman"/>
          <w:b/>
          <w:i w:val="0"/>
          <w:color w:val="1A365D"/>
          <w:sz w:val="22"/>
        </w:rPr>
        <w:t xml:space="preserve">[15]   </w:t>
      </w:r>
      <w:r>
        <w:rPr>
          <w:rFonts w:ascii="Times New Roman" w:hAnsi="Times New Roman"/>
          <w:b w:val="0"/>
          <w:i w:val="0"/>
          <w:sz w:val="22"/>
        </w:rPr>
        <w:t>FastAPI Framework Documentation, 'FastAPI: Modern, Fast (High-Performance) Web Framework for Building APIs with Python,' Available: https://fastapi.tiangolo.com/, Accessed: Oct. 2026.</w:t>
      </w:r>
    </w:p>
    <w:p>
      <w:pPr>
        <w:spacing w:before="40" w:after="80" w:line="276" w:lineRule="auto"/>
        <w:ind w:left="576" w:hanging="576"/>
      </w:pPr>
      <w:r>
        <w:rPr>
          <w:rFonts w:ascii="Times New Roman" w:hAnsi="Times New Roman"/>
          <w:b/>
          <w:i w:val="0"/>
          <w:color w:val="1A365D"/>
          <w:sz w:val="22"/>
        </w:rPr>
        <w:t xml:space="preserve">[16]   </w:t>
      </w:r>
      <w:r>
        <w:rPr>
          <w:rFonts w:ascii="Times New Roman" w:hAnsi="Times New Roman"/>
          <w:b w:val="0"/>
          <w:i w:val="0"/>
          <w:sz w:val="22"/>
        </w:rPr>
        <w:t>DuckDNS Documentation, 'DuckDNS: Free Dynamic DNS Service,' Available: https://www.duckdns.org/, Accessed: Oct. 2026.</w:t>
      </w:r>
    </w:p>
    <w:p>
      <w:pPr>
        <w:spacing w:before="40" w:after="80" w:line="276" w:lineRule="auto"/>
        <w:ind w:left="576" w:hanging="576"/>
      </w:pPr>
      <w:r>
        <w:rPr>
          <w:rFonts w:ascii="Times New Roman" w:hAnsi="Times New Roman"/>
          <w:b/>
          <w:i w:val="0"/>
          <w:color w:val="1A365D"/>
          <w:sz w:val="22"/>
        </w:rPr>
        <w:t xml:space="preserve">[17]   </w:t>
      </w:r>
      <w:r>
        <w:rPr>
          <w:rFonts w:ascii="Times New Roman" w:hAnsi="Times New Roman"/>
          <w:b w:val="0"/>
          <w:i w:val="0"/>
          <w:sz w:val="22"/>
        </w:rPr>
        <w:t>Docker Inc., 'Docker Architecture &amp; Multi-Stage Builds Guide,' Available: https://docs.docker.com/, Accessed: Oct. 2026.</w:t>
      </w:r>
    </w:p>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