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</w:t>
      </w:r>
    </w:p>
    <w:p>
      <w:r>
        <w:t>Настоящий договор заключён между сторонами на поставку товара.</w:t>
      </w:r>
    </w:p>
    <w:p>
      <w:pPr>
        <w:pStyle w:val="Heading2"/>
      </w:pPr>
      <w:r>
        <w:t>Цена</w:t>
      </w:r>
    </w:p>
    <w:p>
      <w:r>
        <w:t>Стоимость товара составляет 150 000 рублей.</w:t>
      </w:r>
    </w:p>
    <w:p>
      <w:pPr>
        <w:pStyle w:val="Heading2"/>
      </w:pPr>
      <w:r>
        <w:t>Сроки поставки</w:t>
      </w:r>
    </w:p>
    <w:p>
      <w:r>
        <w:t>Товар поставляется в течение 30 дней с момента оплаты.</w:t>
      </w:r>
    </w:p>
    <w:p>
      <w:pPr>
        <w:pStyle w:val="Heading2"/>
      </w:pPr>
      <w:r>
        <w:t>Ответственность</w:t>
      </w:r>
    </w:p>
    <w:p>
      <w:r>
        <w:t>Стороны несут ответственность в соответствии с законодательством РФ.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