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</w:t>
      </w:r>
      <w:r>
        <w:rPr>
          <w:rFonts w:eastAsia="Times New Roman"/>
          <w:b/>
          <w:bCs/>
          <w:sz w:val="30"/>
          <w:szCs w:val="30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Работа выполнена: « </w:t>
      </w:r>
      <w:r>
        <w:rPr>
          <w:rFonts w:eastAsia="Times New Roman"/>
          <w:sz w:val="19"/>
          <w:szCs w:val="19"/>
        </w:rPr>
        <w:t>»  ________ 2022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Обработка последовательности литер входного текстового файла. Простейшие приемы лексического анализа. Диаграммы состояний и переходов.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Составить программу на языке Си, выполняющую анализ и обработку вводимого текста в соответствии с составленным преподавателем вариантом задания.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(вариант </w:t>
      </w:r>
      <w:r>
        <w:rPr>
          <w:rFonts w:eastAsia="Times New Roman"/>
          <w:b/>
          <w:bCs/>
          <w:sz w:val="20"/>
          <w:szCs w:val="20"/>
        </w:rPr>
        <w:t>5</w:t>
      </w:r>
      <w:r>
        <w:rPr>
          <w:rFonts w:eastAsia="Times New Roman"/>
          <w:b/>
          <w:bCs/>
          <w:sz w:val="20"/>
          <w:szCs w:val="20"/>
        </w:rPr>
        <w:t>):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Подсчитать количество слов с лексикографически возрастающими буквами латинского алфавита.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6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6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6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8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Сначала мы должны получить на вход первые две буквы, если на вход дали не букву, то ждем в цикле, когда появится буква.</w:t>
      </w:r>
    </w:p>
    <w:p>
      <w:pPr>
        <w:pStyle w:val="Normal"/>
        <w:numPr>
          <w:ilvl w:val="0"/>
          <w:numId w:val="8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Если в файле только одна буква, то выводим 0</w:t>
      </w:r>
    </w:p>
    <w:p>
      <w:pPr>
        <w:pStyle w:val="Normal"/>
        <w:numPr>
          <w:ilvl w:val="0"/>
          <w:numId w:val="8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Если первые две буквы лексикографически возрастают, то присуждаем флагу значение true, иначе false</w:t>
      </w:r>
    </w:p>
    <w:p>
      <w:pPr>
        <w:pStyle w:val="Normal"/>
        <w:numPr>
          <w:ilvl w:val="0"/>
          <w:numId w:val="8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Далее заходим в цикл, который прервется только если встретит конец файла. В нем получаем значение еще одного символа, при этом если вводимый символ не является буквой, разделителем или концом файла, ждем один из этих вариантов.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Далее в зависимости от значения с3 переходим в одно из состояний:</w:t>
      </w:r>
    </w:p>
    <w:p>
      <w:pPr>
        <w:pStyle w:val="Normal"/>
        <w:numPr>
          <w:ilvl w:val="0"/>
          <w:numId w:val="9"/>
        </w:numPr>
        <w:suppressAutoHyphens w:val="true"/>
        <w:spacing w:lineRule="exact" w:line="200"/>
        <w:rPr/>
      </w:pPr>
      <w:r>
        <w:rPr/>
        <w:t>Если символ не является разделителем, то проверяем, является ли с3 лексикографически возрастающей по сравнению с с2. Если нет, то меняем значение флага на false</w:t>
      </w:r>
    </w:p>
    <w:p>
      <w:pPr>
        <w:pStyle w:val="Normal"/>
        <w:numPr>
          <w:ilvl w:val="0"/>
          <w:numId w:val="9"/>
        </w:numPr>
        <w:suppressAutoHyphens w:val="true"/>
        <w:spacing w:lineRule="exact" w:line="200"/>
        <w:rPr/>
      </w:pPr>
      <w:r>
        <w:rPr/>
        <w:t xml:space="preserve">Если символ является разделителем, то проверяем, true ли flag </w:t>
      </w:r>
      <w:r>
        <w:rPr/>
        <w:t>а также являются ли предыдущие два символа разделителями</w:t>
      </w:r>
      <w:r>
        <w:rPr/>
        <w:t xml:space="preserve">. </w:t>
      </w:r>
      <w:r>
        <w:rPr/>
        <w:t>Если хотя бы один из двух символов является разделителем, то слово либо однобуквенное, либо вообще пустое, значит counter прибавлять не надо.</w:t>
      </w:r>
      <w:r>
        <w:rPr/>
        <w:t xml:space="preserve"> Если </w:t>
      </w:r>
      <w:r>
        <w:rPr/>
        <w:t>символы не разделители а флаг правда</w:t>
      </w:r>
      <w:r>
        <w:rPr/>
        <w:t>, то прибавляю counter.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00"/>
        <w:rPr/>
      </w:pPr>
      <w:r>
        <w:rPr/>
        <w:t>Присваиваю с1 с2, а с2 с3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00"/>
        <w:rPr/>
      </w:pPr>
      <w:r>
        <w:rPr/>
        <w:t>Когда я вышла из цикла, надо проверить, закончился ли файл разделителем. Если нет, то надо проверить значение флага и если оно является правдой, то прибавить 1 к счетчику, так как если файл не закончился разделителем, то в цикле эта проверка сделана не будет.</w:t>
      </w:r>
    </w:p>
    <w:p>
      <w:pPr>
        <w:pStyle w:val="Normal"/>
        <w:numPr>
          <w:ilvl w:val="0"/>
          <w:numId w:val="10"/>
        </w:numPr>
        <w:suppressAutoHyphens w:val="true"/>
        <w:spacing w:lineRule="exact" w:line="200"/>
        <w:rPr/>
      </w:pPr>
      <w:r>
        <w:rPr/>
        <w:t>Печатаю количество нужных слов.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ab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gcc lab11.c -lm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ba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abcd a123bc1 aaa aceg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AbCdE   aCeG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bbb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5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abcd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cabb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a123bc 123acd a1b2c3 1a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3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a  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a&amp;&amp;%#bc a^gb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Количество слов с лексикографически возрастающими буквами : 1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/*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Астахова Анастасия Сергеевна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группа М8О-113Б-22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Вариант 5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Подсчитать количество слов с лексикографически возрастающими буквами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латинского алфавита.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*/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&lt;stdbool.h&gt;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&lt;ctype.h&gt;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is_razd(char a)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if (a == ' ' || a == '\n' || a == '\t')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else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char c1, c2, c3;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c1 = 1;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c2 = 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c3 = 3;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int counter =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c1 = getchar();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while (isalpha(c1) == false &amp;&amp; is_razd(c1)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c1 = getchar();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c2 = getchar();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(c2 == EOF)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printf("\nКоличество слов с лексикографически возрастающими буквами : %d\n", 0);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while (isalpha(c2) == false &amp;&amp; is_razd(c2)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c2 = getchar();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c1 = tolower(c1);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c2 = tolower(c2);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bool flag;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(c2 &lt;= c1){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flag =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else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flag =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while (c3 != EOF)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c3 = getchar();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while (isalpha(c3) == false &amp;&amp; is_razd(c3) == false &amp;&amp; c3 != EOF)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c3 = getchar();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c3 = tolower(c3);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switch (c3)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case ' ':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if (flag == true &amp;&amp; is_razd(c1) == false &amp;&amp; is_razd(c2)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/>
          <w:b w:val="false"/>
          <w:bCs w:val="false"/>
          <w:sz w:val="20"/>
          <w:szCs w:val="20"/>
        </w:rPr>
        <w:t>counter++;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flag =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break;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case '\n':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</w:t>
      </w:r>
      <w:r>
        <w:rPr>
          <w:rFonts w:eastAsia="Times New Roman"/>
          <w:b w:val="false"/>
          <w:bCs w:val="false"/>
          <w:sz w:val="20"/>
          <w:szCs w:val="20"/>
        </w:rPr>
        <w:t>if (flag == true &amp;&amp; is_razd(c1) == false &amp;&amp; is_razd(c2)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  </w:t>
      </w:r>
      <w:r>
        <w:rPr>
          <w:rFonts w:eastAsia="Times New Roman"/>
          <w:b w:val="false"/>
          <w:bCs w:val="false"/>
          <w:sz w:val="20"/>
          <w:szCs w:val="20"/>
        </w:rPr>
        <w:t>counter++;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flag =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break;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case '\t':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</w:t>
      </w:r>
      <w:r>
        <w:rPr>
          <w:rFonts w:eastAsia="Times New Roman"/>
          <w:b w:val="false"/>
          <w:bCs w:val="false"/>
          <w:sz w:val="20"/>
          <w:szCs w:val="20"/>
        </w:rPr>
        <w:t>if (flag == true &amp;&amp; is_razd(c1) == false &amp;&amp; is_razd(c2)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counter++;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</w:t>
      </w:r>
      <w:r>
        <w:rPr>
          <w:rFonts w:eastAsia="Times New Roman"/>
          <w:b w:val="false"/>
          <w:bCs w:val="false"/>
          <w:sz w:val="20"/>
          <w:szCs w:val="20"/>
        </w:rPr>
        <w:t>flag =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</w:t>
      </w:r>
      <w:r>
        <w:rPr>
          <w:rFonts w:eastAsia="Times New Roman"/>
          <w:b w:val="false"/>
          <w:bCs w:val="false"/>
          <w:sz w:val="20"/>
          <w:szCs w:val="20"/>
        </w:rPr>
        <w:t>break;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default: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if (c3 &lt;= c2 &amp;&amp; isalpha(c2) &amp;&amp; isalpha(c3))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eastAsia="Times New Roman"/>
          <w:b w:val="false"/>
          <w:bCs w:val="false"/>
          <w:sz w:val="20"/>
          <w:szCs w:val="20"/>
        </w:rPr>
        <w:t>flag =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  </w:t>
      </w:r>
      <w:r>
        <w:rPr>
          <w:rFonts w:eastAsia="Times New Roman"/>
          <w:b w:val="false"/>
          <w:bCs w:val="false"/>
          <w:sz w:val="20"/>
          <w:szCs w:val="20"/>
        </w:rPr>
        <w:t>break;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c1 = c2;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c2 = c3;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(is_razd(c2)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if (flag == true &amp;&amp; is_razd(c1)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  </w:t>
      </w:r>
      <w:r>
        <w:rPr>
          <w:rFonts w:eastAsia="Times New Roman"/>
          <w:b w:val="false"/>
          <w:bCs w:val="false"/>
          <w:sz w:val="20"/>
          <w:szCs w:val="20"/>
        </w:rPr>
        <w:t>counter++;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flag =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printf("\nКоличество слов с лексикографически возрастающими буквами : %d\n", counter);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>Я написала программу, корректно обрабатывающую вводимые символы и выводящую правильное количество лексикографически возрастающих слов.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/>
        <w:bCs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Обычный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8854</TotalTime>
  <Application>LibreOffice/7.3.6.2$Linux_X86_64 LibreOffice_project/30$Build-2</Application>
  <AppVersion>15.0000</AppVersion>
  <Pages>6</Pages>
  <Words>1074</Words>
  <Characters>7577</Characters>
  <CharactersWithSpaces>9565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2022-11-21T18:11:51Z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