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120" w:before="480"/>
        <w:jc w:val="center"/>
      </w:pPr>
      <w:r>
        <w:rPr>
          <w:rFonts w:ascii="Arial" w:cs="Arial" w:eastAsia="Arial" w:hAnsi="Arial"/>
          <w:b/>
          <w:bCs/>
          <w:color w:val="666666"/>
          <w:sz w:val="24"/>
          <w:szCs w:val="24"/>
        </w:rPr>
        <w:t xml:space="preserve">PROGRAMME PRÉ-INCUBATEUR</w:t>
      </w:r>
    </w:p>
    <w:p>
      <w:pPr>
        <w:spacing w:after="120" w:before="0"/>
        <w:jc w:val="center"/>
      </w:pPr>
      <w:r>
        <w:rPr>
          <w:rFonts w:ascii="Arial" w:cs="Arial" w:eastAsia="Arial" w:hAnsi="Arial"/>
          <w:b/>
          <w:bCs/>
          <w:color w:val="666666"/>
          <w:sz w:val="24"/>
          <w:szCs w:val="24"/>
        </w:rPr>
        <w:t xml:space="preserve">CEF LOMÉ — IJE-UniPod</w:t>
      </w:r>
    </w:p>
    <w:p>
      <w:pPr>
        <w:spacing w:after="120" w:before="120"/>
      </w:pPr>
      <w:r>
        <w:t xml:space="preserve"/>
      </w:r>
    </w:p>
    <w:p>
      <w:pPr>
        <w:spacing w:after="120" w:before="120"/>
      </w:pPr>
      <w:r>
        <w:t xml:space="preserve"/>
      </w:r>
    </w:p>
    <w:p>
      <w:pPr>
        <w:spacing w:after="120" w:before="240"/>
        <w:jc w:val="center"/>
      </w:pPr>
      <w:r>
        <w:rPr>
          <w:rFonts w:ascii="Arial" w:cs="Arial" w:eastAsia="Arial" w:hAnsi="Arial"/>
          <w:b/>
          <w:bCs/>
          <w:color w:val="1A3C5E"/>
          <w:sz w:val="72"/>
          <w:szCs w:val="72"/>
        </w:rPr>
        <w:t xml:space="preserve">MURMURA</w:t>
      </w:r>
    </w:p>
    <w:p>
      <w:pPr>
        <w:spacing w:after="480" w:before="0"/>
        <w:jc w:val="center"/>
      </w:pPr>
      <w:r>
        <w:rPr>
          <w:rFonts w:ascii="Arial" w:cs="Arial" w:eastAsia="Arial" w:hAnsi="Arial"/>
          <w:b w:val="false"/>
          <w:bCs w:val="false"/>
          <w:color w:val="0D7377"/>
          <w:sz w:val="32"/>
          <w:szCs w:val="32"/>
        </w:rPr>
        <w:t xml:space="preserve">Messagerie Augmentée par l'Intelligence Artificielle</w:t>
      </w:r>
    </w:p>
    <w:p>
      <w:pPr>
        <w:spacing w:after="120" w:before="0"/>
        <w:jc w:val="center"/>
      </w:pPr>
      <w:r>
        <w:rPr>
          <w:rFonts w:ascii="Arial" w:cs="Arial" w:eastAsia="Arial" w:hAnsi="Arial"/>
          <w:b/>
          <w:bCs/>
          <w:color w:val="333333"/>
          <w:sz w:val="40"/>
          <w:szCs w:val="40"/>
        </w:rPr>
        <w:t xml:space="preserve">PLAN D'AFFAIRES</w:t>
      </w:r>
    </w:p>
    <w:p>
      <w:pPr>
        <w:spacing w:after="120" w:before="120"/>
      </w:pPr>
      <w:r>
        <w:t xml:space="preserve"/>
      </w:r>
    </w:p>
    <w:p>
      <w:pPr>
        <w:spacing w:after="120" w:before="120"/>
      </w:pPr>
      <w:r>
        <w:t xml:space="preserve"/>
      </w:r>
    </w:p>
    <w:p>
      <w:pPr>
        <w:spacing w:after="120" w:before="120"/>
      </w:pPr>
      <w:r>
        <w:t xml:space="preserve"/>
      </w:r>
    </w:p>
    <w:p>
      <w:pPr>
        <w:jc w:val="center"/>
      </w:pPr>
      <w:r>
        <w:rPr>
          <w:rFonts w:ascii="Arial" w:cs="Arial" w:eastAsia="Arial" w:hAnsi="Arial"/>
          <w:b/>
          <w:bCs/>
          <w:color w:val="333333"/>
          <w:sz w:val="24"/>
          <w:szCs w:val="24"/>
        </w:rPr>
        <w:t xml:space="preserve">Présenté par : Lux Kassaluc</w:t>
      </w:r>
    </w:p>
    <w:p>
      <w:pPr>
        <w:jc w:val="center"/>
      </w:pPr>
      <w:r>
        <w:rPr>
          <w:rFonts w:ascii="Arial" w:cs="Arial" w:eastAsia="Arial" w:hAnsi="Arial"/>
          <w:color w:val="666666"/>
          <w:sz w:val="22"/>
          <w:szCs w:val="22"/>
        </w:rPr>
        <w:t xml:space="preserve">Contact : kassaluc9770@gmail.com</w:t>
      </w:r>
    </w:p>
    <w:p>
      <w:pPr>
        <w:spacing w:after="60" w:before="60"/>
        <w:jc w:val="center"/>
      </w:pPr>
      <w:r>
        <w:rPr>
          <w:rFonts w:ascii="Arial" w:cs="Arial" w:eastAsia="Arial" w:hAnsi="Arial"/>
          <w:color w:val="666666"/>
          <w:sz w:val="22"/>
          <w:szCs w:val="22"/>
        </w:rPr>
        <w:t xml:space="preserve">Secteur : Technologies Numériques / Services IA</w:t>
      </w:r>
    </w:p>
    <w:p>
      <w:pPr>
        <w:spacing w:after="480" w:before="60"/>
        <w:jc w:val="center"/>
      </w:pPr>
      <w:r>
        <w:rPr>
          <w:rFonts w:ascii="Arial" w:cs="Arial" w:eastAsia="Arial" w:hAnsi="Arial"/>
          <w:color w:val="666666"/>
          <w:sz w:val="22"/>
          <w:szCs w:val="22"/>
        </w:rPr>
        <w:t xml:space="preserve">Date : Mars 2026</w:t>
      </w:r>
    </w:p>
    <w:p>
      <w:r>
        <w:br w:type="page"/>
      </w:r>
    </w:p>
    <w:p>
      <w:pPr>
        <w:pStyle w:val="Heading1"/>
        <w:spacing w:after="160" w:before="320"/>
      </w:pPr>
      <w:r>
        <w:rPr>
          <w:rFonts w:ascii="Arial" w:cs="Arial" w:eastAsia="Arial" w:hAnsi="Arial"/>
          <w:b/>
          <w:bCs/>
          <w:color w:val="1A3C5E"/>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A3C5E"/>
          <w:sz w:val="32"/>
          <w:szCs w:val="32"/>
        </w:rPr>
        <w:t xml:space="preserve">RÉSUMÉ EXÉCUTIF</w:t>
      </w:r>
    </w:p>
    <w:p>
      <w:pPr>
        <w:spacing w:after="120" w:before="60"/>
      </w:pPr>
      <w:r>
        <w:rPr>
          <w:rFonts w:ascii="Arial" w:cs="Arial" w:eastAsia="Arial" w:hAnsi="Arial"/>
          <w:color w:val="333333"/>
          <w:sz w:val="22"/>
          <w:szCs w:val="22"/>
        </w:rPr>
        <w:t xml:space="preserve">Murmura est une application de messagerie augmentée par l'intelligence artificielle, conçue pour transformer les conversations numériques en un assistant contextuel intelligent. Le projet répond à un besoin croissant d'outils de communication plus intelligents, capables de comprendre, relier et enrichir les échanges en temps réel.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 de l'entreprise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MURMURA SARL</w:t>
            </w:r>
          </w:p>
        </w:tc>
      </w:tr>
      <w:tr>
        <w:tc>
          <w:tcPr>
            <w:tcW w:type="dxa" w:w="468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Responsable</w:t>
            </w:r>
          </w:p>
        </w:tc>
        <w:tc>
          <w:tcPr>
            <w:tcW w:type="dxa" w:w="468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Lux Kassaluc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Secteur d'activités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Technologies Numériques / Services IA</w:t>
            </w:r>
          </w:p>
        </w:tc>
      </w:tr>
      <w:tr>
        <w:tc>
          <w:tcPr>
            <w:tcW w:type="dxa" w:w="468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Nature juridique</w:t>
            </w:r>
          </w:p>
        </w:tc>
        <w:tc>
          <w:tcPr>
            <w:tcW w:type="dxa" w:w="468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SARL (Société à Responsabilité Limitée)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Lieu d'implantation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Lomé, Togo</w:t>
            </w:r>
          </w:p>
        </w:tc>
      </w:tr>
      <w:tr>
        <w:tc>
          <w:tcPr>
            <w:tcW w:type="dxa" w:w="468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Emplois directs créés (An 1)</w:t>
            </w:r>
          </w:p>
        </w:tc>
        <w:tc>
          <w:tcPr>
            <w:tcW w:type="dxa" w:w="468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5 emplois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Chiffre d'affaires prév. (An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5 400 000 FCFA</w:t>
            </w:r>
          </w:p>
        </w:tc>
      </w:tr>
      <w:tr>
        <w:tc>
          <w:tcPr>
            <w:tcW w:type="dxa" w:w="468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Bénéfice net prév. (An 1)</w:t>
            </w:r>
          </w:p>
        </w:tc>
        <w:tc>
          <w:tcPr>
            <w:tcW w:type="dxa" w:w="468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-1 800 000 FCFA (phase d'amorçage)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Coût total du projet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10 700 000 FCFA</w:t>
            </w:r>
          </w:p>
        </w:tc>
      </w:tr>
      <w:tr>
        <w:tc>
          <w:tcPr>
            <w:tcW w:type="dxa" w:w="468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Apports personnels</w:t>
            </w:r>
          </w:p>
        </w:tc>
        <w:tc>
          <w:tcPr>
            <w:tcW w:type="dxa" w:w="468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3 000 000 FCFA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Crédit/Subvention sollicité(e)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7 700 000 FCFA</w:t>
            </w:r>
          </w:p>
        </w:tc>
      </w:tr>
    </w:tbl>
    <w:p>
      <w:r>
        <w:br w:type="page"/>
      </w:r>
    </w:p>
    <w:p>
      <w:pPr>
        <w:pStyle w:val="Heading1"/>
        <w:spacing w:after="160" w:before="320"/>
      </w:pPr>
      <w:r>
        <w:rPr>
          <w:rFonts w:ascii="Arial" w:cs="Arial" w:eastAsia="Arial" w:hAnsi="Arial"/>
          <w:b/>
          <w:bCs/>
          <w:color w:val="1A3C5E"/>
          <w:sz w:val="32"/>
          <w:szCs w:val="32"/>
        </w:rPr>
        <w:t xml:space="preserve">I. PRÉSENTATION DU PROMOTEUR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5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 &amp; Prénom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Lux Kassaluc</w:t>
            </w:r>
          </w:p>
        </w:tc>
      </w:tr>
      <w:tr>
        <w:tc>
          <w:tcPr>
            <w:tcW w:type="dxa" w:w="4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Date et lieu de naissance</w:t>
            </w:r>
          </w:p>
        </w:tc>
        <w:tc>
          <w:tcPr>
            <w:tcW w:type="dxa" w:w="5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Lomé, Togo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Nationalité</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Togolaise</w:t>
            </w:r>
          </w:p>
        </w:tc>
      </w:tr>
      <w:tr>
        <w:tc>
          <w:tcPr>
            <w:tcW w:type="dxa" w:w="4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Situation familiale</w:t>
            </w:r>
          </w:p>
        </w:tc>
        <w:tc>
          <w:tcPr>
            <w:tcW w:type="dxa" w:w="5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Célibataire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Formation professionnelle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Ingénierie Logicielle — Senior Software Engineer (Python, IA, Cloud)</w:t>
            </w:r>
          </w:p>
        </w:tc>
      </w:tr>
      <w:tr>
        <w:tc>
          <w:tcPr>
            <w:tcW w:type="dxa" w:w="4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Expérience professionnelle</w:t>
            </w:r>
          </w:p>
        </w:tc>
        <w:tc>
          <w:tcPr>
            <w:tcW w:type="dxa" w:w="5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5+ ans de développement logiciel, spécialiste Python, systèmes IA et architectures distribuées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Activité actuelle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 Senior indépendant — projets IA &amp; data engineering</w:t>
            </w:r>
          </w:p>
        </w:tc>
      </w:tr>
      <w:tr>
        <w:tc>
          <w:tcPr>
            <w:tcW w:type="dxa" w:w="4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Contact</w:t>
            </w:r>
          </w:p>
        </w:tc>
        <w:tc>
          <w:tcPr>
            <w:tcW w:type="dxa" w:w="5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kassaluc9770@gmail.com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Adresse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Lomé, Togo</w:t>
            </w:r>
          </w:p>
        </w:tc>
      </w:tr>
    </w:tbl>
    <w:p>
      <w:r>
        <w:br w:type="page"/>
      </w:r>
    </w:p>
    <w:p>
      <w:pPr>
        <w:pStyle w:val="Heading1"/>
        <w:spacing w:after="160" w:before="320"/>
      </w:pPr>
      <w:r>
        <w:rPr>
          <w:rFonts w:ascii="Arial" w:cs="Arial" w:eastAsia="Arial" w:hAnsi="Arial"/>
          <w:b/>
          <w:bCs/>
          <w:color w:val="1A3C5E"/>
          <w:sz w:val="32"/>
          <w:szCs w:val="32"/>
        </w:rPr>
        <w:t xml:space="preserve">II. CONTEXTE ET JUSTIFICATION</w:t>
      </w:r>
    </w:p>
    <w:p>
      <w:pPr>
        <w:pStyle w:val="Heading2"/>
        <w:spacing w:after="120" w:before="240"/>
      </w:pPr>
      <w:r>
        <w:rPr>
          <w:rFonts w:ascii="Arial" w:cs="Arial" w:eastAsia="Arial" w:hAnsi="Arial"/>
          <w:b/>
          <w:bCs/>
          <w:color w:val="0D7377"/>
          <w:sz w:val="26"/>
          <w:szCs w:val="26"/>
        </w:rPr>
        <w:t xml:space="preserve">2.1 Contexte général</w:t>
      </w:r>
    </w:p>
    <w:p>
      <w:pPr>
        <w:spacing w:after="120" w:before="60"/>
      </w:pPr>
      <w:r>
        <w:rPr>
          <w:rFonts w:ascii="Arial" w:cs="Arial" w:eastAsia="Arial" w:hAnsi="Arial"/>
          <w:color w:val="333333"/>
          <w:sz w:val="22"/>
          <w:szCs w:val="22"/>
        </w:rPr>
        <w:t xml:space="preserve">L'Afrique de l'Ouest connaît une révolution numérique sans précédent. Le taux de pénétration des smartphones au Togo dépasse 45% en 2025, et les applications de messagerie (WhatsApp, Telegram, Facebook Messenger) comptent parmi les plateformes les plus utilisées. Cependant, ces outils restent fondamentalement passifs : ils transmettent des messages sans comprendre leur contenu ni anticiper les besoins des utilisateurs.</w:t>
      </w:r>
    </w:p>
    <w:p>
      <w:pPr>
        <w:pStyle w:val="Heading2"/>
        <w:spacing w:after="120" w:before="240"/>
      </w:pPr>
      <w:r>
        <w:rPr>
          <w:rFonts w:ascii="Arial" w:cs="Arial" w:eastAsia="Arial" w:hAnsi="Arial"/>
          <w:b/>
          <w:bCs/>
          <w:color w:val="0D7377"/>
          <w:sz w:val="26"/>
          <w:szCs w:val="26"/>
        </w:rPr>
        <w:t xml:space="preserve">2.2 Problématique identifiée</w:t>
      </w:r>
    </w:p>
    <w:p>
      <w:pPr>
        <w:spacing w:after="120" w:before="60"/>
      </w:pPr>
      <w:r>
        <w:rPr>
          <w:rFonts w:ascii="Arial" w:cs="Arial" w:eastAsia="Arial" w:hAnsi="Arial"/>
          <w:color w:val="333333"/>
          <w:sz w:val="22"/>
          <w:szCs w:val="22"/>
        </w:rPr>
        <w:t xml:space="preserve">Les utilisateurs de messagerie font face à plusieurs frictions majeures :</w:t>
      </w:r>
    </w:p>
    <w:p>
      <w:pPr>
        <w:pStyle w:val="ListParagraph"/>
        <w:numPr>
          <w:ilvl w:val="0"/>
          <w:numId w:val="2"/>
        </w:numPr>
        <w:spacing w:after="40" w:before="40"/>
      </w:pPr>
      <w:r>
        <w:rPr>
          <w:rFonts w:ascii="Arial" w:cs="Arial" w:eastAsia="Arial" w:hAnsi="Arial"/>
          <w:color w:val="333333"/>
          <w:sz w:val="22"/>
          <w:szCs w:val="22"/>
        </w:rPr>
        <w:t xml:space="preserve">Surcharge informationnelle : des dizaines de conversations actives sans aucune priorisation intelligente</w:t>
      </w:r>
    </w:p>
    <w:p>
      <w:pPr>
        <w:pStyle w:val="ListParagraph"/>
        <w:numPr>
          <w:ilvl w:val="0"/>
          <w:numId w:val="2"/>
        </w:numPr>
        <w:spacing w:after="40" w:before="40"/>
      </w:pPr>
      <w:r>
        <w:rPr>
          <w:rFonts w:ascii="Arial" w:cs="Arial" w:eastAsia="Arial" w:hAnsi="Arial"/>
          <w:color w:val="333333"/>
          <w:sz w:val="22"/>
          <w:szCs w:val="22"/>
        </w:rPr>
        <w:t xml:space="preserve">Perte de contexte : impossible de retrouver facilement des informations éparpillées dans des discussions passées</w:t>
      </w:r>
    </w:p>
    <w:p>
      <w:pPr>
        <w:pStyle w:val="ListParagraph"/>
        <w:numPr>
          <w:ilvl w:val="0"/>
          <w:numId w:val="2"/>
        </w:numPr>
        <w:spacing w:after="40" w:before="40"/>
      </w:pPr>
      <w:r>
        <w:rPr>
          <w:rFonts w:ascii="Arial" w:cs="Arial" w:eastAsia="Arial" w:hAnsi="Arial"/>
          <w:color w:val="333333"/>
          <w:sz w:val="22"/>
          <w:szCs w:val="22"/>
        </w:rPr>
        <w:t xml:space="preserve">Absence de proactivité : les outils ne suggèrent rien, n'anticipent rien</w:t>
      </w:r>
    </w:p>
    <w:p>
      <w:pPr>
        <w:pStyle w:val="ListParagraph"/>
        <w:numPr>
          <w:ilvl w:val="0"/>
          <w:numId w:val="2"/>
        </w:numPr>
        <w:spacing w:after="40" w:before="40"/>
      </w:pPr>
      <w:r>
        <w:rPr>
          <w:rFonts w:ascii="Arial" w:cs="Arial" w:eastAsia="Arial" w:hAnsi="Arial"/>
          <w:color w:val="333333"/>
          <w:sz w:val="22"/>
          <w:szCs w:val="22"/>
        </w:rPr>
        <w:t xml:space="preserve">Déconnexion entre canaux : une conversation dans un groupe n'est jamais reliée à une discussion privée connexe</w:t>
      </w:r>
    </w:p>
    <w:p>
      <w:pPr>
        <w:pStyle w:val="Heading2"/>
        <w:spacing w:after="120" w:before="240"/>
      </w:pPr>
      <w:r>
        <w:rPr>
          <w:rFonts w:ascii="Arial" w:cs="Arial" w:eastAsia="Arial" w:hAnsi="Arial"/>
          <w:b/>
          <w:bCs/>
          <w:color w:val="0D7377"/>
          <w:sz w:val="26"/>
          <w:szCs w:val="26"/>
        </w:rPr>
        <w:t xml:space="preserve">2.3 Solution proposée — Murmura</w:t>
      </w:r>
    </w:p>
    <w:p>
      <w:pPr>
        <w:spacing w:after="120" w:before="60"/>
      </w:pPr>
      <w:r>
        <w:rPr>
          <w:rFonts w:ascii="Arial" w:cs="Arial" w:eastAsia="Arial" w:hAnsi="Arial"/>
          <w:color w:val="333333"/>
          <w:sz w:val="22"/>
          <w:szCs w:val="22"/>
        </w:rPr>
        <w:t xml:space="preserve">Murmura propose une messagerie de nouvelle génération, dotée d'une mémoire contextuelle et d'une intelligence artificielle intégrée. L'application :</w:t>
      </w:r>
    </w:p>
    <w:p>
      <w:pPr>
        <w:pStyle w:val="ListParagraph"/>
        <w:numPr>
          <w:ilvl w:val="0"/>
          <w:numId w:val="2"/>
        </w:numPr>
        <w:spacing w:after="40" w:before="40"/>
      </w:pPr>
      <w:r>
        <w:rPr>
          <w:rFonts w:ascii="Arial" w:cs="Arial" w:eastAsia="Arial" w:hAnsi="Arial"/>
          <w:color w:val="333333"/>
          <w:sz w:val="22"/>
          <w:szCs w:val="22"/>
        </w:rPr>
        <w:t xml:space="preserve">Analyse le sens des conversations, pas seulement les mots</w:t>
      </w:r>
    </w:p>
    <w:p>
      <w:pPr>
        <w:pStyle w:val="ListParagraph"/>
        <w:numPr>
          <w:ilvl w:val="0"/>
          <w:numId w:val="2"/>
        </w:numPr>
        <w:spacing w:after="40" w:before="40"/>
      </w:pPr>
      <w:r>
        <w:rPr>
          <w:rFonts w:ascii="Arial" w:cs="Arial" w:eastAsia="Arial" w:hAnsi="Arial"/>
          <w:color w:val="333333"/>
          <w:sz w:val="22"/>
          <w:szCs w:val="22"/>
        </w:rPr>
        <w:t xml:space="preserve">Relie automatiquement des discussions connexes entre groupes, messages privés et événements</w:t>
      </w:r>
    </w:p>
    <w:p>
      <w:pPr>
        <w:pStyle w:val="ListParagraph"/>
        <w:numPr>
          <w:ilvl w:val="0"/>
          <w:numId w:val="2"/>
        </w:numPr>
        <w:spacing w:after="40" w:before="40"/>
      </w:pPr>
      <w:r>
        <w:rPr>
          <w:rFonts w:ascii="Arial" w:cs="Arial" w:eastAsia="Arial" w:hAnsi="Arial"/>
          <w:color w:val="333333"/>
          <w:sz w:val="22"/>
          <w:szCs w:val="22"/>
        </w:rPr>
        <w:t xml:space="preserve">Propose des suggestions intelligentes en temps réel : réponses, actions, recommandations</w:t>
      </w:r>
    </w:p>
    <w:p>
      <w:pPr>
        <w:pStyle w:val="ListParagraph"/>
        <w:numPr>
          <w:ilvl w:val="0"/>
          <w:numId w:val="2"/>
        </w:numPr>
        <w:spacing w:after="40" w:before="40"/>
      </w:pPr>
      <w:r>
        <w:rPr>
          <w:rFonts w:ascii="Arial" w:cs="Arial" w:eastAsia="Arial" w:hAnsi="Arial"/>
          <w:color w:val="333333"/>
          <w:sz w:val="22"/>
          <w:szCs w:val="22"/>
        </w:rPr>
        <w:t xml:space="preserve">Anticipe les besoins de l'utilisateur sans qu'il ait à demander explicitement</w:t>
      </w:r>
    </w:p>
    <w:p>
      <w:pPr>
        <w:pStyle w:val="Heading2"/>
        <w:spacing w:after="120" w:before="240"/>
      </w:pPr>
      <w:r>
        <w:rPr>
          <w:rFonts w:ascii="Arial" w:cs="Arial" w:eastAsia="Arial" w:hAnsi="Arial"/>
          <w:b/>
          <w:bCs/>
          <w:color w:val="0D7377"/>
          <w:sz w:val="26"/>
          <w:szCs w:val="26"/>
        </w:rPr>
        <w:t xml:space="preserve">2.4 Justification du projet</w:t>
      </w:r>
    </w:p>
    <w:p>
      <w:pPr>
        <w:spacing w:after="120" w:before="60"/>
      </w:pPr>
      <w:r>
        <w:rPr>
          <w:rFonts w:ascii="Arial" w:cs="Arial" w:eastAsia="Arial" w:hAnsi="Arial"/>
          <w:color w:val="333333"/>
          <w:sz w:val="22"/>
          <w:szCs w:val="22"/>
        </w:rPr>
        <w:t xml:space="preserve">Le marché mondial de l'IA conversationnelle est estimé à 32 milliards USD en 2025 et croît à 30% par an. En Afrique, la demande de solutions locales, adaptées aux langues et aux usages africains, représente une opportunité de marché encore quasi vierge. Murmura se positionne comme le premier assistant de messagerie conçu pour et par l'Afrique.</w:t>
      </w:r>
    </w:p>
    <w:p>
      <w:r>
        <w:br w:type="page"/>
      </w:r>
    </w:p>
    <w:p>
      <w:pPr>
        <w:pStyle w:val="Heading1"/>
        <w:spacing w:after="160" w:before="320"/>
      </w:pPr>
      <w:r>
        <w:rPr>
          <w:rFonts w:ascii="Arial" w:cs="Arial" w:eastAsia="Arial" w:hAnsi="Arial"/>
          <w:b/>
          <w:bCs/>
          <w:color w:val="1A3C5E"/>
          <w:sz w:val="32"/>
          <w:szCs w:val="32"/>
        </w:rPr>
        <w:t xml:space="preserve">III. ÉTUDE TECHNIQUE</w:t>
      </w:r>
    </w:p>
    <w:p>
      <w:pPr>
        <w:pStyle w:val="Heading2"/>
        <w:spacing w:after="120" w:before="240"/>
      </w:pPr>
      <w:r>
        <w:rPr>
          <w:rFonts w:ascii="Arial" w:cs="Arial" w:eastAsia="Arial" w:hAnsi="Arial"/>
          <w:b/>
          <w:bCs/>
          <w:color w:val="0D7377"/>
          <w:sz w:val="26"/>
          <w:szCs w:val="26"/>
        </w:rPr>
        <w:t xml:space="preserve">3.1 Description du projet</w:t>
      </w:r>
    </w:p>
    <w:p>
      <w:pPr>
        <w:spacing w:after="120" w:before="60"/>
      </w:pPr>
      <w:r>
        <w:rPr>
          <w:rFonts w:ascii="Arial" w:cs="Arial" w:eastAsia="Arial" w:hAnsi="Arial"/>
          <w:color w:val="333333"/>
          <w:sz w:val="22"/>
          <w:szCs w:val="22"/>
        </w:rPr>
        <w:t xml:space="preserve">Murmura est une application mobile et web de messagerie augmentée par IA. Le projet consiste à développer, déployer et commercialiser une plateforme SaaS (Software as a Service) permettant aux utilisateurs individuels et aux entreprises de bénéficier d'une communication intelligente et contextuelle.</w:t>
      </w:r>
    </w:p>
    <w:p>
      <w:pPr>
        <w:spacing w:after="120" w:before="60"/>
      </w:pPr>
      <w:r>
        <w:rPr>
          <w:rFonts w:ascii="Arial" w:cs="Arial" w:eastAsia="Arial" w:hAnsi="Arial"/>
          <w:color w:val="333333"/>
          <w:sz w:val="22"/>
          <w:szCs w:val="22"/>
        </w:rPr>
        <w:t xml:space="preserve">L'entreprise sera constituée en SARL, offrant la structure juridique adaptée à la levée de fonds et au développement à l'international. Les activités principales se dérouleront à Lomé (Togo), avec une couverture commerciale initiale sur l'Afrique de l'Ouest francophone.</w:t>
      </w:r>
    </w:p>
    <w:p>
      <w:pPr>
        <w:pStyle w:val="Heading2"/>
        <w:spacing w:after="120" w:before="240"/>
      </w:pPr>
      <w:r>
        <w:rPr>
          <w:rFonts w:ascii="Arial" w:cs="Arial" w:eastAsia="Arial" w:hAnsi="Arial"/>
          <w:b/>
          <w:bCs/>
          <w:color w:val="0D7377"/>
          <w:sz w:val="26"/>
          <w:szCs w:val="26"/>
        </w:rPr>
        <w:t xml:space="preserve">3.2 Description des produits/services</w:t>
      </w:r>
    </w:p>
    <w:p>
      <w:pPr>
        <w:spacing w:after="120" w:before="60"/>
      </w:pPr>
      <w:r>
        <w:rPr>
          <w:rFonts w:ascii="Arial" w:cs="Arial" w:eastAsia="Arial" w:hAnsi="Arial"/>
          <w:color w:val="333333"/>
          <w:sz w:val="22"/>
          <w:szCs w:val="22"/>
        </w:rPr>
        <w:t xml:space="preserve">Murmura propose trois niveaux de service :</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w:t>
            </w:r>
          </w:p>
        </w:tc>
        <w:tc>
          <w:tcPr>
            <w:tcW w:type="dxa" w:w="4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Fonctionnalités</w:t>
            </w:r>
          </w:p>
        </w:tc>
        <w:tc>
          <w:tcPr>
            <w:tcW w:type="dxa" w:w="2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Murmura Free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Messagerie de base, IA limitée (10 suggestions/jour), historique 30 jours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FCFA/mois</w:t>
            </w:r>
          </w:p>
        </w:tc>
      </w:tr>
      <w:tr>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Murmura Premium</w:t>
            </w:r>
          </w:p>
        </w:tc>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IA illimitée, mémoire contextuelle complète, suggestions proactives, intégrations (calendrier, notes)</w:t>
            </w:r>
          </w:p>
        </w:tc>
        <w:tc>
          <w:tcPr>
            <w:tcW w:type="dxa" w:w="2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2 000 FCFA/mois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Murmura Business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Tout Premium + gestion d'équipe, analytics conversationnels, API access, support dédié</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50 000 FCFA/mois/org</w:t>
            </w:r>
          </w:p>
        </w:tc>
      </w:tr>
    </w:tbl>
    <w:p>
      <w:pPr>
        <w:spacing w:after="120" w:before="120"/>
      </w:pPr>
      <w:r>
        <w:t xml:space="preserve"/>
      </w:r>
    </w:p>
    <w:p>
      <w:pPr>
        <w:pStyle w:val="Heading2"/>
        <w:spacing w:after="120" w:before="240"/>
      </w:pPr>
      <w:r>
        <w:rPr>
          <w:rFonts w:ascii="Arial" w:cs="Arial" w:eastAsia="Arial" w:hAnsi="Arial"/>
          <w:b/>
          <w:bCs/>
          <w:color w:val="0D7377"/>
          <w:sz w:val="26"/>
          <w:szCs w:val="26"/>
        </w:rPr>
        <w:t xml:space="preserve">3.3 Processus de production/commercialisation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6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Étape</w:t>
            </w:r>
          </w:p>
        </w:tc>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Ressources</w:t>
            </w:r>
          </w:p>
        </w:tc>
        <w:tc>
          <w:tcPr>
            <w:tcW w:type="dxa" w:w="16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R&amp;D &amp; Architecture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Conception de l'architecture IA, développement du moteur NLP adapté aux langues africaines (français, ewe, fon)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Équipe tech (2 dev senior Python)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Mois 1-3</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 Développement MVP</w:t>
            </w:r>
          </w:p>
        </w:tc>
        <w:tc>
          <w:tcPr>
            <w:tcW w:type="dxa" w:w="3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Développement de l'application mobile (React Native) + backend Python (FastAPI, PostgreSQL, Redis)</w:t>
            </w:r>
          </w:p>
        </w:tc>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 développeurs + infrastructure cloud</w:t>
            </w:r>
          </w:p>
        </w:tc>
        <w:tc>
          <w:tcPr>
            <w:tcW w:type="dxa" w:w="16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Mois 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Intégration 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Intégration des modèles IA (LLM via API), développement de la mémoire contextuelle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ingénieur ML + APIs IA</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Mois 3-5</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4. Tests &amp; Beta</w:t>
            </w:r>
          </w:p>
        </w:tc>
        <w:tc>
          <w:tcPr>
            <w:tcW w:type="dxa" w:w="3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Beta privée avec 100 utilisateurs pilotes à Lomé, itérations rapides</w:t>
            </w:r>
          </w:p>
        </w:tc>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Toute l'équipe + beta-testeurs</w:t>
            </w:r>
          </w:p>
        </w:tc>
        <w:tc>
          <w:tcPr>
            <w:tcW w:type="dxa" w:w="16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Mois 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Lancement commercial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Lancement public, campagne marketing digital, partenariats stratégiques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Marketing + commercial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Mois 7+</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6. Croissance &amp; Scale</w:t>
            </w:r>
          </w:p>
        </w:tc>
        <w:tc>
          <w:tcPr>
            <w:tcW w:type="dxa" w:w="3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Expansion géographique (Bénin, CI, Sénégal), développement des plans B2B</w:t>
            </w:r>
          </w:p>
        </w:tc>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Équipe complète + nouveaux recrutements</w:t>
            </w:r>
          </w:p>
        </w:tc>
        <w:tc>
          <w:tcPr>
            <w:tcW w:type="dxa" w:w="16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An 2+</w:t>
            </w:r>
          </w:p>
        </w:tc>
      </w:tr>
    </w:tbl>
    <w:p>
      <w:pPr>
        <w:spacing w:after="120" w:before="120"/>
      </w:pPr>
      <w:r>
        <w:t xml:space="preserve"/>
      </w:r>
    </w:p>
    <w:p>
      <w:pPr>
        <w:pStyle w:val="Heading2"/>
        <w:spacing w:after="120" w:before="240"/>
      </w:pPr>
      <w:r>
        <w:rPr>
          <w:rFonts w:ascii="Arial" w:cs="Arial" w:eastAsia="Arial" w:hAnsi="Arial"/>
          <w:b/>
          <w:bCs/>
          <w:color w:val="0D7377"/>
          <w:sz w:val="26"/>
          <w:szCs w:val="26"/>
        </w:rPr>
        <w:t xml:space="preserve">3.4 Organisation du personnel</w:t>
      </w:r>
    </w:p>
    <w:p>
      <w:pPr>
        <w:pStyle w:val="Heading3"/>
        <w:spacing w:after="80" w:before="180"/>
      </w:pPr>
      <w:r>
        <w:rPr>
          <w:rFonts w:ascii="Arial" w:cs="Arial" w:eastAsia="Arial" w:hAnsi="Arial"/>
          <w:b/>
          <w:bCs/>
          <w:color w:val="333333"/>
          <w:sz w:val="24"/>
          <w:szCs w:val="24"/>
        </w:rPr>
        <w:t xml:space="preserve">3.4.1 Ressources humaines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2200"/>
        <w:gridCol w:w="296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Poste</w:t>
            </w:r>
          </w:p>
        </w:tc>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Rémunération mensuelle</w:t>
            </w:r>
          </w:p>
        </w:tc>
        <w:tc>
          <w:tcPr>
            <w:tcW w:type="dxa" w:w="2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Directeur Général / Lead Developer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200 000 FCFA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Vision produit, développement backend, IA</w:t>
            </w:r>
          </w:p>
        </w:tc>
      </w:tr>
      <w:tr>
        <w:tc>
          <w:tcPr>
            <w:tcW w:type="dxa" w:w="3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Développeur Full-Stack</w:t>
            </w:r>
          </w:p>
        </w:tc>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150 000 FCFA</w:t>
            </w:r>
          </w:p>
        </w:tc>
        <w:tc>
          <w:tcPr>
            <w:tcW w:type="dxa" w:w="2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Frontend React Native + backend Python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Ingénieur IA/ML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150 000 FCFA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Modèles NLP, mémoire contextuelle</w:t>
            </w:r>
          </w:p>
        </w:tc>
      </w:tr>
      <w:tr>
        <w:tc>
          <w:tcPr>
            <w:tcW w:type="dxa" w:w="3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Chargé(e) Marketing &amp; Growth</w:t>
            </w:r>
          </w:p>
        </w:tc>
        <w:tc>
          <w:tcPr>
            <w:tcW w:type="dxa" w:w="1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100 000 FCFA</w:t>
            </w:r>
          </w:p>
        </w:tc>
        <w:tc>
          <w:tcPr>
            <w:tcW w:type="dxa" w:w="2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Acquisition clients, réseaux sociaux, partenariats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Assistant Commercial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80 000 FCFA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 client, ventes B2B, démonstrations</w:t>
            </w:r>
          </w:p>
        </w:tc>
      </w:tr>
    </w:tbl>
    <w:p>
      <w:pPr>
        <w:spacing w:after="120" w:before="120"/>
      </w:pPr>
      <w:r>
        <w:t xml:space="preserve"/>
      </w:r>
    </w:p>
    <w:p>
      <w:pPr>
        <w:pStyle w:val="Heading3"/>
        <w:spacing w:after="80" w:before="180"/>
      </w:pPr>
      <w:r>
        <w:rPr>
          <w:rFonts w:ascii="Arial" w:cs="Arial" w:eastAsia="Arial" w:hAnsi="Arial"/>
          <w:b/>
          <w:bCs/>
          <w:color w:val="333333"/>
          <w:sz w:val="24"/>
          <w:szCs w:val="24"/>
        </w:rPr>
        <w:t xml:space="preserve">3.4.2 Organigramme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6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Directeur Général (Lux Kassaluc)</w:t>
            </w:r>
          </w:p>
        </w:tc>
      </w:tr>
      <w:tr>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Pôle Tech</w:t>
            </w:r>
          </w:p>
        </w:tc>
        <w:tc>
          <w:tcPr>
            <w:tcW w:type="dxa" w:w="68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Développeur Full-Stack | Ingénieur IA/ML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Pôle Commercial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Chargé(e) Marketing | Assistant Commercial</w:t>
            </w:r>
          </w:p>
        </w:tc>
      </w:tr>
    </w:tbl>
    <w:p>
      <w:pPr>
        <w:spacing w:after="120" w:before="120"/>
      </w:pPr>
      <w:r>
        <w:t xml:space="preserve"/>
      </w:r>
    </w:p>
    <w:p>
      <w:pPr>
        <w:pStyle w:val="Heading2"/>
        <w:spacing w:after="120" w:before="240"/>
      </w:pPr>
      <w:r>
        <w:rPr>
          <w:rFonts w:ascii="Arial" w:cs="Arial" w:eastAsia="Arial" w:hAnsi="Arial"/>
          <w:b/>
          <w:bCs/>
          <w:color w:val="0D7377"/>
          <w:sz w:val="26"/>
          <w:szCs w:val="26"/>
        </w:rPr>
        <w:t xml:space="preserve">3.5 Lieu d'implantation</w:t>
      </w:r>
    </w:p>
    <w:p>
      <w:pPr>
        <w:pStyle w:val="Heading3"/>
        <w:spacing w:after="80" w:before="180"/>
      </w:pPr>
      <w:r>
        <w:rPr>
          <w:rFonts w:ascii="Arial" w:cs="Arial" w:eastAsia="Arial" w:hAnsi="Arial"/>
          <w:b/>
          <w:bCs/>
          <w:color w:val="333333"/>
          <w:sz w:val="24"/>
          <w:szCs w:val="24"/>
        </w:rPr>
        <w:t xml:space="preserve">3.5.1 Adresse</w:t>
      </w:r>
    </w:p>
    <w:p>
      <w:pPr>
        <w:spacing w:after="120" w:before="60"/>
      </w:pPr>
      <w:r>
        <w:rPr>
          <w:rFonts w:ascii="Arial" w:cs="Arial" w:eastAsia="Arial" w:hAnsi="Arial"/>
          <w:color w:val="333333"/>
          <w:sz w:val="22"/>
          <w:szCs w:val="22"/>
        </w:rPr>
        <w:t xml:space="preserve">Lomé, Togo — Quartier commercial (Bureau partagé / Co-working space, avec option de bureau dédié à partir du mois 6)</w:t>
      </w:r>
    </w:p>
    <w:p>
      <w:pPr>
        <w:pStyle w:val="Heading3"/>
        <w:spacing w:after="80" w:before="180"/>
      </w:pPr>
      <w:r>
        <w:rPr>
          <w:rFonts w:ascii="Arial" w:cs="Arial" w:eastAsia="Arial" w:hAnsi="Arial"/>
          <w:b/>
          <w:bCs/>
          <w:color w:val="333333"/>
          <w:sz w:val="24"/>
          <w:szCs w:val="24"/>
        </w:rPr>
        <w:t xml:space="preserve">3.5.2 Avantages</w:t>
      </w:r>
    </w:p>
    <w:p>
      <w:pPr>
        <w:pStyle w:val="ListParagraph"/>
        <w:numPr>
          <w:ilvl w:val="0"/>
          <w:numId w:val="2"/>
        </w:numPr>
        <w:spacing w:after="40" w:before="40"/>
      </w:pPr>
      <w:r>
        <w:rPr>
          <w:rFonts w:ascii="Arial" w:cs="Arial" w:eastAsia="Arial" w:hAnsi="Arial"/>
          <w:color w:val="333333"/>
          <w:sz w:val="22"/>
          <w:szCs w:val="22"/>
        </w:rPr>
        <w:t xml:space="preserve">Proximité des universités et centres tech (UTL, ESGIS)</w:t>
      </w:r>
    </w:p>
    <w:p>
      <w:pPr>
        <w:pStyle w:val="ListParagraph"/>
        <w:numPr>
          <w:ilvl w:val="0"/>
          <w:numId w:val="2"/>
        </w:numPr>
        <w:spacing w:after="40" w:before="40"/>
      </w:pPr>
      <w:r>
        <w:rPr>
          <w:rFonts w:ascii="Arial" w:cs="Arial" w:eastAsia="Arial" w:hAnsi="Arial"/>
          <w:color w:val="333333"/>
          <w:sz w:val="22"/>
          <w:szCs w:val="22"/>
        </w:rPr>
        <w:t xml:space="preserve">Accès à un vivier de talents numériques locaux</w:t>
      </w:r>
    </w:p>
    <w:p>
      <w:pPr>
        <w:pStyle w:val="ListParagraph"/>
        <w:numPr>
          <w:ilvl w:val="0"/>
          <w:numId w:val="2"/>
        </w:numPr>
        <w:spacing w:after="40" w:before="40"/>
      </w:pPr>
      <w:r>
        <w:rPr>
          <w:rFonts w:ascii="Arial" w:cs="Arial" w:eastAsia="Arial" w:hAnsi="Arial"/>
          <w:color w:val="333333"/>
          <w:sz w:val="22"/>
          <w:szCs w:val="22"/>
        </w:rPr>
        <w:t xml:space="preserve">Coût de fonctionnement réduit par rapport aux marchés occidentaux</w:t>
      </w:r>
    </w:p>
    <w:p>
      <w:pPr>
        <w:pStyle w:val="ListParagraph"/>
        <w:numPr>
          <w:ilvl w:val="0"/>
          <w:numId w:val="2"/>
        </w:numPr>
        <w:spacing w:after="40" w:before="40"/>
      </w:pPr>
      <w:r>
        <w:rPr>
          <w:rFonts w:ascii="Arial" w:cs="Arial" w:eastAsia="Arial" w:hAnsi="Arial"/>
          <w:color w:val="333333"/>
          <w:sz w:val="22"/>
          <w:szCs w:val="22"/>
        </w:rPr>
        <w:t xml:space="preserve">Présence des instances IJE-UniPod pour l'accompagnement</w:t>
      </w:r>
    </w:p>
    <w:p>
      <w:pPr>
        <w:pStyle w:val="Heading3"/>
        <w:spacing w:after="80" w:before="180"/>
      </w:pPr>
      <w:r>
        <w:rPr>
          <w:rFonts w:ascii="Arial" w:cs="Arial" w:eastAsia="Arial" w:hAnsi="Arial"/>
          <w:b/>
          <w:bCs/>
          <w:color w:val="333333"/>
          <w:sz w:val="24"/>
          <w:szCs w:val="24"/>
        </w:rPr>
        <w:t xml:space="preserve">3.5.3 Inconvénients</w:t>
      </w:r>
    </w:p>
    <w:p>
      <w:pPr>
        <w:pStyle w:val="ListParagraph"/>
        <w:numPr>
          <w:ilvl w:val="0"/>
          <w:numId w:val="2"/>
        </w:numPr>
        <w:spacing w:after="40" w:before="40"/>
      </w:pPr>
      <w:r>
        <w:rPr>
          <w:rFonts w:ascii="Arial" w:cs="Arial" w:eastAsia="Arial" w:hAnsi="Arial"/>
          <w:color w:val="333333"/>
          <w:sz w:val="22"/>
          <w:szCs w:val="22"/>
        </w:rPr>
        <w:t xml:space="preserve">Connectivité internet parfois instable (mitigation : architecture offline-first)</w:t>
      </w:r>
    </w:p>
    <w:p>
      <w:pPr>
        <w:pStyle w:val="ListParagraph"/>
        <w:numPr>
          <w:ilvl w:val="0"/>
          <w:numId w:val="2"/>
        </w:numPr>
        <w:spacing w:after="40" w:before="40"/>
      </w:pPr>
      <w:r>
        <w:rPr>
          <w:rFonts w:ascii="Arial" w:cs="Arial" w:eastAsia="Arial" w:hAnsi="Arial"/>
          <w:color w:val="333333"/>
          <w:sz w:val="22"/>
          <w:szCs w:val="22"/>
        </w:rPr>
        <w:t xml:space="preserve">Marché local restreint (mitigation : stratégie régionale dès l'An 1)</w:t>
      </w:r>
    </w:p>
    <w:p>
      <w:pPr>
        <w:spacing w:after="120" w:before="120"/>
      </w:pPr>
      <w:r>
        <w:t xml:space="preserve"/>
      </w:r>
    </w:p>
    <w:p>
      <w:pPr>
        <w:pStyle w:val="Heading2"/>
        <w:spacing w:after="120" w:before="240"/>
      </w:pPr>
      <w:r>
        <w:rPr>
          <w:rFonts w:ascii="Arial" w:cs="Arial" w:eastAsia="Arial" w:hAnsi="Arial"/>
          <w:b/>
          <w:bCs/>
          <w:color w:val="0D7377"/>
          <w:sz w:val="26"/>
          <w:szCs w:val="26"/>
        </w:rPr>
        <w:t xml:space="preserve">3.6 Besoins en infrastructures, équipements et matériels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200"/>
        <w:gridCol w:w="2460"/>
      </w:tblGrid>
      <w:tr>
        <w:trPr>
          <w:tblHeader/>
        </w:trP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Quantité</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Prix Unitaire (FCFA)</w:t>
            </w:r>
          </w:p>
        </w:tc>
        <w:tc>
          <w:tcPr>
            <w:tcW w:type="dxa" w:w="24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Montant (FCFA)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Ordinateurs portables (dev)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350 000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1 050 000</w:t>
            </w:r>
          </w:p>
        </w:tc>
      </w:tr>
      <w:tr>
        <w:tc>
          <w:tcPr>
            <w:tcW w:type="dxa" w:w="3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Serveur NAS/stockage local</w:t>
            </w:r>
          </w:p>
        </w:tc>
        <w:tc>
          <w:tcPr>
            <w:tcW w:type="dxa" w:w="1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200 000</w:t>
            </w:r>
          </w:p>
        </w:tc>
        <w:tc>
          <w:tcPr>
            <w:tcW w:type="dxa" w:w="24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200 000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Écrans monitors 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80 000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240 000</w:t>
            </w:r>
          </w:p>
        </w:tc>
      </w:tr>
      <w:tr>
        <w:tc>
          <w:tcPr>
            <w:tcW w:type="dxa" w:w="3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Infrastructure Cloud (AWS/GCP) – setup initial</w:t>
            </w:r>
          </w:p>
        </w:tc>
        <w:tc>
          <w:tcPr>
            <w:tcW w:type="dxa" w:w="1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500 000</w:t>
            </w:r>
          </w:p>
        </w:tc>
        <w:tc>
          <w:tcPr>
            <w:tcW w:type="dxa" w:w="24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500 000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Licences logiciels &amp; APIs IA (An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800 000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800 000</w:t>
            </w:r>
          </w:p>
        </w:tc>
      </w:tr>
      <w:tr>
        <w:tc>
          <w:tcPr>
            <w:tcW w:type="dxa" w:w="3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Mobilier de bureau (tables, chaises)</w:t>
            </w:r>
          </w:p>
        </w:tc>
        <w:tc>
          <w:tcPr>
            <w:tcW w:type="dxa" w:w="1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210 000</w:t>
            </w:r>
          </w:p>
        </w:tc>
        <w:tc>
          <w:tcPr>
            <w:tcW w:type="dxa" w:w="24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210 000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3 000 000</w:t>
            </w:r>
          </w:p>
        </w:tc>
      </w:tr>
    </w:tbl>
    <w:p>
      <w:pPr>
        <w:spacing w:after="120" w:before="120"/>
      </w:pPr>
      <w:r>
        <w:t xml:space="preserve"/>
      </w:r>
    </w:p>
    <w:p>
      <w:pPr>
        <w:pStyle w:val="Heading2"/>
        <w:spacing w:after="120" w:before="240"/>
      </w:pPr>
      <w:r>
        <w:rPr>
          <w:rFonts w:ascii="Arial" w:cs="Arial" w:eastAsia="Arial" w:hAnsi="Arial"/>
          <w:b/>
          <w:bCs/>
          <w:color w:val="0D7377"/>
          <w:sz w:val="26"/>
          <w:szCs w:val="26"/>
        </w:rPr>
        <w:t xml:space="preserve">3.7 Besoins en matières premières et fournitures (mensuels)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Ressource</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Montant mensuel (FCFA)</w:t>
            </w:r>
          </w:p>
        </w:tc>
        <w:tc>
          <w:tcPr>
            <w:tcW w:type="dxa" w:w="3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Hébergement Cloud (AWS/GCP/OCI)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Serveurs d'application, base de données, CDN</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APIs Intelligence Artificielle</w:t>
            </w:r>
          </w:p>
        </w:tc>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80 000</w:t>
            </w:r>
          </w:p>
        </w:tc>
        <w:tc>
          <w:tcPr>
            <w:tcW w:type="dxa" w:w="38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OpenAI / Anthropic / modèles locaux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Services tiers (Firebase, Twilio, etc.)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40 000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Notifications push, SMS, analytics</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Connexion internet haut débit (fibre)</w:t>
            </w:r>
          </w:p>
        </w:tc>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30 000</w:t>
            </w:r>
          </w:p>
        </w:tc>
        <w:tc>
          <w:tcPr>
            <w:tcW w:type="dxa" w:w="38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Bureau + VPN développeurs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Fournitures de bureau &amp; consommables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Papeterie, impression, divers</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Total mensuel</w:t>
            </w:r>
          </w:p>
        </w:tc>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270 000</w:t>
            </w:r>
          </w:p>
        </w:tc>
        <w:tc>
          <w:tcPr>
            <w:tcW w:type="dxa" w:w="38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120" w:before="120"/>
      </w:pPr>
      <w:r>
        <w:t xml:space="preserve"/>
      </w:r>
    </w:p>
    <w:p>
      <w:pPr>
        <w:pStyle w:val="Heading2"/>
        <w:spacing w:after="120" w:before="240"/>
      </w:pPr>
      <w:r>
        <w:rPr>
          <w:rFonts w:ascii="Arial" w:cs="Arial" w:eastAsia="Arial" w:hAnsi="Arial"/>
          <w:b/>
          <w:bCs/>
          <w:color w:val="0D7377"/>
          <w:sz w:val="26"/>
          <w:szCs w:val="26"/>
        </w:rPr>
        <w:t xml:space="preserve">3.8 Analyse SWOT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Forces</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Faiblesses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Technologie différenciante (IA contextuelle)
• Fondateur tech expert Python &amp; IA
• Modèle SaaS scalable sans stock physique
• Produit adaptable au contexte africain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Startup en phase d'amorçage (notoriété faible)
• Dépendance aux APIs IA tierces (coût)
• Besoin d'éducation du marché
• Ressources humaines limitées en démarrage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Opportunités</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Menaces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Marché IA Afrique en forte croissance (+40%/an)
• Peu de concurrents locaux spécialisés
• Partenariats possibles avec FAI et opérateurs télécoms
• Digitalisation accélérée post-COVID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Concurrence internationale (WhatsApp IA, Telegram AI)
• Volatilité des coûts des APIs IA
• Risques réglementaires (données personnelles)
• Adoption lente des nouveaux usages</w:t>
            </w:r>
          </w:p>
        </w:tc>
      </w:tr>
    </w:tbl>
    <w:p>
      <w:pPr>
        <w:spacing w:after="120" w:before="120"/>
      </w:pPr>
      <w:r>
        <w:t xml:space="preserve"/>
      </w:r>
    </w:p>
    <w:p>
      <w:pPr>
        <w:pStyle w:val="Heading2"/>
        <w:spacing w:after="120" w:before="240"/>
      </w:pPr>
      <w:r>
        <w:rPr>
          <w:rFonts w:ascii="Arial" w:cs="Arial" w:eastAsia="Arial" w:hAnsi="Arial"/>
          <w:b/>
          <w:bCs/>
          <w:color w:val="0D7377"/>
          <w:sz w:val="26"/>
          <w:szCs w:val="26"/>
        </w:rPr>
        <w:t xml:space="preserve">3.9 Mesures d'atténuation</w:t>
      </w:r>
    </w:p>
    <w:p>
      <w:pPr>
        <w:pStyle w:val="ListParagraph"/>
        <w:numPr>
          <w:ilvl w:val="0"/>
          <w:numId w:val="2"/>
        </w:numPr>
        <w:spacing w:after="40" w:before="40"/>
      </w:pPr>
      <w:r>
        <w:rPr>
          <w:rFonts w:ascii="Arial" w:cs="Arial" w:eastAsia="Arial" w:hAnsi="Arial"/>
          <w:color w:val="333333"/>
          <w:sz w:val="22"/>
          <w:szCs w:val="22"/>
        </w:rPr>
        <w:t xml:space="preserve">Construire progressivement des modèles IA propriétaires pour réduire la dépendance aux APIs</w:t>
      </w:r>
    </w:p>
    <w:p>
      <w:pPr>
        <w:pStyle w:val="ListParagraph"/>
        <w:numPr>
          <w:ilvl w:val="0"/>
          <w:numId w:val="2"/>
        </w:numPr>
        <w:spacing w:after="40" w:before="40"/>
      </w:pPr>
      <w:r>
        <w:rPr>
          <w:rFonts w:ascii="Arial" w:cs="Arial" w:eastAsia="Arial" w:hAnsi="Arial"/>
          <w:color w:val="333333"/>
          <w:sz w:val="22"/>
          <w:szCs w:val="22"/>
        </w:rPr>
        <w:t xml:space="preserve">Investir dans l'éducation client via du contenu de valeur (vidéos, tutoriels, démos)</w:t>
      </w:r>
    </w:p>
    <w:p>
      <w:pPr>
        <w:pStyle w:val="ListParagraph"/>
        <w:numPr>
          <w:ilvl w:val="0"/>
          <w:numId w:val="2"/>
        </w:numPr>
        <w:spacing w:after="40" w:before="40"/>
      </w:pPr>
      <w:r>
        <w:rPr>
          <w:rFonts w:ascii="Arial" w:cs="Arial" w:eastAsia="Arial" w:hAnsi="Arial"/>
          <w:color w:val="333333"/>
          <w:sz w:val="22"/>
          <w:szCs w:val="22"/>
        </w:rPr>
        <w:t xml:space="preserve">Mettre en conformité dès le départ avec les réglementations CEDEAO sur les données</w:t>
      </w:r>
    </w:p>
    <w:p>
      <w:pPr>
        <w:pStyle w:val="ListParagraph"/>
        <w:numPr>
          <w:ilvl w:val="0"/>
          <w:numId w:val="2"/>
        </w:numPr>
        <w:spacing w:after="40" w:before="40"/>
      </w:pPr>
      <w:r>
        <w:rPr>
          <w:rFonts w:ascii="Arial" w:cs="Arial" w:eastAsia="Arial" w:hAnsi="Arial"/>
          <w:color w:val="333333"/>
          <w:sz w:val="22"/>
          <w:szCs w:val="22"/>
        </w:rPr>
        <w:t xml:space="preserve">Développer un réseau de partenaires locaux (FAI, opérateurs, entreprises)</w:t>
      </w:r>
    </w:p>
    <w:p>
      <w:pPr>
        <w:spacing w:after="120" w:before="120"/>
      </w:pPr>
      <w:r>
        <w:t xml:space="preserve"/>
      </w:r>
    </w:p>
    <w:p>
      <w:pPr>
        <w:pStyle w:val="Heading2"/>
        <w:spacing w:after="120" w:before="240"/>
      </w:pPr>
      <w:r>
        <w:rPr>
          <w:rFonts w:ascii="Arial" w:cs="Arial" w:eastAsia="Arial" w:hAnsi="Arial"/>
          <w:b/>
          <w:bCs/>
          <w:color w:val="0D7377"/>
          <w:sz w:val="26"/>
          <w:szCs w:val="26"/>
        </w:rPr>
        <w:t xml:space="preserve">3.10 Planning d'exécution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4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Activités clés</w:t>
            </w:r>
          </w:p>
        </w:tc>
        <w:tc>
          <w:tcPr>
            <w:tcW w:type="dxa" w:w="2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Période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 Fondation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Constitution SARL, mise en place équipe, R&amp;D architecture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Mois 1-2</w:t>
            </w:r>
          </w:p>
        </w:tc>
      </w:tr>
      <w:tr>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Phase 2 : Développement</w:t>
            </w:r>
          </w:p>
        </w:tc>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Développement MVP, intégration IA, infrastructure cloud</w:t>
            </w:r>
          </w:p>
        </w:tc>
        <w:tc>
          <w:tcPr>
            <w:tcW w:type="dxa" w:w="2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Mois 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 : Validation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Beta privée 100 utilisateurs, collecte feedback, itérations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Mois 5-6</w:t>
            </w:r>
          </w:p>
        </w:tc>
      </w:tr>
      <w:tr>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Phase 4 : Lancement</w:t>
            </w:r>
          </w:p>
        </w:tc>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Lancement public à Lomé, campagne marketing, 1ères ventes</w:t>
            </w:r>
          </w:p>
        </w:tc>
        <w:tc>
          <w:tcPr>
            <w:tcW w:type="dxa" w:w="2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Mois 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5 : Croissance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 Togo, expansion Bénin/Côte d'Ivoire, produit B2B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Mois 8-12</w:t>
            </w:r>
          </w:p>
        </w:tc>
      </w:tr>
      <w:tr>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Phase 6 : Expansion</w:t>
            </w:r>
          </w:p>
        </w:tc>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Sénégal, Ghana, levée de fonds Série A</w:t>
            </w:r>
          </w:p>
        </w:tc>
        <w:tc>
          <w:tcPr>
            <w:tcW w:type="dxa" w:w="2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An 2+</w:t>
            </w:r>
          </w:p>
        </w:tc>
      </w:tr>
    </w:tbl>
    <w:p>
      <w:r>
        <w:br w:type="page"/>
      </w:r>
    </w:p>
    <w:p>
      <w:pPr>
        <w:pStyle w:val="Heading1"/>
        <w:spacing w:after="160" w:before="320"/>
      </w:pPr>
      <w:r>
        <w:rPr>
          <w:rFonts w:ascii="Arial" w:cs="Arial" w:eastAsia="Arial" w:hAnsi="Arial"/>
          <w:b/>
          <w:bCs/>
          <w:color w:val="1A3C5E"/>
          <w:sz w:val="32"/>
          <w:szCs w:val="32"/>
        </w:rPr>
        <w:t xml:space="preserve">IV. ÉTUDE DE MARCHÉ</w:t>
      </w:r>
    </w:p>
    <w:p>
      <w:pPr>
        <w:pStyle w:val="Heading2"/>
        <w:spacing w:after="120" w:before="240"/>
      </w:pPr>
      <w:r>
        <w:rPr>
          <w:rFonts w:ascii="Arial" w:cs="Arial" w:eastAsia="Arial" w:hAnsi="Arial"/>
          <w:b/>
          <w:bCs/>
          <w:color w:val="0D7377"/>
          <w:sz w:val="26"/>
          <w:szCs w:val="26"/>
        </w:rPr>
        <w:t xml:space="preserve">4.1 Segmentation de la clientèle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Segment</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Taille estimée (Togo)</w:t>
            </w:r>
          </w:p>
        </w:tc>
        <w:tc>
          <w:tcPr>
            <w:tcW w:type="dxa" w:w="1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Potentiel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Professionnels urbains (25-45 ans)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Cadres, entrepreneurs, freelancers utilisant la messagerie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~80 000 personnes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Élevé</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Étudiants universitaires</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Gestion de groupes de travail, coordination de projets</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~50 000 étudiants</w:t>
            </w:r>
          </w:p>
        </w:tc>
        <w:tc>
          <w:tcPr>
            <w:tcW w:type="dxa" w:w="1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Moyen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PME &amp; startups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Coordination d'équipe, suivi clients, gestion projets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~5 000 entreprises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Très élevé</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Grande entreprise / Corporate</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Messagerie interne augmentée, analytics conversationnels</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~200 entreprises</w:t>
            </w:r>
          </w:p>
        </w:tc>
        <w:tc>
          <w:tcPr>
            <w:tcW w:type="dxa" w:w="1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Stratégique</w:t>
            </w:r>
          </w:p>
        </w:tc>
      </w:tr>
    </w:tbl>
    <w:p>
      <w:pPr>
        <w:spacing w:after="120" w:before="120"/>
      </w:pPr>
      <w:r>
        <w:t xml:space="preserve"/>
      </w:r>
    </w:p>
    <w:p>
      <w:pPr>
        <w:pStyle w:val="Heading2"/>
        <w:spacing w:after="120" w:before="240"/>
      </w:pPr>
      <w:r>
        <w:rPr>
          <w:rFonts w:ascii="Arial" w:cs="Arial" w:eastAsia="Arial" w:hAnsi="Arial"/>
          <w:b/>
          <w:bCs/>
          <w:color w:val="0D7377"/>
          <w:sz w:val="26"/>
          <w:szCs w:val="26"/>
        </w:rPr>
        <w:t xml:space="preserve">4.2 Analyse de la concurrence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Concurrent</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Forces</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Faiblesses</w:t>
            </w:r>
          </w:p>
        </w:tc>
        <w:tc>
          <w:tcPr>
            <w:tcW w:type="dxa" w:w="2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Positionnement Murmura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(Meta)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Réseau immense, gratuit, simple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 d'IA avancée, données exploitées par Meta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IA contextuelle supérieure</w:t>
            </w:r>
          </w:p>
        </w:tc>
      </w:tr>
      <w:tr>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Telegram</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Open source, bots programmables</w:t>
            </w:r>
          </w:p>
        </w:tc>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Complexe, pas d'IA native, peu adapté Afrique</w:t>
            </w:r>
          </w:p>
        </w:tc>
        <w:tc>
          <w:tcPr>
            <w:tcW w:type="dxa" w:w="2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UX simple + IA native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Microsoft Teams 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Puissant en entreprise, copilot intégré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Très cher, inadapté PME africaines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Abordable, local</w:t>
            </w:r>
          </w:p>
        </w:tc>
      </w:tr>
      <w:tr>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ChatGPT/Claude</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IA générative puissante</w:t>
            </w:r>
          </w:p>
        </w:tc>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Pas de messagerie, silos d'information</w:t>
            </w:r>
          </w:p>
        </w:tc>
        <w:tc>
          <w:tcPr>
            <w:tcW w:type="dxa" w:w="2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Fusion messagerie+IA</w:t>
            </w:r>
          </w:p>
        </w:tc>
      </w:tr>
    </w:tbl>
    <w:p>
      <w:pPr>
        <w:spacing w:after="120" w:before="120"/>
      </w:pPr>
      <w:r>
        <w:t xml:space="preserve"/>
      </w:r>
    </w:p>
    <w:p>
      <w:pPr>
        <w:pStyle w:val="Heading2"/>
        <w:spacing w:after="120" w:before="240"/>
      </w:pPr>
      <w:r>
        <w:rPr>
          <w:rFonts w:ascii="Arial" w:cs="Arial" w:eastAsia="Arial" w:hAnsi="Arial"/>
          <w:b/>
          <w:bCs/>
          <w:color w:val="0D7377"/>
          <w:sz w:val="26"/>
          <w:szCs w:val="26"/>
        </w:rPr>
        <w:t xml:space="preserve">4.3 Fournisseurs et partenaires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Fournisseur/Partenaire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Amazon Web Services (AWS)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Infrastructure Cloud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Hébergement application, base de données, CDN</w:t>
            </w:r>
          </w:p>
        </w:tc>
      </w:tr>
      <w:tr>
        <w:tc>
          <w:tcPr>
            <w:tcW w:type="dxa" w:w="3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Anthropic / OpenAI</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APIs IA</w:t>
            </w:r>
          </w:p>
        </w:tc>
        <w:tc>
          <w:tcPr>
            <w:tcW w:type="dxa" w:w="41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Modèles de langage pour l'IA conversationnelle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Firebase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as a Service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Authentification, notifications push, analytics</w:t>
            </w:r>
          </w:p>
        </w:tc>
      </w:tr>
      <w:tr>
        <w:tc>
          <w:tcPr>
            <w:tcW w:type="dxa" w:w="3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Togocom / Moov Africa</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Partenaires télécoms</w:t>
            </w:r>
          </w:p>
        </w:tc>
        <w:tc>
          <w:tcPr>
            <w:tcW w:type="dxa" w:w="41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Distribution, bundle data, paiement mobile (T-Money, Flooz)</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IJE-UniPod / CEF Lomé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Incubateur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Accompagnement, réseau, financement initial</w:t>
            </w:r>
          </w:p>
        </w:tc>
      </w:tr>
    </w:tbl>
    <w:p>
      <w:pPr>
        <w:spacing w:after="120" w:before="120"/>
      </w:pPr>
      <w:r>
        <w:t xml:space="preserve"/>
      </w:r>
    </w:p>
    <w:p>
      <w:pPr>
        <w:pStyle w:val="Heading2"/>
        <w:spacing w:after="120" w:before="240"/>
      </w:pPr>
      <w:r>
        <w:rPr>
          <w:rFonts w:ascii="Arial" w:cs="Arial" w:eastAsia="Arial" w:hAnsi="Arial"/>
          <w:b/>
          <w:bCs/>
          <w:color w:val="0D7377"/>
          <w:sz w:val="26"/>
          <w:szCs w:val="26"/>
        </w:rPr>
        <w:t xml:space="preserve">4.4 Stratégie commerciale</w:t>
      </w:r>
    </w:p>
    <w:p>
      <w:pPr>
        <w:pStyle w:val="Heading3"/>
        <w:spacing w:after="80" w:before="180"/>
      </w:pPr>
      <w:r>
        <w:rPr>
          <w:rFonts w:ascii="Arial" w:cs="Arial" w:eastAsia="Arial" w:hAnsi="Arial"/>
          <w:b/>
          <w:bCs/>
          <w:color w:val="333333"/>
          <w:sz w:val="24"/>
          <w:szCs w:val="24"/>
        </w:rPr>
        <w:t xml:space="preserve">4.4.1 Produit (Product)</w:t>
      </w:r>
    </w:p>
    <w:p>
      <w:pPr>
        <w:spacing w:after="120" w:before="60"/>
      </w:pPr>
      <w:r>
        <w:rPr>
          <w:rFonts w:ascii="Arial" w:cs="Arial" w:eastAsia="Arial" w:hAnsi="Arial"/>
          <w:color w:val="333333"/>
          <w:sz w:val="22"/>
          <w:szCs w:val="22"/>
        </w:rPr>
        <w:t xml:space="preserve">Murmura adopte une stratégie de lancement progressive : d'abord un MVP (Minimum Viable Product) fonctionnel avec les fonctionnalités core (messagerie + suggestions IA), puis itérations rapides basées sur les retours utilisateurs. Le produit sera disponible sur Android (prioritaire pour l'Afrique), iOS et web.</w:t>
      </w:r>
    </w:p>
    <w:p>
      <w:pPr>
        <w:pStyle w:val="Heading3"/>
        <w:spacing w:after="80" w:before="180"/>
      </w:pPr>
      <w:r>
        <w:rPr>
          <w:rFonts w:ascii="Arial" w:cs="Arial" w:eastAsia="Arial" w:hAnsi="Arial"/>
          <w:b/>
          <w:bCs/>
          <w:color w:val="333333"/>
          <w:sz w:val="24"/>
          <w:szCs w:val="24"/>
        </w:rPr>
        <w:t xml:space="preserve">4.4.2 Prix (Price)</w:t>
      </w:r>
    </w:p>
    <w:p>
      <w:pPr>
        <w:spacing w:after="120" w:before="60"/>
      </w:pPr>
      <w:r>
        <w:rPr>
          <w:rFonts w:ascii="Arial" w:cs="Arial" w:eastAsia="Arial" w:hAnsi="Arial"/>
          <w:color w:val="333333"/>
          <w:sz w:val="22"/>
          <w:szCs w:val="22"/>
        </w:rPr>
        <w:t xml:space="preserve">Stratégie freemium : entrée gratuite pour maximiser l'adoption, monétisation via abonnement premium (2 000 FCFA/mois). Comparé aux outils occidentaux équivalents (10-20 USD/mois), Murmura est jusqu'à 5x moins cher, ce qui constitue un avantage concurrentiel décisif.</w:t>
      </w:r>
    </w:p>
    <w:p>
      <w:pPr>
        <w:pStyle w:val="Heading3"/>
        <w:spacing w:after="80" w:before="180"/>
      </w:pPr>
      <w:r>
        <w:rPr>
          <w:rFonts w:ascii="Arial" w:cs="Arial" w:eastAsia="Arial" w:hAnsi="Arial"/>
          <w:b/>
          <w:bCs/>
          <w:color w:val="333333"/>
          <w:sz w:val="24"/>
          <w:szCs w:val="24"/>
        </w:rPr>
        <w:t xml:space="preserve">4.4.3 Distribution (Place)</w:t>
      </w:r>
    </w:p>
    <w:p>
      <w:pPr>
        <w:pStyle w:val="ListParagraph"/>
        <w:numPr>
          <w:ilvl w:val="0"/>
          <w:numId w:val="2"/>
        </w:numPr>
        <w:spacing w:after="40" w:before="40"/>
      </w:pPr>
      <w:r>
        <w:rPr>
          <w:rFonts w:ascii="Arial" w:cs="Arial" w:eastAsia="Arial" w:hAnsi="Arial"/>
          <w:color w:val="333333"/>
          <w:sz w:val="22"/>
          <w:szCs w:val="22"/>
        </w:rPr>
        <w:t xml:space="preserve">App Store (Google Play, Apple App Store) — canal principal</w:t>
      </w:r>
    </w:p>
    <w:p>
      <w:pPr>
        <w:pStyle w:val="ListParagraph"/>
        <w:numPr>
          <w:ilvl w:val="0"/>
          <w:numId w:val="2"/>
        </w:numPr>
        <w:spacing w:after="40" w:before="40"/>
      </w:pPr>
      <w:r>
        <w:rPr>
          <w:rFonts w:ascii="Arial" w:cs="Arial" w:eastAsia="Arial" w:hAnsi="Arial"/>
          <w:color w:val="333333"/>
          <w:sz w:val="22"/>
          <w:szCs w:val="22"/>
        </w:rPr>
        <w:t xml:space="preserve">Site web direct avec essai gratuit</w:t>
      </w:r>
    </w:p>
    <w:p>
      <w:pPr>
        <w:pStyle w:val="ListParagraph"/>
        <w:numPr>
          <w:ilvl w:val="0"/>
          <w:numId w:val="2"/>
        </w:numPr>
        <w:spacing w:after="40" w:before="40"/>
      </w:pPr>
      <w:r>
        <w:rPr>
          <w:rFonts w:ascii="Arial" w:cs="Arial" w:eastAsia="Arial" w:hAnsi="Arial"/>
          <w:color w:val="333333"/>
          <w:sz w:val="22"/>
          <w:szCs w:val="22"/>
        </w:rPr>
        <w:t xml:space="preserve">Partenariats avec opérateurs télécoms pour bundle data</w:t>
      </w:r>
    </w:p>
    <w:p>
      <w:pPr>
        <w:pStyle w:val="ListParagraph"/>
        <w:numPr>
          <w:ilvl w:val="0"/>
          <w:numId w:val="2"/>
        </w:numPr>
        <w:spacing w:after="40" w:before="40"/>
      </w:pPr>
      <w:r>
        <w:rPr>
          <w:rFonts w:ascii="Arial" w:cs="Arial" w:eastAsia="Arial" w:hAnsi="Arial"/>
          <w:color w:val="333333"/>
          <w:sz w:val="22"/>
          <w:szCs w:val="22"/>
        </w:rPr>
        <w:t xml:space="preserve">Distribution B2B via équipe commerciale directe</w:t>
      </w:r>
    </w:p>
    <w:p>
      <w:pPr>
        <w:pStyle w:val="Heading3"/>
        <w:spacing w:after="80" w:before="180"/>
      </w:pPr>
      <w:r>
        <w:rPr>
          <w:rFonts w:ascii="Arial" w:cs="Arial" w:eastAsia="Arial" w:hAnsi="Arial"/>
          <w:b/>
          <w:bCs/>
          <w:color w:val="333333"/>
          <w:sz w:val="24"/>
          <w:szCs w:val="24"/>
        </w:rPr>
        <w:t xml:space="preserve">4.4.4 Promotion</w:t>
      </w:r>
    </w:p>
    <w:p>
      <w:pPr>
        <w:pStyle w:val="ListParagraph"/>
        <w:numPr>
          <w:ilvl w:val="0"/>
          <w:numId w:val="2"/>
        </w:numPr>
        <w:spacing w:after="40" w:before="40"/>
      </w:pPr>
      <w:r>
        <w:rPr>
          <w:rFonts w:ascii="Arial" w:cs="Arial" w:eastAsia="Arial" w:hAnsi="Arial"/>
          <w:color w:val="333333"/>
          <w:sz w:val="22"/>
          <w:szCs w:val="22"/>
        </w:rPr>
        <w:t xml:space="preserve">Marketing digital : LinkedIn, Twitter/X, TikTok, YouTube (tutoriels IA)</w:t>
      </w:r>
    </w:p>
    <w:p>
      <w:pPr>
        <w:pStyle w:val="ListParagraph"/>
        <w:numPr>
          <w:ilvl w:val="0"/>
          <w:numId w:val="2"/>
        </w:numPr>
        <w:spacing w:after="40" w:before="40"/>
      </w:pPr>
      <w:r>
        <w:rPr>
          <w:rFonts w:ascii="Arial" w:cs="Arial" w:eastAsia="Arial" w:hAnsi="Arial"/>
          <w:color w:val="333333"/>
          <w:sz w:val="22"/>
          <w:szCs w:val="22"/>
        </w:rPr>
        <w:t xml:space="preserve">Communautés tech : événements startup, hackathons, conférences</w:t>
      </w:r>
    </w:p>
    <w:p>
      <w:pPr>
        <w:pStyle w:val="ListParagraph"/>
        <w:numPr>
          <w:ilvl w:val="0"/>
          <w:numId w:val="2"/>
        </w:numPr>
        <w:spacing w:after="40" w:before="40"/>
      </w:pPr>
      <w:r>
        <w:rPr>
          <w:rFonts w:ascii="Arial" w:cs="Arial" w:eastAsia="Arial" w:hAnsi="Arial"/>
          <w:color w:val="333333"/>
          <w:sz w:val="22"/>
          <w:szCs w:val="22"/>
        </w:rPr>
        <w:t xml:space="preserve">Programme ambassadeurs : 100 early adopters avec 3 mois gratuits</w:t>
      </w:r>
    </w:p>
    <w:p>
      <w:pPr>
        <w:pStyle w:val="ListParagraph"/>
        <w:numPr>
          <w:ilvl w:val="0"/>
          <w:numId w:val="2"/>
        </w:numPr>
        <w:spacing w:after="40" w:before="40"/>
      </w:pPr>
      <w:r>
        <w:rPr>
          <w:rFonts w:ascii="Arial" w:cs="Arial" w:eastAsia="Arial" w:hAnsi="Arial"/>
          <w:color w:val="333333"/>
          <w:sz w:val="22"/>
          <w:szCs w:val="22"/>
        </w:rPr>
        <w:t xml:space="preserve">Relations presse : médias tech africains (TechCabal, Jeune Afrique Tech)</w:t>
      </w:r>
    </w:p>
    <w:p>
      <w:pPr>
        <w:pStyle w:val="ListParagraph"/>
        <w:numPr>
          <w:ilvl w:val="0"/>
          <w:numId w:val="2"/>
        </w:numPr>
        <w:spacing w:after="40" w:before="40"/>
      </w:pPr>
      <w:r>
        <w:rPr>
          <w:rFonts w:ascii="Arial" w:cs="Arial" w:eastAsia="Arial" w:hAnsi="Arial"/>
          <w:color w:val="333333"/>
          <w:sz w:val="22"/>
          <w:szCs w:val="22"/>
        </w:rPr>
        <w:t xml:space="preserve">Marketing de contenu : blog, newsletter sur l'IA en Afrique</w:t>
      </w:r>
    </w:p>
    <w:p>
      <w:pPr>
        <w:pStyle w:val="Heading3"/>
        <w:spacing w:after="80" w:before="180"/>
      </w:pPr>
      <w:r>
        <w:rPr>
          <w:rFonts w:ascii="Arial" w:cs="Arial" w:eastAsia="Arial" w:hAnsi="Arial"/>
          <w:b/>
          <w:bCs/>
          <w:color w:val="333333"/>
          <w:sz w:val="24"/>
          <w:szCs w:val="24"/>
        </w:rPr>
        <w:t xml:space="preserve">4.4.5 Autres stratégies</w:t>
      </w:r>
    </w:p>
    <w:p>
      <w:pPr>
        <w:pStyle w:val="ListParagraph"/>
        <w:numPr>
          <w:ilvl w:val="0"/>
          <w:numId w:val="2"/>
        </w:numPr>
        <w:spacing w:after="40" w:before="40"/>
      </w:pPr>
      <w:r>
        <w:rPr>
          <w:rFonts w:ascii="Arial" w:cs="Arial" w:eastAsia="Arial" w:hAnsi="Arial"/>
          <w:color w:val="333333"/>
          <w:sz w:val="22"/>
          <w:szCs w:val="22"/>
        </w:rPr>
        <w:t xml:space="preserve">Referral program : +1 mois gratuit pour chaque filleul converti</w:t>
      </w:r>
    </w:p>
    <w:p>
      <w:pPr>
        <w:pStyle w:val="ListParagraph"/>
        <w:numPr>
          <w:ilvl w:val="0"/>
          <w:numId w:val="2"/>
        </w:numPr>
        <w:spacing w:after="40" w:before="40"/>
      </w:pPr>
      <w:r>
        <w:rPr>
          <w:rFonts w:ascii="Arial" w:cs="Arial" w:eastAsia="Arial" w:hAnsi="Arial"/>
          <w:color w:val="333333"/>
          <w:sz w:val="22"/>
          <w:szCs w:val="22"/>
        </w:rPr>
        <w:t xml:space="preserve">Partenariats universités : licences étudiantes à tarif préférentiel</w:t>
      </w:r>
    </w:p>
    <w:p>
      <w:pPr>
        <w:pStyle w:val="ListParagraph"/>
        <w:numPr>
          <w:ilvl w:val="0"/>
          <w:numId w:val="2"/>
        </w:numPr>
        <w:spacing w:after="40" w:before="40"/>
      </w:pPr>
      <w:r>
        <w:rPr>
          <w:rFonts w:ascii="Arial" w:cs="Arial" w:eastAsia="Arial" w:hAnsi="Arial"/>
          <w:color w:val="333333"/>
          <w:sz w:val="22"/>
          <w:szCs w:val="22"/>
        </w:rPr>
        <w:t xml:space="preserve">Intégrations : compatibilité WhatsApp/Telegram (bridge) pour réduire la friction de migration</w:t>
      </w:r>
    </w:p>
    <w:p>
      <w:r>
        <w:br w:type="page"/>
      </w:r>
    </w:p>
    <w:p>
      <w:pPr>
        <w:pStyle w:val="Heading1"/>
        <w:spacing w:after="160" w:before="320"/>
      </w:pPr>
      <w:r>
        <w:rPr>
          <w:rFonts w:ascii="Arial" w:cs="Arial" w:eastAsia="Arial" w:hAnsi="Arial"/>
          <w:b/>
          <w:bCs/>
          <w:color w:val="1A3C5E"/>
          <w:sz w:val="32"/>
          <w:szCs w:val="32"/>
        </w:rPr>
        <w:t xml:space="preserve">V. ÉTUDE FINANCIÈRE</w:t>
      </w:r>
    </w:p>
    <w:p>
      <w:pPr>
        <w:pStyle w:val="Heading2"/>
        <w:spacing w:after="120" w:before="240"/>
      </w:pPr>
      <w:r>
        <w:rPr>
          <w:rFonts w:ascii="Arial" w:cs="Arial" w:eastAsia="Arial" w:hAnsi="Arial"/>
          <w:b/>
          <w:bCs/>
          <w:color w:val="0D7377"/>
          <w:sz w:val="26"/>
          <w:szCs w:val="26"/>
        </w:rPr>
        <w:t xml:space="preserve">5.1 Investissements et équipements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600"/>
        <w:gridCol w:w="2000"/>
        <w:gridCol w:w="2000"/>
        <w:gridCol w:w="1360"/>
      </w:tblGrid>
      <w:tr>
        <w:trPr>
          <w:tblHeader/>
        </w:trPr>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Désignation</w:t>
            </w:r>
          </w:p>
        </w:tc>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Qté</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Prix Unitaire (FCFA)</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Montant (FCFA)</w:t>
            </w:r>
          </w:p>
        </w:tc>
        <w:tc>
          <w:tcPr>
            <w:tcW w:type="dxa" w:w="1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Durée amort.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Ordinateurs portables dev (i7, 16Go RAM)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350 000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1 050 000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ans</w:t>
            </w:r>
          </w:p>
        </w:tc>
      </w:tr>
      <w:tr>
        <w:tc>
          <w:tcPr>
            <w:tcW w:type="dxa" w:w="3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Serveur NAS</w:t>
            </w:r>
          </w:p>
        </w:tc>
        <w:tc>
          <w:tcPr>
            <w:tcW w:type="dxa" w:w="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200 000</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200 000</w:t>
            </w:r>
          </w:p>
        </w:tc>
        <w:tc>
          <w:tcPr>
            <w:tcW w:type="dxa" w:w="1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5 ans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Écrans 24" Full HD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80 000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240 000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ans</w:t>
            </w:r>
          </w:p>
        </w:tc>
      </w:tr>
      <w:tr>
        <w:tc>
          <w:tcPr>
            <w:tcW w:type="dxa" w:w="3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Mobilier bureau</w:t>
            </w:r>
          </w:p>
        </w:tc>
        <w:tc>
          <w:tcPr>
            <w:tcW w:type="dxa" w:w="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210 000</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210 000</w:t>
            </w:r>
          </w:p>
        </w:tc>
        <w:tc>
          <w:tcPr>
            <w:tcW w:type="dxa" w:w="1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5 ans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Infrastructure cloud initiale (setup)</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500 000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500 000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an</w:t>
            </w:r>
          </w:p>
        </w:tc>
      </w:tr>
      <w:tr>
        <w:tc>
          <w:tcPr>
            <w:tcW w:type="dxa" w:w="3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Licences logicielles An 1</w:t>
            </w:r>
          </w:p>
        </w:tc>
        <w:tc>
          <w:tcPr>
            <w:tcW w:type="dxa" w:w="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800 000</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800 000</w:t>
            </w:r>
          </w:p>
        </w:tc>
        <w:tc>
          <w:tcPr>
            <w:tcW w:type="dxa" w:w="1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 an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IMMOBILISATIONS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3 000 000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120" w:before="120"/>
      </w:pPr>
      <w:r>
        <w:t xml:space="preserve"/>
      </w:r>
    </w:p>
    <w:p>
      <w:pPr>
        <w:pStyle w:val="Heading2"/>
        <w:spacing w:after="120" w:before="240"/>
      </w:pPr>
      <w:r>
        <w:rPr>
          <w:rFonts w:ascii="Arial" w:cs="Arial" w:eastAsia="Arial" w:hAnsi="Arial"/>
          <w:b/>
          <w:bCs/>
          <w:color w:val="0D7377"/>
          <w:sz w:val="26"/>
          <w:szCs w:val="26"/>
        </w:rPr>
        <w:t xml:space="preserve">5.2 Besoins en Fonds de Roulement (BFR)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Montant mensuel (FCFA)</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Nb de mois de couverture</w:t>
            </w:r>
          </w:p>
        </w:tc>
        <w:tc>
          <w:tcPr>
            <w:tcW w:type="dxa" w:w="2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Montant BFR (FCFA)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Masse salariale (5 personnes)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680 000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2 040 000</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Infrastructure cloud &amp; APIs</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220 000</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660 000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Marketing &amp; communication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150 000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300 000</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Loyer co-working + charges</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100 000</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300 000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Divers &amp; imprévus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330 000</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TOTAL BFR</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3 630 000</w:t>
            </w:r>
          </w:p>
        </w:tc>
      </w:tr>
    </w:tbl>
    <w:p>
      <w:pPr>
        <w:spacing w:after="120" w:before="120"/>
      </w:pPr>
      <w:r>
        <w:t xml:space="preserve"/>
      </w:r>
    </w:p>
    <w:p>
      <w:pPr>
        <w:pStyle w:val="Heading2"/>
        <w:spacing w:after="120" w:before="240"/>
      </w:pPr>
      <w:r>
        <w:rPr>
          <w:rFonts w:ascii="Arial" w:cs="Arial" w:eastAsia="Arial" w:hAnsi="Arial"/>
          <w:b/>
          <w:bCs/>
          <w:color w:val="0D7377"/>
          <w:sz w:val="26"/>
          <w:szCs w:val="26"/>
        </w:rPr>
        <w:t xml:space="preserve">5.3 Coût total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Composante</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Montant (FCFA)</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Investissements (immobilisations)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3 000 000</w:t>
            </w:r>
          </w:p>
        </w:tc>
      </w:tr>
      <w:tr>
        <w:tc>
          <w:tcPr>
            <w:tcW w:type="dxa" w:w="5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Fonds de Roulement Initial (BFR)</w:t>
            </w:r>
          </w:p>
        </w:tc>
        <w:tc>
          <w:tcPr>
            <w:tcW w:type="dxa" w:w="3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3 630 000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Frais de constitution SARL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200 000</w:t>
            </w:r>
          </w:p>
        </w:tc>
      </w:tr>
      <w:tr>
        <w:tc>
          <w:tcPr>
            <w:tcW w:type="dxa" w:w="5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Marketing de lancement</w:t>
            </w:r>
          </w:p>
        </w:tc>
        <w:tc>
          <w:tcPr>
            <w:tcW w:type="dxa" w:w="3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500 000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Réserve/imprévus (10%)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333 000</w:t>
            </w:r>
          </w:p>
        </w:tc>
      </w:tr>
      <w:tr>
        <w:tc>
          <w:tcPr>
            <w:tcW w:type="dxa" w:w="5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COÛT TOTAL DU PROJET</w:t>
            </w:r>
          </w:p>
        </w:tc>
        <w:tc>
          <w:tcPr>
            <w:tcW w:type="dxa" w:w="3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7 663 000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Arrondi planifié</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7 700 000</w:t>
            </w:r>
          </w:p>
        </w:tc>
      </w:tr>
    </w:tbl>
    <w:p>
      <w:pPr>
        <w:spacing w:after="120" w:before="120"/>
      </w:pPr>
      <w:r>
        <w:t xml:space="preserve"/>
      </w:r>
    </w:p>
    <w:p>
      <w:pPr>
        <w:pStyle w:val="Heading2"/>
        <w:spacing w:after="120" w:before="240"/>
      </w:pPr>
      <w:r>
        <w:rPr>
          <w:rFonts w:ascii="Arial" w:cs="Arial" w:eastAsia="Arial" w:hAnsi="Arial"/>
          <w:b/>
          <w:bCs/>
          <w:color w:val="0D7377"/>
          <w:sz w:val="26"/>
          <w:szCs w:val="26"/>
        </w:rPr>
        <w:t xml:space="preserve">5.4 Plan de financement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de financement</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Montant (FCFA)</w:t>
            </w:r>
          </w:p>
        </w:tc>
        <w:tc>
          <w:tcPr>
            <w:tcW w:type="dxa" w:w="2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du total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Apport personnel (numéraire)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2 000 000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26%</w:t>
            </w:r>
          </w:p>
        </w:tc>
      </w:tr>
      <w:tr>
        <w:tc>
          <w:tcPr>
            <w:tcW w:type="dxa" w:w="4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Apport en nature (équipements propres)</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1 000 000</w:t>
            </w:r>
          </w:p>
        </w:tc>
        <w:tc>
          <w:tcPr>
            <w:tcW w:type="dxa" w:w="2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Crédit/Subvention IJE-UniPod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4 700 000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61%</w:t>
            </w:r>
          </w:p>
        </w:tc>
      </w:tr>
      <w:tr>
        <w:tc>
          <w:tcPr>
            <w:tcW w:type="dxa" w:w="4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7 700 000</w:t>
            </w:r>
          </w:p>
        </w:tc>
        <w:tc>
          <w:tcPr>
            <w:tcW w:type="dxa" w:w="25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100%</w:t>
            </w:r>
          </w:p>
        </w:tc>
      </w:tr>
    </w:tbl>
    <w:p>
      <w:pPr>
        <w:spacing w:after="120" w:before="120"/>
      </w:pPr>
      <w:r>
        <w:t xml:space="preserve"/>
      </w:r>
    </w:p>
    <w:p>
      <w:pPr>
        <w:pStyle w:val="Heading2"/>
        <w:spacing w:after="120" w:before="240"/>
      </w:pPr>
      <w:r>
        <w:rPr>
          <w:rFonts w:ascii="Arial" w:cs="Arial" w:eastAsia="Arial" w:hAnsi="Arial"/>
          <w:b/>
          <w:bCs/>
          <w:color w:val="0D7377"/>
          <w:sz w:val="26"/>
          <w:szCs w:val="26"/>
        </w:rPr>
        <w:t xml:space="preserve">5.5 Chiffre d'affaires prévisionnel (3 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Produit/Service</w:t>
            </w:r>
          </w:p>
        </w:tc>
        <w:tc>
          <w:tcPr>
            <w:tcW w:type="dxa" w:w="21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Année 1 (FCFA)</w:t>
            </w:r>
          </w:p>
        </w:tc>
        <w:tc>
          <w:tcPr>
            <w:tcW w:type="dxa" w:w="21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Année 2 (FCFA)</w:t>
            </w:r>
          </w:p>
        </w:tc>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Année 3 (FCFA)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Abonnements Premium (B2C)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3 600 000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24 000 000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72 000 000</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Licences Business (B2B)</w:t>
            </w:r>
          </w:p>
        </w:tc>
        <w:tc>
          <w:tcPr>
            <w:tcW w:type="dxa" w:w="21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1 800 000</w:t>
            </w:r>
          </w:p>
        </w:tc>
        <w:tc>
          <w:tcPr>
            <w:tcW w:type="dxa" w:w="21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12 000 000</w:t>
            </w:r>
          </w:p>
        </w:tc>
        <w:tc>
          <w:tcPr>
            <w:tcW w:type="dxa" w:w="21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36 000 000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&amp; White-label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6 000 000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18 000 000</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CHIFFRE D'AFFAIRES TOTAL</w:t>
            </w:r>
          </w:p>
        </w:tc>
        <w:tc>
          <w:tcPr>
            <w:tcW w:type="dxa" w:w="21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5 400 000</w:t>
            </w:r>
          </w:p>
        </w:tc>
        <w:tc>
          <w:tcPr>
            <w:tcW w:type="dxa" w:w="21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42 000 000</w:t>
            </w:r>
          </w:p>
        </w:tc>
        <w:tc>
          <w:tcPr>
            <w:tcW w:type="dxa" w:w="21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126 000 000</w:t>
            </w:r>
          </w:p>
        </w:tc>
      </w:tr>
    </w:tbl>
    <w:p>
      <w:pPr>
        <w:spacing w:after="120" w:before="120"/>
      </w:pPr>
      <w:r>
        <w:t xml:space="preserve"/>
      </w:r>
    </w:p>
    <w:p>
      <w:pPr>
        <w:pStyle w:val="Heading2"/>
        <w:spacing w:after="120" w:before="240"/>
      </w:pPr>
      <w:r>
        <w:rPr>
          <w:rFonts w:ascii="Arial" w:cs="Arial" w:eastAsia="Arial" w:hAnsi="Arial"/>
          <w:b/>
          <w:bCs/>
          <w:color w:val="0D7377"/>
          <w:sz w:val="26"/>
          <w:szCs w:val="26"/>
        </w:rPr>
        <w:t xml:space="preserve">5.6 Compte d'exploitation prévisionnel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60"/>
      </w:tblGrid>
      <w:tr>
        <w:trPr>
          <w:tblHeader/>
        </w:trP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Poste</w:t>
            </w:r>
          </w:p>
        </w:tc>
        <w:tc>
          <w:tcPr>
            <w:tcW w:type="dxa" w:w="1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Année 1 (FCFA)</w:t>
            </w:r>
          </w:p>
        </w:tc>
        <w:tc>
          <w:tcPr>
            <w:tcW w:type="dxa" w:w="1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Année 2 (FCFA)</w:t>
            </w:r>
          </w:p>
        </w:tc>
        <w:tc>
          <w:tcPr>
            <w:tcW w:type="dxa" w:w="1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Année 3 (FCFA)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CHIFFRE D'AFFAIRES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5 400 000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42 000 000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126 000 000</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 Charges directes IA &amp; infra</w:t>
            </w:r>
          </w:p>
        </w:tc>
        <w:tc>
          <w:tcPr>
            <w:tcW w:type="dxa" w:w="1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1 380 000</w:t>
            </w:r>
          </w:p>
        </w:tc>
        <w:tc>
          <w:tcPr>
            <w:tcW w:type="dxa" w:w="1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4 800 000</w:t>
            </w:r>
          </w:p>
        </w:tc>
        <w:tc>
          <w:tcPr>
            <w:tcW w:type="dxa" w:w="1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10 800 000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MARGE BRUTE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4 020 000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37 200 000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115 200 000</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 Masse salariale</w:t>
            </w:r>
          </w:p>
        </w:tc>
        <w:tc>
          <w:tcPr>
            <w:tcW w:type="dxa" w:w="1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8 160 000</w:t>
            </w:r>
          </w:p>
        </w:tc>
        <w:tc>
          <w:tcPr>
            <w:tcW w:type="dxa" w:w="1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14 400 000</w:t>
            </w:r>
          </w:p>
        </w:tc>
        <w:tc>
          <w:tcPr>
            <w:tcW w:type="dxa" w:w="1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21 600 000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Marketing &amp; acquisition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1 800 000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4 200 000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6 300 000</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 Loyer &amp; charges générales</w:t>
            </w:r>
          </w:p>
        </w:tc>
        <w:tc>
          <w:tcPr>
            <w:tcW w:type="dxa" w:w="1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1 200 000</w:t>
            </w:r>
          </w:p>
        </w:tc>
        <w:tc>
          <w:tcPr>
            <w:tcW w:type="dxa" w:w="1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1 800 000</w:t>
            </w:r>
          </w:p>
        </w:tc>
        <w:tc>
          <w:tcPr>
            <w:tcW w:type="dxa" w:w="1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2 400 000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Amortissements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860 000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860 000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560 000</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 Frais financiers (intérêts)</w:t>
            </w:r>
          </w:p>
        </w:tc>
        <w:tc>
          <w:tcPr>
            <w:tcW w:type="dxa" w:w="1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282 000</w:t>
            </w:r>
          </w:p>
        </w:tc>
        <w:tc>
          <w:tcPr>
            <w:tcW w:type="dxa" w:w="1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188 000</w:t>
            </w:r>
          </w:p>
        </w:tc>
        <w:tc>
          <w:tcPr>
            <w:tcW w:type="dxa" w:w="1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94 000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RÉSULTAT AVANT IMPÔT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-8 282 000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11 752 000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84 246 000</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 Impôt BIC (25%)</w:t>
            </w:r>
          </w:p>
        </w:tc>
        <w:tc>
          <w:tcPr>
            <w:tcW w:type="dxa" w:w="1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1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2 938 000</w:t>
            </w:r>
          </w:p>
        </w:tc>
        <w:tc>
          <w:tcPr>
            <w:tcW w:type="dxa" w:w="19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21 062 000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RÉSULTAT NET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-8 282 000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8 814 000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63 184 000</w:t>
            </w:r>
          </w:p>
        </w:tc>
      </w:tr>
    </w:tbl>
    <w:p>
      <w:pPr>
        <w:spacing w:after="120" w:before="120"/>
      </w:pPr>
      <w:r>
        <w:t xml:space="preserve"/>
      </w:r>
    </w:p>
    <w:p>
      <w:pPr>
        <w:pStyle w:val="Heading2"/>
        <w:spacing w:after="120" w:before="240"/>
      </w:pPr>
      <w:r>
        <w:rPr>
          <w:rFonts w:ascii="Arial" w:cs="Arial" w:eastAsia="Arial" w:hAnsi="Arial"/>
          <w:b/>
          <w:bCs/>
          <w:color w:val="0D7377"/>
          <w:sz w:val="26"/>
          <w:szCs w:val="26"/>
        </w:rPr>
        <w:t xml:space="preserve">5.7 Indicateurs de rentabilité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c>
          <w:tcPr>
            <w:tcW w:type="dxa" w:w="3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Interprétation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Seuil de rentabilité mensuel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882 000 FCFA/mois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Atteint dès ~441 users Premium (mois 8-9)</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Délai de retour sur investissement</w:t>
            </w:r>
          </w:p>
        </w:tc>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18-20 mois</w:t>
            </w:r>
          </w:p>
        </w:tc>
        <w:tc>
          <w:tcPr>
            <w:tcW w:type="dxa" w:w="38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Rentabilité en An 2 (mois 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de croissance An 1→An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+678%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d'hypercroissance</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Marge nette An 3</w:t>
            </w:r>
          </w:p>
        </w:tc>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38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Modèle SaaS à forte marge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Valeur Actuelle Nette (VAN - 3 ans)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50 000 000 FCFA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Projet hautement rentable</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TRI (Taux de Rentabilité Interne)</w:t>
            </w:r>
          </w:p>
        </w:tc>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&gt; 120%</w:t>
            </w:r>
          </w:p>
        </w:tc>
        <w:tc>
          <w:tcPr>
            <w:tcW w:type="dxa" w:w="38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33333"/>
                <w:sz w:val="20"/>
                <w:szCs w:val="20"/>
              </w:rPr>
              <w:t xml:space="preserve">Retour exceptionnel pour les investisseurs</w:t>
            </w:r>
          </w:p>
        </w:tc>
      </w:tr>
    </w:tbl>
    <w:p>
      <w:r>
        <w:br w:type="page"/>
      </w:r>
    </w:p>
    <w:p>
      <w:pPr>
        <w:pStyle w:val="Heading1"/>
        <w:spacing w:after="160" w:before="320"/>
      </w:pPr>
      <w:r>
        <w:rPr>
          <w:rFonts w:ascii="Arial" w:cs="Arial" w:eastAsia="Arial" w:hAnsi="Arial"/>
          <w:b/>
          <w:bCs/>
          <w:color w:val="1A3C5E"/>
          <w:sz w:val="32"/>
          <w:szCs w:val="32"/>
        </w:rPr>
        <w:t xml:space="preserve">VI. IMPACTS DU PROJET</w:t>
      </w:r>
    </w:p>
    <w:p>
      <w:pPr>
        <w:pStyle w:val="Heading2"/>
        <w:spacing w:after="120" w:before="240"/>
      </w:pPr>
      <w:r>
        <w:rPr>
          <w:rFonts w:ascii="Arial" w:cs="Arial" w:eastAsia="Arial" w:hAnsi="Arial"/>
          <w:b/>
          <w:bCs/>
          <w:color w:val="0D7377"/>
          <w:sz w:val="26"/>
          <w:szCs w:val="26"/>
        </w:rPr>
        <w:t xml:space="preserve">6.1 Impacts économiques</w:t>
      </w:r>
    </w:p>
    <w:p>
      <w:pPr>
        <w:pStyle w:val="ListParagraph"/>
        <w:numPr>
          <w:ilvl w:val="0"/>
          <w:numId w:val="2"/>
        </w:numPr>
        <w:spacing w:after="40" w:before="40"/>
      </w:pPr>
      <w:r>
        <w:rPr>
          <w:rFonts w:ascii="Arial" w:cs="Arial" w:eastAsia="Arial" w:hAnsi="Arial"/>
          <w:color w:val="333333"/>
          <w:sz w:val="22"/>
          <w:szCs w:val="22"/>
        </w:rPr>
        <w:t xml:space="preserve">Création de 5 emplois directs qualifiés dès l'An 1, 15 à l'An 3</w:t>
      </w:r>
    </w:p>
    <w:p>
      <w:pPr>
        <w:pStyle w:val="ListParagraph"/>
        <w:numPr>
          <w:ilvl w:val="0"/>
          <w:numId w:val="2"/>
        </w:numPr>
        <w:spacing w:after="40" w:before="40"/>
      </w:pPr>
      <w:r>
        <w:rPr>
          <w:rFonts w:ascii="Arial" w:cs="Arial" w:eastAsia="Arial" w:hAnsi="Arial"/>
          <w:color w:val="333333"/>
          <w:sz w:val="22"/>
          <w:szCs w:val="22"/>
        </w:rPr>
        <w:t xml:space="preserve">Génération de valeur dans l'écosystème numérique togolais</w:t>
      </w:r>
    </w:p>
    <w:p>
      <w:pPr>
        <w:pStyle w:val="ListParagraph"/>
        <w:numPr>
          <w:ilvl w:val="0"/>
          <w:numId w:val="2"/>
        </w:numPr>
        <w:spacing w:after="40" w:before="40"/>
      </w:pPr>
      <w:r>
        <w:rPr>
          <w:rFonts w:ascii="Arial" w:cs="Arial" w:eastAsia="Arial" w:hAnsi="Arial"/>
          <w:color w:val="333333"/>
          <w:sz w:val="22"/>
          <w:szCs w:val="22"/>
        </w:rPr>
        <w:t xml:space="preserve">Contribution à la diversification de l'économie numérique locale</w:t>
      </w:r>
    </w:p>
    <w:p>
      <w:pPr>
        <w:pStyle w:val="ListParagraph"/>
        <w:numPr>
          <w:ilvl w:val="0"/>
          <w:numId w:val="2"/>
        </w:numPr>
        <w:spacing w:after="40" w:before="40"/>
      </w:pPr>
      <w:r>
        <w:rPr>
          <w:rFonts w:ascii="Arial" w:cs="Arial" w:eastAsia="Arial" w:hAnsi="Arial"/>
          <w:color w:val="333333"/>
          <w:sz w:val="22"/>
          <w:szCs w:val="22"/>
        </w:rPr>
        <w:t xml:space="preserve">Attraction potentielle d'investissements étrangers dans l'écosystème tech togolais</w:t>
      </w:r>
    </w:p>
    <w:p>
      <w:pPr>
        <w:pStyle w:val="ListParagraph"/>
        <w:numPr>
          <w:ilvl w:val="0"/>
          <w:numId w:val="2"/>
        </w:numPr>
        <w:spacing w:after="40" w:before="40"/>
      </w:pPr>
      <w:r>
        <w:rPr>
          <w:rFonts w:ascii="Arial" w:cs="Arial" w:eastAsia="Arial" w:hAnsi="Arial"/>
          <w:color w:val="333333"/>
          <w:sz w:val="22"/>
          <w:szCs w:val="22"/>
        </w:rPr>
        <w:t xml:space="preserve">Formation et montée en compétences de talents locaux en IA et développement</w:t>
      </w:r>
    </w:p>
    <w:p>
      <w:pPr>
        <w:spacing w:after="120" w:before="120"/>
      </w:pPr>
      <w:r>
        <w:t xml:space="preserve"/>
      </w:r>
    </w:p>
    <w:p>
      <w:pPr>
        <w:pStyle w:val="Heading2"/>
        <w:spacing w:after="120" w:before="240"/>
      </w:pPr>
      <w:r>
        <w:rPr>
          <w:rFonts w:ascii="Arial" w:cs="Arial" w:eastAsia="Arial" w:hAnsi="Arial"/>
          <w:b/>
          <w:bCs/>
          <w:color w:val="0D7377"/>
          <w:sz w:val="26"/>
          <w:szCs w:val="26"/>
        </w:rPr>
        <w:t xml:space="preserve">6.2 Impacts sociaux</w:t>
      </w:r>
    </w:p>
    <w:p>
      <w:pPr>
        <w:pStyle w:val="ListParagraph"/>
        <w:numPr>
          <w:ilvl w:val="0"/>
          <w:numId w:val="2"/>
        </w:numPr>
        <w:spacing w:after="40" w:before="40"/>
      </w:pPr>
      <w:r>
        <w:rPr>
          <w:rFonts w:ascii="Arial" w:cs="Arial" w:eastAsia="Arial" w:hAnsi="Arial"/>
          <w:color w:val="333333"/>
          <w:sz w:val="22"/>
          <w:szCs w:val="22"/>
        </w:rPr>
        <w:t xml:space="preserve">Amélioration de la productivité des professionnels et PME</w:t>
      </w:r>
    </w:p>
    <w:p>
      <w:pPr>
        <w:pStyle w:val="ListParagraph"/>
        <w:numPr>
          <w:ilvl w:val="0"/>
          <w:numId w:val="2"/>
        </w:numPr>
        <w:spacing w:after="40" w:before="40"/>
      </w:pPr>
      <w:r>
        <w:rPr>
          <w:rFonts w:ascii="Arial" w:cs="Arial" w:eastAsia="Arial" w:hAnsi="Arial"/>
          <w:color w:val="333333"/>
          <w:sz w:val="22"/>
          <w:szCs w:val="22"/>
        </w:rPr>
        <w:t xml:space="preserve">Démocratisation de l'accès aux outils IA pour les entreprises africaines</w:t>
      </w:r>
    </w:p>
    <w:p>
      <w:pPr>
        <w:pStyle w:val="ListParagraph"/>
        <w:numPr>
          <w:ilvl w:val="0"/>
          <w:numId w:val="2"/>
        </w:numPr>
        <w:spacing w:after="40" w:before="40"/>
      </w:pPr>
      <w:r>
        <w:rPr>
          <w:rFonts w:ascii="Arial" w:cs="Arial" w:eastAsia="Arial" w:hAnsi="Arial"/>
          <w:color w:val="333333"/>
          <w:sz w:val="22"/>
          <w:szCs w:val="22"/>
        </w:rPr>
        <w:t xml:space="preserve">Réduction de la fracture numérique entre l'Afrique et les marchés occidentaux</w:t>
      </w:r>
    </w:p>
    <w:p>
      <w:pPr>
        <w:pStyle w:val="ListParagraph"/>
        <w:numPr>
          <w:ilvl w:val="0"/>
          <w:numId w:val="2"/>
        </w:numPr>
        <w:spacing w:after="40" w:before="40"/>
      </w:pPr>
      <w:r>
        <w:rPr>
          <w:rFonts w:ascii="Arial" w:cs="Arial" w:eastAsia="Arial" w:hAnsi="Arial"/>
          <w:color w:val="333333"/>
          <w:sz w:val="22"/>
          <w:szCs w:val="22"/>
        </w:rPr>
        <w:t xml:space="preserve">Programme d'inclusion : tarifs étudiants et ONG à 50% de réduction</w:t>
      </w:r>
    </w:p>
    <w:p>
      <w:pPr>
        <w:spacing w:after="120" w:before="120"/>
      </w:pPr>
      <w:r>
        <w:t xml:space="preserve"/>
      </w:r>
    </w:p>
    <w:p>
      <w:pPr>
        <w:pStyle w:val="Heading2"/>
        <w:spacing w:after="120" w:before="240"/>
      </w:pPr>
      <w:r>
        <w:rPr>
          <w:rFonts w:ascii="Arial" w:cs="Arial" w:eastAsia="Arial" w:hAnsi="Arial"/>
          <w:b/>
          <w:bCs/>
          <w:color w:val="0D7377"/>
          <w:sz w:val="26"/>
          <w:szCs w:val="26"/>
        </w:rPr>
        <w:t xml:space="preserve">6.3 Impacts environnementaux</w:t>
      </w:r>
    </w:p>
    <w:p>
      <w:pPr>
        <w:pStyle w:val="ListParagraph"/>
        <w:numPr>
          <w:ilvl w:val="0"/>
          <w:numId w:val="2"/>
        </w:numPr>
        <w:spacing w:after="40" w:before="40"/>
      </w:pPr>
      <w:r>
        <w:rPr>
          <w:rFonts w:ascii="Arial" w:cs="Arial" w:eastAsia="Arial" w:hAnsi="Arial"/>
          <w:color w:val="333333"/>
          <w:sz w:val="22"/>
          <w:szCs w:val="22"/>
        </w:rPr>
        <w:t xml:space="preserve">Modèle 100% numérique : aucun déplacement physique requis, zéro déchet matériel</w:t>
      </w:r>
    </w:p>
    <w:p>
      <w:pPr>
        <w:pStyle w:val="ListParagraph"/>
        <w:numPr>
          <w:ilvl w:val="0"/>
          <w:numId w:val="2"/>
        </w:numPr>
        <w:spacing w:after="40" w:before="40"/>
      </w:pPr>
      <w:r>
        <w:rPr>
          <w:rFonts w:ascii="Arial" w:cs="Arial" w:eastAsia="Arial" w:hAnsi="Arial"/>
          <w:color w:val="333333"/>
          <w:sz w:val="22"/>
          <w:szCs w:val="22"/>
        </w:rPr>
        <w:t xml:space="preserve">Utilisation d'infrastructures cloud optimisées en énergie (Green Cloud)</w:t>
      </w:r>
    </w:p>
    <w:p>
      <w:pPr>
        <w:pStyle w:val="ListParagraph"/>
        <w:numPr>
          <w:ilvl w:val="0"/>
          <w:numId w:val="2"/>
        </w:numPr>
        <w:spacing w:after="40" w:before="40"/>
      </w:pPr>
      <w:r>
        <w:rPr>
          <w:rFonts w:ascii="Arial" w:cs="Arial" w:eastAsia="Arial" w:hAnsi="Arial"/>
          <w:color w:val="333333"/>
          <w:sz w:val="22"/>
          <w:szCs w:val="22"/>
        </w:rPr>
        <w:t xml:space="preserve">Réduction des réunions physiques inutiles grâce à une communication plus efficace</w:t>
      </w:r>
    </w:p>
    <w:p>
      <w:pPr>
        <w:pStyle w:val="ListParagraph"/>
        <w:numPr>
          <w:ilvl w:val="0"/>
          <w:numId w:val="2"/>
        </w:numPr>
        <w:spacing w:after="40" w:before="40"/>
      </w:pPr>
      <w:r>
        <w:rPr>
          <w:rFonts w:ascii="Arial" w:cs="Arial" w:eastAsia="Arial" w:hAnsi="Arial"/>
          <w:color w:val="333333"/>
          <w:sz w:val="22"/>
          <w:szCs w:val="22"/>
        </w:rPr>
        <w:t xml:space="preserve">Bilan carbone très faible comparé aux industries traditionnelles</w:t>
      </w:r>
    </w:p>
    <w:p>
      <w:r>
        <w:br w:type="page"/>
      </w:r>
    </w:p>
    <w:p>
      <w:pPr>
        <w:pStyle w:val="Heading1"/>
        <w:spacing w:after="160" w:before="320"/>
      </w:pPr>
      <w:r>
        <w:rPr>
          <w:rFonts w:ascii="Arial" w:cs="Arial" w:eastAsia="Arial" w:hAnsi="Arial"/>
          <w:b/>
          <w:bCs/>
          <w:color w:val="1A3C5E"/>
          <w:sz w:val="32"/>
          <w:szCs w:val="32"/>
        </w:rPr>
        <w:t xml:space="preserve">VII. CONCLUSION</w:t>
      </w:r>
    </w:p>
    <w:p>
      <w:pPr>
        <w:spacing w:after="120" w:before="60"/>
      </w:pPr>
      <w:r>
        <w:rPr>
          <w:rFonts w:ascii="Arial" w:cs="Arial" w:eastAsia="Arial" w:hAnsi="Arial"/>
          <w:color w:val="333333"/>
          <w:sz w:val="22"/>
          <w:szCs w:val="22"/>
        </w:rPr>
        <w:t xml:space="preserve">Murmura représente une opportunité entrepreneuriale unique à l'intersection de deux méga-tendances : la révolution de l'intelligence artificielle et la croissance explosive du marché numérique africain. Le projet bénéficie d'un positionnement stratégique fort, d'un fondateur techniquement expert, et d'un modèle économique SaaS éprouvé mondialement.</w:t>
      </w:r>
    </w:p>
    <w:p>
      <w:pPr>
        <w:spacing w:after="120" w:before="120"/>
      </w:pPr>
      <w:r>
        <w:t xml:space="preserve"/>
      </w:r>
    </w:p>
    <w:p>
      <w:pPr>
        <w:spacing w:after="120" w:before="60"/>
      </w:pPr>
      <w:r>
        <w:rPr>
          <w:rFonts w:ascii="Arial" w:cs="Arial" w:eastAsia="Arial" w:hAnsi="Arial"/>
          <w:color w:val="333333"/>
          <w:sz w:val="22"/>
          <w:szCs w:val="22"/>
        </w:rPr>
        <w:t xml:space="preserve">L'analyse financière démontre qu'avec un investissement initial de 7 700 000 FCFA, Murmura peut atteindre la rentabilité dès la deuxième année d'exploitation, générer un chiffre d'affaires de 126 000 000 FCFA en année 3, et créer un impact économique et social significatif au Togo et en Afrique de l'Ouest.</w:t>
      </w:r>
    </w:p>
    <w:p>
      <w:pPr>
        <w:spacing w:after="120" w:before="120"/>
      </w:pPr>
      <w:r>
        <w:t xml:space="preserve"/>
      </w:r>
    </w:p>
    <w:p>
      <w:pPr>
        <w:spacing w:after="120" w:before="60"/>
      </w:pPr>
      <w:r>
        <w:rPr>
          <w:rFonts w:ascii="Arial" w:cs="Arial" w:eastAsia="Arial" w:hAnsi="Arial"/>
          <w:color w:val="333333"/>
          <w:sz w:val="22"/>
          <w:szCs w:val="22"/>
        </w:rPr>
        <w:t xml:space="preserve">Nous sollicitons le soutien du Programme Pré-Incubateur CEF Lomé / IJE-UniPod à hauteur de 4 700 000 FCFA pour concrétiser cette vision et faire de Murmura le premier assistant de messagerie intelligent Made in Africa.</w:t>
      </w:r>
    </w:p>
    <w:p>
      <w:pPr>
        <w:spacing w:after="120" w:before="120"/>
      </w:pPr>
      <w:r>
        <w:t xml:space="preserve"/>
      </w:r>
    </w:p>
    <w:p>
      <w:pPr>
        <w:spacing w:after="120" w:before="120"/>
      </w:pPr>
      <w:r>
        <w:t xml:space="preserve"/>
      </w:r>
    </w:p>
    <w:p>
      <w:pPr>
        <w:spacing w:after="120" w:before="480"/>
        <w:jc w:val="center"/>
      </w:pPr>
      <w:r>
        <w:rPr>
          <w:rFonts w:ascii="Arial" w:cs="Arial" w:eastAsia="Arial" w:hAnsi="Arial"/>
          <w:b/>
          <w:bCs/>
          <w:i/>
          <w:iCs/>
          <w:color w:val="0D7377"/>
          <w:sz w:val="26"/>
          <w:szCs w:val="26"/>
        </w:rPr>
        <w:t xml:space="preserve">« Murmura — Quand votre messagerie vous comprend vraiment »</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999999"/>
        <w:sz w:val="16"/>
        <w:szCs w:val="16"/>
      </w:rPr>
      <w:t xml:space="preserve">Confidentiel – Murmura © 2026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tabs>
        <w:tab w:val="right" w:pos="9360"/>
      </w:tabs>
    </w:pPr>
    <w:r>
      <w:rPr>
        <w:rFonts w:ascii="Arial" w:cs="Arial" w:eastAsia="Arial" w:hAnsi="Arial"/>
        <w:b/>
        <w:bCs/>
        <w:color w:val="1A3C5E"/>
        <w:sz w:val="18"/>
        <w:szCs w:val="18"/>
      </w:rPr>
      <w:t xml:space="preserve">MURMURA — Plan d'Affaires 2026</w:t>
    </w:r>
    <w:r>
      <w:rPr>
        <w:rFonts w:ascii="Arial" w:cs="Arial" w:eastAsia="Arial" w:hAnsi="Arial"/>
      </w:rPr>
      <w:t xml:space="preserve">	</w:t>
    </w:r>
    <w:r>
      <w:rPr>
        <w:rFonts w:ascii="Arial" w:cs="Arial" w:eastAsia="Arial" w:hAnsi="Arial"/>
        <w:color w:val="666666"/>
        <w:sz w:val="18"/>
        <w:szCs w:val="18"/>
      </w:rPr>
      <w:t xml:space="preserve">Programme Pré-Incubateur IJE-UniPod | Lomé, Togo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2026-03-28T15:17:21.281Z</dcterms:created>
  <dcterms:modified xsi:type="dcterms:W3CDTF">2026-03-28T15:17:21.281Z</dcterms:modified>
</cp:coreProperties>
</file>

<file path=docProps/custom.xml><?xml version="1.0" encoding="utf-8"?>
<Properties xmlns="http://schemas.openxmlformats.org/officeDocument/2006/custom-properties" xmlns:vt="http://schemas.openxmlformats.org/officeDocument/2006/docPropsVTypes"/>
</file>