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3"/>
        <w:gridCol w:w="3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目录\文件 名称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DwinGUI\DWIN_SET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Dwin下载文件目录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DwinGUI\img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界面图片目录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DwinGUI\DWprj.hmi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DGUSII工程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MCUProject\MDK-ARM\PowerManager.uvprojx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Stm32 MDK工程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MCUProject\PowerManager.ioc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Stm32 Cubemx工程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MCUProject\MDK-ARM\PowerManager\PowerManager.hex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STM32 Hex下载文件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程序下载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DWIN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1007745"/>
            <wp:effectExtent l="0" t="0" r="952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DWIN_SET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文件夹复制到SD卡根目录通过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卡下载到屏里。顺序为：屏掉电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插卡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上电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蓝屏读 取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卡内容，下载完成显示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“SD Card Process …END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掉电、退出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卡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上电。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9750" cy="2152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电流校准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将电流计算比例系数改为1.0后编译下载开始运行 Task01.c line77-81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33775" cy="25012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计算参数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 修正系数=真实值/显示值 例：(实)2500/(显)1943=1.2866700977869274318</w:t>
      </w:r>
    </w:p>
    <w:p>
      <w:r>
        <w:drawing>
          <wp:inline distT="0" distB="0" distL="114300" distR="114300">
            <wp:extent cx="5274310" cy="1191260"/>
            <wp:effectExtent l="0" t="0" r="254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然后依次写入对应通道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26890" cy="1280795"/>
            <wp:effectExtent l="0" t="0" r="1651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重新编译并下载完成电流校准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17B7B"/>
    <w:multiLevelType w:val="multilevel"/>
    <w:tmpl w:val="1A817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5A23"/>
    <w:rsid w:val="00807546"/>
    <w:rsid w:val="0B9F1057"/>
    <w:rsid w:val="0BBF027B"/>
    <w:rsid w:val="15815C7D"/>
    <w:rsid w:val="2BDD0B2E"/>
    <w:rsid w:val="2C1C5844"/>
    <w:rsid w:val="2DF33638"/>
    <w:rsid w:val="303F09DE"/>
    <w:rsid w:val="39DD7D80"/>
    <w:rsid w:val="4C342AF2"/>
    <w:rsid w:val="50076DA3"/>
    <w:rsid w:val="530E5DB6"/>
    <w:rsid w:val="58E57B95"/>
    <w:rsid w:val="5EE3076C"/>
    <w:rsid w:val="5FBB23E5"/>
    <w:rsid w:val="65E57429"/>
    <w:rsid w:val="67D832E5"/>
    <w:rsid w:val="6C436242"/>
    <w:rsid w:val="7C71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2021-03-24T14:54:00Z</dcterms:created>
  <dc:creator>17122</dc:creator>
  <cp:lastModifiedBy>张东 天津</cp:lastModifiedBy>
  <dcterms:modified xsi:type="dcterms:W3CDTF">2021-07-16T03:17:28Z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3E12451A5D8041639F548DFEFCAA9DA1</vt:lpwstr>
  </property>
</Properties>
</file>