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01010"/>
          <w:sz w:val="60"/>
        </w:rPr>
        <w:t>CONTESTED</w:t>
      </w:r>
    </w:p>
    <w:p>
      <w:pPr>
        <w:spacing w:before="0" w:after="160"/>
        <w:jc w:val="both"/>
      </w:pPr>
      <w:r>
        <w:rPr>
          <w:rFonts w:ascii="Calibri" w:hAnsi="Calibri"/>
          <w:b w:val="0"/>
          <w:i w:val="0"/>
          <w:color w:val="3D3C38"/>
          <w:sz w:val="25"/>
        </w:rPr>
        <w:t>A sustainability framework for the S&amp;P 500 that publishes its own uncertainty</w:t>
      </w:r>
    </w:p>
    <w:p>
      <w:pPr>
        <w:spacing w:before="0" w:after="20"/>
        <w:jc w:val="both"/>
      </w:pPr>
      <w:r>
        <w:rPr>
          <w:rFonts w:ascii="Calibri" w:hAnsi="Calibri"/>
          <w:b/>
          <w:i w:val="0"/>
          <w:color w:val="3D3C38"/>
          <w:sz w:val="17"/>
        </w:rPr>
        <w:t>Sector note</w:t>
      </w:r>
    </w:p>
    <w:p>
      <w:pPr>
        <w:spacing w:before="0" w:after="20"/>
        <w:jc w:val="both"/>
      </w:pPr>
      <w:r>
        <w:rPr>
          <w:rFonts w:ascii="Calibri" w:hAnsi="Calibri"/>
          <w:b w:val="0"/>
          <w:i w:val="0"/>
          <w:color w:val="6B6A63"/>
          <w:sz w:val="17"/>
        </w:rPr>
        <w:t>S&amp;P 500 Energy · 18 companies · FY2021 to FY2025</w:t>
      </w:r>
    </w:p>
    <w:p>
      <w:pPr>
        <w:spacing w:before="0" w:after="80"/>
        <w:jc w:val="both"/>
      </w:pPr>
      <w:r>
        <w:rPr>
          <w:rFonts w:ascii="Calibri" w:hAnsi="Calibri"/>
          <w:b w:val="0"/>
          <w:i w:val="0"/>
          <w:color w:val="6B6A63"/>
          <w:sz w:val="17"/>
        </w:rPr>
        <w:t>ETHack 2026 · Challenge #1 · Citadel &amp; Citadel Securities · 13 September 2026</w:t>
      </w:r>
    </w:p>
    <w:p>
      <w:pPr>
        <w:spacing w:before="80" w:after="80"/>
        <w:pBdr>
          <w:bottom w:val="single" w:sz="16" w:color="101010" w:space="1"/>
        </w:pBdr>
      </w:pP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An ESG score is not a measurement, it is the answer to a question you did not know you were asking. We publish the question, the answer, and how much the answer depends on the question.</w:t>
            </w:r>
          </w:p>
        </w:tc>
      </w:tr>
    </w:tbl>
    <w:p>
      <w:pPr>
        <w:spacing w:after="60"/>
      </w:pPr>
    </w:p>
    <w:tbl>
      <w:tblPr>
        <w:tblW w:type="auto" w:w="0"/>
        <w:jc w:val="center"/>
        <w:tblLayout w:type="fixed"/>
        <w:tblLook w:firstColumn="1" w:firstRow="1" w:lastColumn="0" w:lastRow="0" w:noHBand="0" w:noVBand="1" w:val="04A0"/>
      </w:tblPr>
      <w:tblGrid>
        <w:gridCol w:w="4917"/>
        <w:gridCol w:w="4917"/>
      </w:tblGrid>
      <w:tr>
        <w:tc>
          <w:tcPr>
            <w:tcW w:type="dxa" w:w="1800"/>
            <w:tcBorders>
              <w:bottom w:val="single" w:sz="3" w:color="DEDCD6"/>
            </w:tcBorders>
          </w:tcPr>
          <w:p>
            <w:pPr>
              <w:spacing w:before="32" w:after="32"/>
              <w:jc w:val="left"/>
            </w:pPr>
            <w:r/>
            <w:r>
              <w:rPr>
                <w:rFonts w:ascii="Calibri" w:hAnsi="Calibri"/>
                <w:b/>
                <w:i w:val="0"/>
                <w:color w:val="101010"/>
                <w:sz w:val="17"/>
              </w:rPr>
              <w:t>Universe</w:t>
            </w:r>
          </w:p>
        </w:tc>
        <w:tc>
          <w:tcPr>
            <w:tcW w:type="dxa" w:w="8064"/>
            <w:tcBorders>
              <w:bottom w:val="single" w:sz="3" w:color="DEDCD6"/>
            </w:tcBorders>
          </w:tcPr>
          <w:p>
            <w:pPr>
              <w:spacing w:before="32" w:after="32"/>
              <w:jc w:val="left"/>
            </w:pPr>
            <w:r/>
            <w:r>
              <w:rPr>
                <w:rFonts w:ascii="Calibri" w:hAnsi="Calibri"/>
                <w:b w:val="0"/>
                <w:i w:val="0"/>
                <w:color w:val="101010"/>
                <w:sz w:val="17"/>
              </w:rPr>
              <w:t>18 S&amp;P 500 Energy constituents (XLE, 12 Sep 2026), five Bloomberg BECS peer groups</w:t>
            </w:r>
          </w:p>
        </w:tc>
      </w:tr>
      <w:tr>
        <w:tc>
          <w:tcPr>
            <w:tcW w:type="dxa" w:w="1800"/>
            <w:tcBorders>
              <w:bottom w:val="single" w:sz="3" w:color="DEDCD6"/>
            </w:tcBorders>
          </w:tcPr>
          <w:p>
            <w:pPr>
              <w:spacing w:before="32" w:after="32"/>
              <w:jc w:val="left"/>
            </w:pPr>
            <w:r/>
            <w:r>
              <w:rPr>
                <w:rFonts w:ascii="Calibri" w:hAnsi="Calibri"/>
                <w:b/>
                <w:i w:val="0"/>
                <w:color w:val="101010"/>
                <w:sz w:val="17"/>
              </w:rPr>
              <w:t>Inputs</w:t>
            </w:r>
          </w:p>
        </w:tc>
        <w:tc>
          <w:tcPr>
            <w:tcW w:type="dxa" w:w="8064"/>
            <w:tcBorders>
              <w:bottom w:val="single" w:sz="3" w:color="DEDCD6"/>
            </w:tcBorders>
          </w:tcPr>
          <w:p>
            <w:pPr>
              <w:spacing w:before="32" w:after="32"/>
              <w:jc w:val="left"/>
            </w:pPr>
            <w:r/>
            <w:r>
              <w:rPr>
                <w:rFonts w:ascii="Calibri" w:hAnsi="Calibri"/>
                <w:b w:val="0"/>
                <w:i w:val="0"/>
                <w:color w:val="101010"/>
                <w:sz w:val="17"/>
              </w:rPr>
              <w:t>139 fields · Environment 37 · Social 14 · Governance 79 · Financial resilience 9</w:t>
            </w:r>
          </w:p>
        </w:tc>
      </w:tr>
      <w:tr>
        <w:tc>
          <w:tcPr>
            <w:tcW w:type="dxa" w:w="1800"/>
            <w:tcBorders>
              <w:bottom w:val="single" w:sz="3" w:color="DEDCD6"/>
            </w:tcBorders>
          </w:tcPr>
          <w:p>
            <w:pPr>
              <w:spacing w:before="32" w:after="32"/>
              <w:jc w:val="left"/>
            </w:pPr>
            <w:r/>
            <w:r>
              <w:rPr>
                <w:rFonts w:ascii="Calibri" w:hAnsi="Calibri"/>
                <w:b/>
                <w:i w:val="0"/>
                <w:color w:val="101010"/>
                <w:sz w:val="17"/>
              </w:rPr>
              <w:t>Method</w:t>
            </w:r>
          </w:p>
        </w:tc>
        <w:tc>
          <w:tcPr>
            <w:tcW w:type="dxa" w:w="8064"/>
            <w:tcBorders>
              <w:bottom w:val="single" w:sz="3" w:color="DEDCD6"/>
            </w:tcBorders>
          </w:tcPr>
          <w:p>
            <w:pPr>
              <w:spacing w:before="32" w:after="32"/>
              <w:jc w:val="left"/>
            </w:pPr>
            <w:r/>
            <w:r>
              <w:rPr>
                <w:rFonts w:ascii="Calibri" w:hAnsi="Calibri"/>
                <w:b w:val="0"/>
                <w:i w:val="0"/>
                <w:color w:val="101010"/>
                <w:sz w:val="17"/>
              </w:rPr>
              <w:t>Specification curve analysis (Simonsohn, Simmons &amp; Nelson 2020) applied to score construction</w:t>
            </w:r>
          </w:p>
        </w:tc>
      </w:tr>
      <w:tr>
        <w:tc>
          <w:tcPr>
            <w:tcW w:type="dxa" w:w="1800"/>
            <w:tcBorders>
              <w:bottom w:val="single" w:sz="3" w:color="DEDCD6"/>
            </w:tcBorders>
          </w:tcPr>
          <w:p>
            <w:pPr>
              <w:spacing w:before="32" w:after="32"/>
              <w:jc w:val="left"/>
            </w:pPr>
            <w:r/>
            <w:r>
              <w:rPr>
                <w:rFonts w:ascii="Calibri" w:hAnsi="Calibri"/>
                <w:b/>
                <w:i w:val="0"/>
                <w:color w:val="101010"/>
                <w:sz w:val="17"/>
              </w:rPr>
              <w:t>Grid</w:t>
            </w:r>
          </w:p>
        </w:tc>
        <w:tc>
          <w:tcPr>
            <w:tcW w:type="dxa" w:w="8064"/>
            <w:tcBorders>
              <w:bottom w:val="single" w:sz="3" w:color="DEDCD6"/>
            </w:tcBorders>
          </w:tcPr>
          <w:p>
            <w:pPr>
              <w:spacing w:before="32" w:after="32"/>
              <w:jc w:val="left"/>
            </w:pPr>
            <w:r/>
            <w:r>
              <w:rPr>
                <w:rFonts w:ascii="Calibri" w:hAnsi="Calibri"/>
                <w:b/>
                <w:i w:val="0"/>
                <w:color w:val="101010"/>
                <w:sz w:val="17"/>
              </w:rPr>
              <w:t>Two questions, scored separately.</w:t>
            </w:r>
            <w:r>
              <w:rPr>
                <w:rFonts w:ascii="Calibri" w:hAnsi="Calibri"/>
                <w:b w:val="0"/>
                <w:i w:val="0"/>
                <w:color w:val="101010"/>
                <w:sz w:val="17"/>
              </w:rPr>
              <w:t xml:space="preserve"> Q-A level: 8,748 cells. Q-B change: 8,748 cells.</w:t>
            </w:r>
          </w:p>
        </w:tc>
      </w:tr>
      <w:tr>
        <w:tc>
          <w:tcPr>
            <w:tcW w:type="dxa" w:w="1800"/>
            <w:tcBorders>
              <w:bottom w:val="single" w:sz="3" w:color="DEDCD6"/>
            </w:tcBorders>
          </w:tcPr>
          <w:p>
            <w:pPr>
              <w:spacing w:before="32" w:after="32"/>
              <w:jc w:val="left"/>
            </w:pPr>
            <w:r/>
            <w:r>
              <w:rPr>
                <w:rFonts w:ascii="Calibri" w:hAnsi="Calibri"/>
                <w:b/>
                <w:i w:val="0"/>
                <w:color w:val="101010"/>
                <w:sz w:val="17"/>
              </w:rPr>
              <w:t>Headline</w:t>
            </w:r>
          </w:p>
        </w:tc>
        <w:tc>
          <w:tcPr>
            <w:tcW w:type="dxa" w:w="8064"/>
            <w:tcBorders>
              <w:bottom w:val="single" w:sz="3" w:color="DEDCD6"/>
            </w:tcBorders>
          </w:tcPr>
          <w:p>
            <w:pPr>
              <w:spacing w:before="32" w:after="32"/>
              <w:jc w:val="left"/>
            </w:pPr>
            <w:r/>
            <w:r>
              <w:rPr>
                <w:rFonts w:ascii="Calibri" w:hAnsi="Calibri"/>
                <w:b w:val="0"/>
                <w:i w:val="0"/>
                <w:color w:val="101010"/>
                <w:sz w:val="17"/>
              </w:rPr>
              <w:t xml:space="preserve">Within Q-A, holding the peer set fixed, the median company still moves </w:t>
            </w:r>
            <w:r>
              <w:rPr>
                <w:rFonts w:ascii="Calibri" w:hAnsi="Calibri"/>
                <w:b/>
                <w:i w:val="0"/>
                <w:color w:val="101010"/>
                <w:sz w:val="17"/>
              </w:rPr>
              <w:t>3.0 places of 18</w:t>
            </w:r>
          </w:p>
        </w:tc>
      </w:tr>
      <w:tr>
        <w:tc>
          <w:tcPr>
            <w:tcW w:type="dxa" w:w="1800"/>
            <w:tcBorders>
              <w:bottom w:val="single" w:sz="3" w:color="DEDCD6"/>
            </w:tcBorders>
          </w:tcPr>
          <w:p>
            <w:pPr>
              <w:spacing w:before="32" w:after="32"/>
              <w:jc w:val="left"/>
            </w:pPr>
            <w:r/>
            <w:r>
              <w:rPr>
                <w:rFonts w:ascii="Calibri" w:hAnsi="Calibri"/>
                <w:b/>
                <w:i w:val="0"/>
                <w:color w:val="101010"/>
                <w:sz w:val="17"/>
              </w:rPr>
              <w:t>Settled</w:t>
            </w:r>
          </w:p>
        </w:tc>
        <w:tc>
          <w:tcPr>
            <w:tcW w:type="dxa" w:w="8064"/>
            <w:tcBorders>
              <w:bottom w:val="single" w:sz="3" w:color="DEDCD6"/>
            </w:tcBorders>
          </w:tcPr>
          <w:p>
            <w:pPr>
              <w:spacing w:before="32" w:after="32"/>
              <w:jc w:val="left"/>
            </w:pPr>
            <w:r/>
            <w:r>
              <w:rPr>
                <w:rFonts w:ascii="Calibri" w:hAnsi="Calibri"/>
                <w:b w:val="0"/>
                <w:i w:val="0"/>
                <w:color w:val="101010"/>
                <w:sz w:val="17"/>
              </w:rPr>
              <w:t xml:space="preserve">Of 153 pairwise comparisons, </w:t>
            </w:r>
            <w:r>
              <w:rPr>
                <w:rFonts w:ascii="Calibri" w:hAnsi="Calibri"/>
                <w:b/>
                <w:i w:val="0"/>
                <w:color w:val="101010"/>
                <w:sz w:val="17"/>
              </w:rPr>
              <w:t>56 hold in &gt;95% of Q-A cells</w:t>
            </w:r>
            <w:r>
              <w:rPr>
                <w:rFonts w:ascii="Calibri" w:hAnsi="Calibri"/>
                <w:b w:val="0"/>
                <w:i w:val="0"/>
                <w:color w:val="101010"/>
                <w:sz w:val="17"/>
              </w:rPr>
              <w:t>. A league table asserts all 153.</w:t>
            </w:r>
          </w:p>
        </w:tc>
      </w:tr>
      <w:tr>
        <w:tc>
          <w:tcPr>
            <w:tcW w:type="dxa" w:w="1800"/>
            <w:tcBorders>
              <w:bottom w:val="single" w:sz="10" w:color="101010"/>
            </w:tcBorders>
          </w:tcPr>
          <w:p>
            <w:pPr>
              <w:spacing w:before="32" w:after="32"/>
              <w:jc w:val="left"/>
            </w:pPr>
            <w:r/>
            <w:r>
              <w:rPr>
                <w:rFonts w:ascii="Calibri" w:hAnsi="Calibri"/>
                <w:b/>
                <w:i w:val="0"/>
                <w:color w:val="101010"/>
                <w:sz w:val="17"/>
              </w:rPr>
              <w:t>Bonus</w:t>
            </w:r>
          </w:p>
        </w:tc>
        <w:tc>
          <w:tcPr>
            <w:tcW w:type="dxa" w:w="8064"/>
            <w:tcBorders>
              <w:bottom w:val="single" w:sz="10" w:color="101010"/>
            </w:tcBorders>
          </w:tcPr>
          <w:p>
            <w:pPr>
              <w:spacing w:before="32" w:after="32"/>
              <w:jc w:val="left"/>
            </w:pPr>
            <w:r/>
            <w:r>
              <w:rPr>
                <w:rFonts w:ascii="Calibri" w:hAnsi="Calibri"/>
                <w:b w:val="0"/>
                <w:i w:val="0"/>
                <w:color w:val="101010"/>
                <w:sz w:val="17"/>
              </w:rPr>
              <w:t>§8 a $1bn net-zero allocation derived from the framework, not bolted on</w:t>
            </w:r>
          </w:p>
        </w:tc>
      </w:tr>
    </w:tbl>
    <w:p>
      <w:r>
        <w:br w:type="page"/>
      </w:r>
    </w:p>
    <w:p>
      <w:pPr>
        <w:spacing w:before="300" w:after="60"/>
        <w:pBdr>
          <w:bottom w:val="single" w:sz="10" w:color="101010" w:space="3"/>
        </w:pBdr>
        <w:keepNext/>
      </w:pPr>
      <w:r>
        <w:rPr>
          <w:rFonts w:ascii="Calibri" w:hAnsi="Calibri"/>
          <w:b/>
          <w:color w:val="101010"/>
          <w:sz w:val="28"/>
        </w:rPr>
        <w:t>Executive summary</w:t>
      </w:r>
    </w:p>
    <w:p>
      <w:pPr>
        <w:spacing w:before="0" w:after="100"/>
        <w:jc w:val="both"/>
      </w:pPr>
      <w:r>
        <w:rPr>
          <w:rFonts w:ascii="Calibri" w:hAnsi="Calibri"/>
          <w:b/>
          <w:i w:val="0"/>
          <w:color w:val="101010"/>
          <w:sz w:val="19"/>
        </w:rPr>
        <w:t>1. Our definition.</w:t>
      </w:r>
      <w:r>
        <w:rPr>
          <w:rFonts w:ascii="Calibri" w:hAnsi="Calibri"/>
          <w:b w:val="0"/>
          <w:i w:val="0"/>
          <w:color w:val="101010"/>
          <w:sz w:val="19"/>
        </w:rPr>
        <w:t xml:space="preserve"> A company is sustainable to the degree that it </w:t>
      </w:r>
      <w:r>
        <w:rPr>
          <w:rFonts w:ascii="Calibri" w:hAnsi="Calibri"/>
          <w:b w:val="0"/>
          <w:i/>
          <w:color w:val="101010"/>
          <w:sz w:val="19"/>
        </w:rPr>
        <w:t>produces its output with less irreversible environmental and human harm than the peers producing the same output, and holds a balance sheet capable of surviving the transition required to keep doing so.</w:t>
      </w:r>
      <w:r>
        <w:rPr>
          <w:rFonts w:ascii="Calibri" w:hAnsi="Calibri"/>
          <w:b w:val="0"/>
          <w:i w:val="0"/>
          <w:color w:val="101010"/>
          <w:sz w:val="19"/>
        </w:rPr>
        <w:t xml:space="preserve"> Three things follow and each is testable: harm is measured per unit of exposure, not absolutely; the comparison is to peers making the same product; and financial resilience is a sustainability property, because a company that defaults cannot deliver a 2050 commitment.</w:t>
      </w:r>
    </w:p>
    <w:p>
      <w:pPr>
        <w:spacing w:before="0" w:after="100"/>
        <w:jc w:val="both"/>
      </w:pPr>
      <w:r>
        <w:rPr>
          <w:rFonts w:ascii="Calibri" w:hAnsi="Calibri"/>
          <w:b/>
          <w:i w:val="0"/>
          <w:color w:val="101010"/>
          <w:sz w:val="19"/>
        </w:rPr>
        <w:t>2. The market buys a point estimate of a quantity that has no point estimate.</w:t>
      </w:r>
      <w:r>
        <w:rPr>
          <w:rFonts w:ascii="Calibri" w:hAnsi="Calibri"/>
          <w:b w:val="0"/>
          <w:i w:val="0"/>
          <w:color w:val="101010"/>
          <w:sz w:val="19"/>
        </w:rPr>
        <w:t xml:space="preserve"> Berg, Kölbel &amp; Rigobon (2022) decompose rating divergence into measurement 56%, scope 38% and weights 6%. Every provider computes a distribution over method choices, publishes one draw and discards the rest.</w:t>
      </w:r>
    </w:p>
    <w:p>
      <w:pPr>
        <w:spacing w:before="0" w:after="100"/>
        <w:jc w:val="both"/>
      </w:pPr>
      <w:r>
        <w:rPr>
          <w:rFonts w:ascii="Calibri" w:hAnsi="Calibri"/>
          <w:b/>
          <w:i w:val="0"/>
          <w:color w:val="101010"/>
          <w:sz w:val="19"/>
        </w:rPr>
        <w:t>3. Two questions, not one distribution.</w:t>
      </w:r>
      <w:r>
        <w:rPr>
          <w:rFonts w:ascii="Calibri" w:hAnsi="Calibri"/>
          <w:b w:val="0"/>
          <w:i w:val="0"/>
          <w:color w:val="101010"/>
          <w:sz w:val="19"/>
        </w:rPr>
        <w:t xml:space="preserve"> </w:t>
      </w:r>
      <w:r>
        <w:rPr>
          <w:rFonts w:ascii="Calibri" w:hAnsi="Calibri"/>
          <w:b w:val="0"/>
          <w:i/>
          <w:color w:val="101010"/>
          <w:sz w:val="19"/>
        </w:rPr>
        <w:t>Who is cleanest today</w:t>
      </w:r>
      <w:r>
        <w:rPr>
          <w:rFonts w:ascii="Calibri" w:hAnsi="Calibri"/>
          <w:b w:val="0"/>
          <w:i w:val="0"/>
          <w:color w:val="101010"/>
          <w:sz w:val="19"/>
        </w:rPr>
        <w:t xml:space="preserve"> and </w:t>
      </w:r>
      <w:r>
        <w:rPr>
          <w:rFonts w:ascii="Calibri" w:hAnsi="Calibri"/>
          <w:b w:val="0"/>
          <w:i/>
          <w:color w:val="101010"/>
          <w:sz w:val="19"/>
        </w:rPr>
        <w:t>who is improving fastest</w:t>
      </w:r>
      <w:r>
        <w:rPr>
          <w:rFonts w:ascii="Calibri" w:hAnsi="Calibri"/>
          <w:b w:val="0"/>
          <w:i w:val="0"/>
          <w:color w:val="101010"/>
          <w:sz w:val="19"/>
        </w:rPr>
        <w:t xml:space="preserve"> are different questions, and pooling them into one uncertainty distribution manufactures a spread that is really two answers. We score them in separate grids, and the contestation survives the split.</w:t>
      </w:r>
    </w:p>
    <w:p>
      <w:pPr>
        <w:spacing w:before="0" w:after="100"/>
        <w:jc w:val="both"/>
      </w:pPr>
      <w:r>
        <w:rPr>
          <w:rFonts w:ascii="Calibri" w:hAnsi="Calibri"/>
          <w:b/>
          <w:i w:val="0"/>
          <w:color w:val="101010"/>
          <w:sz w:val="19"/>
        </w:rPr>
        <w:t>4. Contestation is real after every deflation.</w:t>
      </w:r>
      <w:r>
        <w:rPr>
          <w:rFonts w:ascii="Calibri" w:hAnsi="Calibri"/>
          <w:b w:val="0"/>
          <w:i w:val="0"/>
          <w:color w:val="101010"/>
          <w:sz w:val="19"/>
        </w:rPr>
        <w:t xml:space="preserve"> Within Question A, with the peer set fixed to BECS groups, the median company still moves </w:t>
      </w:r>
      <w:r>
        <w:rPr>
          <w:rFonts w:ascii="Calibri" w:hAnsi="Calibri"/>
          <w:b/>
          <w:i w:val="0"/>
          <w:color w:val="101010"/>
          <w:sz w:val="19"/>
        </w:rPr>
        <w:t>3.0 places of 18</w:t>
      </w:r>
      <w:r>
        <w:rPr>
          <w:rFonts w:ascii="Calibri" w:hAnsi="Calibri"/>
          <w:b w:val="0"/>
          <w:i w:val="0"/>
          <w:color w:val="101010"/>
          <w:sz w:val="19"/>
        </w:rPr>
        <w:t>; against the whole sector, 5.0. Weights add 3.0 more. Pooled across both questions it would read 7.0, which is why we do not pool.</w:t>
      </w:r>
    </w:p>
    <w:p>
      <w:pPr>
        <w:spacing w:before="0" w:after="100"/>
        <w:jc w:val="both"/>
      </w:pPr>
      <w:r>
        <w:rPr>
          <w:rFonts w:ascii="Calibri" w:hAnsi="Calibri"/>
          <w:b/>
          <w:i w:val="0"/>
          <w:color w:val="101010"/>
          <w:sz w:val="19"/>
        </w:rPr>
        <w:t>5. The output is four objects, not a score:</w:t>
      </w:r>
      <w:r>
        <w:rPr>
          <w:rFonts w:ascii="Calibri" w:hAnsi="Calibri"/>
          <w:b w:val="0"/>
          <w:i w:val="0"/>
          <w:color w:val="101010"/>
          <w:sz w:val="19"/>
        </w:rPr>
        <w:t xml:space="preserve"> what is </w:t>
      </w:r>
      <w:r>
        <w:rPr>
          <w:rFonts w:ascii="Calibri" w:hAnsi="Calibri"/>
          <w:b/>
          <w:i w:val="0"/>
          <w:color w:val="101010"/>
          <w:sz w:val="19"/>
        </w:rPr>
        <w:t>settled</w:t>
      </w:r>
      <w:r>
        <w:rPr>
          <w:rFonts w:ascii="Calibri" w:hAnsi="Calibri"/>
          <w:b w:val="0"/>
          <w:i w:val="0"/>
          <w:color w:val="101010"/>
          <w:sz w:val="19"/>
        </w:rPr>
        <w:t xml:space="preserve">, what is </w:t>
      </w:r>
      <w:r>
        <w:rPr>
          <w:rFonts w:ascii="Calibri" w:hAnsi="Calibri"/>
          <w:b/>
          <w:i w:val="0"/>
          <w:color w:val="101010"/>
          <w:sz w:val="19"/>
        </w:rPr>
        <w:t>contested</w:t>
      </w:r>
      <w:r>
        <w:rPr>
          <w:rFonts w:ascii="Calibri" w:hAnsi="Calibri"/>
          <w:b w:val="0"/>
          <w:i w:val="0"/>
          <w:color w:val="101010"/>
          <w:sz w:val="19"/>
        </w:rPr>
        <w:t xml:space="preserve">, which choice is the </w:t>
      </w:r>
      <w:r>
        <w:rPr>
          <w:rFonts w:ascii="Calibri" w:hAnsi="Calibri"/>
          <w:b/>
          <w:i w:val="0"/>
          <w:color w:val="101010"/>
          <w:sz w:val="19"/>
        </w:rPr>
        <w:t>pivot</w:t>
      </w:r>
      <w:r>
        <w:rPr>
          <w:rFonts w:ascii="Calibri" w:hAnsi="Calibri"/>
          <w:b w:val="0"/>
          <w:i w:val="0"/>
          <w:color w:val="101010"/>
          <w:sz w:val="19"/>
        </w:rPr>
        <w:t xml:space="preserve">, and which disclosure is the </w:t>
      </w:r>
      <w:r>
        <w:rPr>
          <w:rFonts w:ascii="Calibri" w:hAnsi="Calibri"/>
          <w:b/>
          <w:i w:val="0"/>
          <w:color w:val="101010"/>
          <w:sz w:val="19"/>
        </w:rPr>
        <w:t>remedy</w:t>
      </w:r>
      <w:r>
        <w:rPr>
          <w:rFonts w:ascii="Calibri" w:hAnsi="Calibri"/>
          <w:b w:val="0"/>
          <w:i w:val="0"/>
          <w:color w:val="101010"/>
          <w:sz w:val="19"/>
        </w:rPr>
        <w:t>.</w:t>
      </w:r>
    </w:p>
    <w:p>
      <w:pPr>
        <w:spacing w:before="0" w:after="100"/>
        <w:jc w:val="both"/>
      </w:pPr>
      <w:r>
        <w:rPr>
          <w:rFonts w:ascii="Calibri" w:hAnsi="Calibri"/>
          <w:b/>
          <w:i w:val="0"/>
          <w:color w:val="101010"/>
          <w:sz w:val="19"/>
        </w:rPr>
        <w:t>6. The bonus falls out of the framework.</w:t>
      </w:r>
      <w:r>
        <w:rPr>
          <w:rFonts w:ascii="Calibri" w:hAnsi="Calibri"/>
          <w:b w:val="0"/>
          <w:i w:val="0"/>
          <w:color w:val="101010"/>
          <w:sz w:val="19"/>
        </w:rPr>
        <w:t xml:space="preserve"> The two questions are the two halves of a transition portfolio: Question A prices today's leaders, Question B identifies tomorrow's. §8 allocates $1bn on the gap between them.</w:t>
      </w:r>
    </w:p>
    <w:p>
      <w:pPr>
        <w:spacing w:before="220" w:after="40"/>
        <w:keepNext/>
      </w:pPr>
      <w:r>
        <w:rPr>
          <w:rFonts w:ascii="Calibri" w:hAnsi="Calibri"/>
          <w:b/>
          <w:color w:val="C04A12"/>
          <w:sz w:val="16"/>
        </w:rPr>
        <w:t>Exhibit 1</w:t>
      </w:r>
      <w:r>
        <w:rPr>
          <w:rFonts w:ascii="Calibri" w:hAnsi="Calibri"/>
          <w:b/>
          <w:color w:val="101010"/>
          <w:sz w:val="19"/>
        </w:rPr>
        <w:t xml:space="preserve">   The two questions give different answers, which is why they are scored separately</w:t>
      </w:r>
    </w:p>
    <w:p>
      <w:pPr>
        <w:spacing w:before="60" w:after="40"/>
        <w:jc w:val="center"/>
      </w:pPr>
      <w:r>
        <w:drawing>
          <wp:inline xmlns:a="http://schemas.openxmlformats.org/drawingml/2006/main" xmlns:pic="http://schemas.openxmlformats.org/drawingml/2006/picture">
            <wp:extent cx="6126480" cy="2893060"/>
            <wp:docPr id="1" name="Picture 1"/>
            <wp:cNvGraphicFramePr>
              <a:graphicFrameLocks noChangeAspect="1"/>
            </wp:cNvGraphicFramePr>
            <a:graphic>
              <a:graphicData uri="http://schemas.openxmlformats.org/drawingml/2006/picture">
                <pic:pic>
                  <pic:nvPicPr>
                    <pic:cNvPr id="0" name="f1_two_questions.png"/>
                    <pic:cNvPicPr/>
                  </pic:nvPicPr>
                  <pic:blipFill>
                    <a:blip r:embed="rId9"/>
                    <a:stretch>
                      <a:fillRect/>
                    </a:stretch>
                  </pic:blipFill>
                  <pic:spPr>
                    <a:xfrm>
                      <a:off x="0" y="0"/>
                      <a:ext cx="6126480" cy="2893060"/>
                    </a:xfrm>
                    <a:prstGeom prst="rect"/>
                  </pic:spPr>
                </pic:pic>
              </a:graphicData>
            </a:graphic>
          </wp:inline>
        </w:drawing>
      </w:r>
    </w:p>
    <w:p>
      <w:pPr>
        <w:spacing w:before="0" w:after="160"/>
        <w:jc w:val="both"/>
      </w:pPr>
      <w:r>
        <w:rPr>
          <w:rFonts w:ascii="Calibri" w:hAnsi="Calibri"/>
          <w:b w:val="0"/>
          <w:i/>
          <w:color w:val="6B6A63"/>
          <w:sz w:val="15"/>
        </w:rPr>
        <w:t>Interquartile box per company under each question, sorted by Question A median. Blue = level, orange = change. EOG sits at 94 on level and 35 on change; MPC at 18 and 71. Pooling these into one distribution would manufacture a spread that is really two answers to two questions. Source: model/out/long.csv.</w:t>
      </w:r>
    </w:p>
    <w:p>
      <w:r>
        <w:br w:type="page"/>
      </w:r>
    </w:p>
    <w:p>
      <w:pPr>
        <w:spacing w:before="300" w:after="60"/>
        <w:pBdr>
          <w:bottom w:val="single" w:sz="10" w:color="101010" w:space="3"/>
        </w:pBdr>
        <w:keepNext/>
      </w:pPr>
      <w:r>
        <w:rPr>
          <w:rFonts w:ascii="Calibri" w:hAnsi="Calibri"/>
          <w:b/>
          <w:color w:val="101010"/>
          <w:sz w:val="28"/>
        </w:rPr>
        <w:t>1. The problem</w:t>
      </w:r>
    </w:p>
    <w:p>
      <w:pPr>
        <w:spacing w:before="0" w:after="100"/>
        <w:jc w:val="both"/>
      </w:pPr>
      <w:r>
        <w:rPr>
          <w:rFonts w:ascii="Calibri" w:hAnsi="Calibri"/>
          <w:b w:val="0"/>
          <w:i w:val="0"/>
          <w:color w:val="101010"/>
          <w:sz w:val="19"/>
        </w:rPr>
        <w:t>Sustainability ratings are consumed as measurements and constructed as opinions.</w:t>
      </w:r>
    </w:p>
    <w:p>
      <w:pPr>
        <w:spacing w:before="220" w:after="40"/>
        <w:keepNext/>
      </w:pPr>
      <w:r>
        <w:rPr>
          <w:rFonts w:ascii="Calibri" w:hAnsi="Calibri"/>
          <w:b/>
          <w:color w:val="C04A12"/>
          <w:sz w:val="16"/>
        </w:rPr>
        <w:t>Exhibit 2</w:t>
      </w:r>
      <w:r>
        <w:rPr>
          <w:rFonts w:ascii="Calibri" w:hAnsi="Calibri"/>
          <w:b/>
          <w:color w:val="101010"/>
          <w:sz w:val="19"/>
        </w:rPr>
        <w:t xml:space="preserve">   Inter-rater agreement</w:t>
      </w:r>
    </w:p>
    <w:tbl>
      <w:tblPr>
        <w:tblW w:type="auto" w:w="0"/>
        <w:jc w:val="center"/>
        <w:tblLayout w:type="fixed"/>
        <w:tblLook w:firstColumn="1" w:firstRow="1" w:lastColumn="0" w:lastRow="0" w:noHBand="0" w:noVBand="1" w:val="04A0"/>
      </w:tblPr>
      <w:tblGrid>
        <w:gridCol w:w="3278"/>
        <w:gridCol w:w="3278"/>
        <w:gridCol w:w="3278"/>
      </w:tblGrid>
      <w:tr>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Domain</w:t>
            </w:r>
          </w:p>
        </w:tc>
        <w:tc>
          <w:tcPr>
            <w:tcW w:type="dxa" w:w="28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Average pairwise correlation</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Source</w:t>
            </w:r>
          </w:p>
        </w:tc>
      </w:tr>
      <w:tr>
        <w:tc>
          <w:tcPr>
            <w:tcW w:type="dxa" w:w="3744"/>
            <w:tcBorders>
              <w:bottom w:val="single" w:sz="3" w:color="DEDCD6"/>
            </w:tcBorders>
          </w:tcPr>
          <w:p>
            <w:pPr>
              <w:spacing w:before="32" w:after="32"/>
              <w:jc w:val="left"/>
            </w:pPr>
            <w:r/>
            <w:r>
              <w:rPr>
                <w:rFonts w:ascii="Calibri" w:hAnsi="Calibri"/>
                <w:b w:val="0"/>
                <w:i w:val="0"/>
                <w:color w:val="101010"/>
                <w:sz w:val="16"/>
              </w:rPr>
              <w:t>Credit ratings</w:t>
            </w:r>
          </w:p>
        </w:tc>
        <w:tc>
          <w:tcPr>
            <w:tcW w:type="dxa" w:w="2880"/>
            <w:tcBorders>
              <w:bottom w:val="single" w:sz="3" w:color="DEDCD6"/>
            </w:tcBorders>
          </w:tcPr>
          <w:p>
            <w:pPr>
              <w:spacing w:before="32" w:after="32"/>
              <w:jc w:val="right"/>
            </w:pPr>
            <w:r/>
            <w:r>
              <w:rPr>
                <w:rFonts w:ascii="Calibri" w:hAnsi="Calibri"/>
                <w:b w:val="0"/>
                <w:i w:val="0"/>
                <w:color w:val="101010"/>
                <w:sz w:val="16"/>
              </w:rPr>
              <w:t>0.92 to 0.99</w:t>
            </w:r>
          </w:p>
        </w:tc>
        <w:tc>
          <w:tcPr>
            <w:tcW w:type="dxa" w:w="3312"/>
            <w:tcBorders>
              <w:bottom w:val="single" w:sz="3" w:color="DEDCD6"/>
            </w:tcBorders>
          </w:tcPr>
          <w:p>
            <w:pPr>
              <w:spacing w:before="32" w:after="32"/>
              <w:jc w:val="left"/>
            </w:pPr>
            <w:r/>
            <w:r>
              <w:rPr>
                <w:rFonts w:ascii="Calibri" w:hAnsi="Calibri"/>
                <w:b w:val="0"/>
                <w:i w:val="0"/>
                <w:color w:val="101010"/>
                <w:sz w:val="16"/>
              </w:rPr>
              <w:t>Berg, Kölbel &amp; Rigobon (2022)</w:t>
            </w:r>
          </w:p>
        </w:tc>
      </w:tr>
      <w:tr>
        <w:tc>
          <w:tcPr>
            <w:tcW w:type="dxa" w:w="3744"/>
            <w:tcBorders>
              <w:bottom w:val="single" w:sz="3" w:color="DEDCD6"/>
            </w:tcBorders>
          </w:tcPr>
          <w:p>
            <w:pPr>
              <w:spacing w:before="32" w:after="32"/>
              <w:jc w:val="left"/>
            </w:pPr>
            <w:r/>
            <w:r>
              <w:rPr>
                <w:rFonts w:ascii="Calibri" w:hAnsi="Calibri"/>
                <w:b w:val="0"/>
                <w:i w:val="0"/>
                <w:color w:val="101010"/>
                <w:sz w:val="16"/>
              </w:rPr>
              <w:t>ESG ratings, six major providers</w:t>
            </w:r>
          </w:p>
        </w:tc>
        <w:tc>
          <w:tcPr>
            <w:tcW w:type="dxa" w:w="2880"/>
            <w:tcBorders>
              <w:bottom w:val="single" w:sz="3" w:color="DEDCD6"/>
            </w:tcBorders>
          </w:tcPr>
          <w:p>
            <w:pPr>
              <w:spacing w:before="32" w:after="32"/>
              <w:jc w:val="right"/>
            </w:pPr>
            <w:r/>
            <w:r>
              <w:rPr>
                <w:rFonts w:ascii="Calibri" w:hAnsi="Calibri"/>
                <w:b w:val="0"/>
                <w:i w:val="0"/>
                <w:color w:val="101010"/>
                <w:sz w:val="16"/>
              </w:rPr>
              <w:t>0.54 to 0.61</w:t>
            </w:r>
          </w:p>
        </w:tc>
        <w:tc>
          <w:tcPr>
            <w:tcW w:type="dxa" w:w="3312"/>
            <w:tcBorders>
              <w:bottom w:val="single" w:sz="3" w:color="DEDCD6"/>
            </w:tcBorders>
          </w:tcPr>
          <w:p>
            <w:pPr>
              <w:spacing w:before="32" w:after="32"/>
              <w:jc w:val="left"/>
            </w:pPr>
            <w:r/>
            <w:r>
              <w:rPr>
                <w:rFonts w:ascii="Calibri" w:hAnsi="Calibri"/>
                <w:b w:val="0"/>
                <w:i w:val="0"/>
                <w:color w:val="101010"/>
                <w:sz w:val="16"/>
              </w:rPr>
              <w:t>Berg, Kölbel &amp; Rigobon (2022)</w:t>
            </w:r>
          </w:p>
        </w:tc>
      </w:tr>
      <w:tr>
        <w:tc>
          <w:tcPr>
            <w:tcW w:type="dxa" w:w="3744"/>
            <w:tcBorders>
              <w:bottom w:val="single" w:sz="10" w:color="101010"/>
            </w:tcBorders>
          </w:tcPr>
          <w:p>
            <w:pPr>
              <w:spacing w:before="32" w:after="32"/>
              <w:jc w:val="left"/>
            </w:pPr>
            <w:r/>
            <w:r>
              <w:rPr>
                <w:rFonts w:ascii="Calibri" w:hAnsi="Calibri"/>
                <w:b w:val="0"/>
                <w:i w:val="0"/>
                <w:color w:val="101010"/>
                <w:sz w:val="16"/>
              </w:rPr>
              <w:t>ESG ratings, alternative estimate</w:t>
            </w:r>
          </w:p>
        </w:tc>
        <w:tc>
          <w:tcPr>
            <w:tcW w:type="dxa" w:w="2880"/>
            <w:tcBorders>
              <w:bottom w:val="single" w:sz="10" w:color="101010"/>
            </w:tcBorders>
          </w:tcPr>
          <w:p>
            <w:pPr>
              <w:spacing w:before="32" w:after="32"/>
              <w:jc w:val="right"/>
            </w:pPr>
            <w:r/>
            <w:r>
              <w:rPr>
                <w:rFonts w:ascii="Calibri" w:hAnsi="Calibri"/>
                <w:b w:val="0"/>
                <w:i w:val="0"/>
                <w:color w:val="101010"/>
                <w:sz w:val="16"/>
              </w:rPr>
              <w:t>0.45</w:t>
            </w:r>
          </w:p>
        </w:tc>
        <w:tc>
          <w:tcPr>
            <w:tcW w:type="dxa" w:w="3312"/>
            <w:tcBorders>
              <w:bottom w:val="single" w:sz="10" w:color="101010"/>
            </w:tcBorders>
          </w:tcPr>
          <w:p>
            <w:pPr>
              <w:spacing w:before="32" w:after="32"/>
              <w:jc w:val="left"/>
            </w:pPr>
            <w:r/>
            <w:r>
              <w:rPr>
                <w:rFonts w:ascii="Calibri" w:hAnsi="Calibri"/>
                <w:b w:val="0"/>
                <w:i w:val="0"/>
                <w:color w:val="101010"/>
                <w:sz w:val="16"/>
              </w:rPr>
              <w:t>Dimson, Marsh &amp; Staunton (2020)</w:t>
            </w:r>
          </w:p>
        </w:tc>
      </w:tr>
    </w:tbl>
    <w:p>
      <w:pPr>
        <w:spacing w:before="0" w:after="160"/>
        <w:jc w:val="both"/>
      </w:pPr>
      <w:r>
        <w:rPr>
          <w:rFonts w:ascii="Calibri" w:hAnsi="Calibri"/>
          <w:b w:val="0"/>
          <w:i/>
          <w:color w:val="6B6A63"/>
          <w:sz w:val="15"/>
        </w:rPr>
        <w:t>Ranges given because the working-paper and published versions differ: the MIT Sloan project page gives 0.54 and 0.92, other summaries give 0.61 and 0.99. We quote the range rather than pick the flattering end.</w:t>
      </w:r>
    </w:p>
    <w:p>
      <w:pPr>
        <w:spacing w:before="0" w:after="100"/>
        <w:jc w:val="both"/>
      </w:pPr>
      <w:r>
        <w:rPr>
          <w:rFonts w:ascii="Calibri" w:hAnsi="Calibri"/>
          <w:b w:val="0"/>
          <w:i w:val="0"/>
          <w:color w:val="101010"/>
          <w:sz w:val="19"/>
        </w:rPr>
        <w:t xml:space="preserve">Their divergence decomposition, </w:t>
      </w:r>
      <w:r>
        <w:rPr>
          <w:rFonts w:ascii="Calibri" w:hAnsi="Calibri"/>
          <w:b/>
          <w:i w:val="0"/>
          <w:color w:val="101010"/>
          <w:sz w:val="19"/>
        </w:rPr>
        <w:t>measurement 56%, scope 38%, weights 6%</w:t>
      </w:r>
      <w:r>
        <w:rPr>
          <w:rFonts w:ascii="Calibri" w:hAnsi="Calibri"/>
          <w:b w:val="0"/>
          <w:i w:val="0"/>
          <w:color w:val="101010"/>
          <w:sz w:val="19"/>
        </w:rPr>
        <w:t xml:space="preserve"> is the design constraint. Weights are the smallest of the three causes, which is a reason to attack the other 94% and not a reason to leave weights fixed. We vary them too and report the effect in §5.5.</w:t>
      </w:r>
    </w:p>
    <w:p>
      <w:pPr>
        <w:spacing w:before="300" w:after="60"/>
        <w:pBdr>
          <w:bottom w:val="single" w:sz="10" w:color="101010" w:space="3"/>
        </w:pBdr>
        <w:keepNext/>
      </w:pPr>
      <w:r>
        <w:rPr>
          <w:rFonts w:ascii="Calibri" w:hAnsi="Calibri"/>
          <w:b/>
          <w:color w:val="101010"/>
          <w:sz w:val="28"/>
        </w:rPr>
        <w:t>2. What we mean by sustainability</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val="0"/>
                <w:i w:val="0"/>
                <w:color w:val="101010"/>
                <w:sz w:val="20"/>
              </w:rPr>
              <w:t xml:space="preserve">A company is sustainable to the degree that it </w:t>
            </w:r>
            <w:r>
              <w:rPr>
                <w:rFonts w:ascii="Calibri" w:hAnsi="Calibri"/>
                <w:b/>
                <w:i w:val="0"/>
                <w:color w:val="101010"/>
                <w:sz w:val="20"/>
              </w:rPr>
              <w:t>produces its output with less irreversible environmental and human harm than the peers producing the same output</w:t>
            </w:r>
            <w:r>
              <w:rPr>
                <w:rFonts w:ascii="Calibri" w:hAnsi="Calibri"/>
                <w:b w:val="0"/>
                <w:i w:val="0"/>
                <w:color w:val="101010"/>
                <w:sz w:val="20"/>
              </w:rPr>
              <w:t xml:space="preserve">, and </w:t>
            </w:r>
            <w:r>
              <w:rPr>
                <w:rFonts w:ascii="Calibri" w:hAnsi="Calibri"/>
                <w:b/>
                <w:i w:val="0"/>
                <w:color w:val="101010"/>
                <w:sz w:val="20"/>
              </w:rPr>
              <w:t>holds a balance sheet capable of surviving the transition</w:t>
            </w:r>
            <w:r>
              <w:rPr>
                <w:rFonts w:ascii="Calibri" w:hAnsi="Calibri"/>
                <w:b w:val="0"/>
                <w:i w:val="0"/>
                <w:color w:val="101010"/>
                <w:sz w:val="20"/>
              </w:rPr>
              <w:t xml:space="preserve"> required to keep doing so.</w:t>
            </w:r>
          </w:p>
        </w:tc>
      </w:tr>
    </w:tbl>
    <w:p>
      <w:pPr>
        <w:spacing w:after="60"/>
      </w:pPr>
    </w:p>
    <w:p>
      <w:pPr>
        <w:spacing w:before="0" w:after="100"/>
        <w:jc w:val="both"/>
      </w:pPr>
      <w:r>
        <w:rPr>
          <w:rFonts w:ascii="Calibri" w:hAnsi="Calibri"/>
          <w:b/>
          <w:i w:val="0"/>
          <w:color w:val="101010"/>
          <w:sz w:val="19"/>
        </w:rPr>
        <w:t>Why financial resilience is in, and weighted equally.</w:t>
      </w:r>
      <w:r>
        <w:rPr>
          <w:rFonts w:ascii="Calibri" w:hAnsi="Calibri"/>
          <w:b w:val="0"/>
          <w:i w:val="0"/>
          <w:color w:val="101010"/>
          <w:sz w:val="19"/>
        </w:rPr>
        <w:t xml:space="preserve"> A stranded balance sheet is a sustainability failure, not merely a credit event: a company in distress cuts abatement capex first. Equal weighting is a </w:t>
      </w:r>
      <w:r>
        <w:rPr>
          <w:rFonts w:ascii="Calibri" w:hAnsi="Calibri"/>
          <w:b w:val="0"/>
          <w:i/>
          <w:color w:val="101010"/>
          <w:sz w:val="19"/>
        </w:rPr>
        <w:t>default</w:t>
      </w:r>
      <w:r>
        <w:rPr>
          <w:rFonts w:ascii="Calibri" w:hAnsi="Calibri"/>
          <w:b w:val="0"/>
          <w:i w:val="0"/>
          <w:color w:val="101010"/>
          <w:sz w:val="19"/>
        </w:rPr>
        <w:t>, not a claim, §5.5 reports what happens across the range.</w:t>
      </w:r>
    </w:p>
    <w:p>
      <w:pPr>
        <w:spacing w:before="0" w:after="100"/>
        <w:jc w:val="both"/>
      </w:pPr>
      <w:r>
        <w:rPr>
          <w:rFonts w:ascii="Calibri" w:hAnsi="Calibri"/>
          <w:b/>
          <w:i w:val="0"/>
          <w:color w:val="101010"/>
          <w:sz w:val="19"/>
        </w:rPr>
        <w:t>Where this differs from the providers.</w:t>
      </w:r>
      <w:r>
        <w:rPr>
          <w:rFonts w:ascii="Calibri" w:hAnsi="Calibri"/>
          <w:b w:val="0"/>
          <w:i w:val="0"/>
          <w:color w:val="101010"/>
          <w:sz w:val="19"/>
        </w:rPr>
        <w:t xml:space="preserve"> MSCI and Bloomberg both measure single materiality, risk </w:t>
      </w:r>
      <w:r>
        <w:rPr>
          <w:rFonts w:ascii="Calibri" w:hAnsi="Calibri"/>
          <w:b w:val="0"/>
          <w:i/>
          <w:color w:val="101010"/>
          <w:sz w:val="19"/>
        </w:rPr>
        <w:t>to the firm</w:t>
      </w:r>
      <w:r>
        <w:rPr>
          <w:rFonts w:ascii="Calibri" w:hAnsi="Calibri"/>
          <w:b w:val="0"/>
          <w:i w:val="0"/>
          <w:color w:val="101010"/>
          <w:sz w:val="19"/>
        </w:rPr>
        <w:t xml:space="preserve">. Our environmental and social indicators measure harm </w:t>
      </w:r>
      <w:r>
        <w:rPr>
          <w:rFonts w:ascii="Calibri" w:hAnsi="Calibri"/>
          <w:b w:val="0"/>
          <w:i/>
          <w:color w:val="101010"/>
          <w:sz w:val="19"/>
        </w:rPr>
        <w:t>by the firm</w:t>
      </w:r>
      <w:r>
        <w:rPr>
          <w:rFonts w:ascii="Calibri" w:hAnsi="Calibri"/>
          <w:b w:val="0"/>
          <w:i w:val="0"/>
          <w:color w:val="101010"/>
          <w:sz w:val="19"/>
        </w:rPr>
        <w:t>. We are a deliberate hybrid and the brief does not resolve which it wants. That ambiguity is itself a finding.</w:t>
      </w:r>
    </w:p>
    <w:p>
      <w:pPr>
        <w:spacing w:before="0" w:after="100"/>
        <w:jc w:val="both"/>
      </w:pPr>
      <w:r>
        <w:rPr>
          <w:rFonts w:ascii="Calibri" w:hAnsi="Calibri"/>
          <w:b/>
          <w:i w:val="0"/>
          <w:color w:val="101010"/>
          <w:sz w:val="19"/>
        </w:rPr>
        <w:t>What the definition excludes, and what that costs.</w:t>
      </w:r>
      <w:r>
        <w:rPr>
          <w:rFonts w:ascii="Calibri" w:hAnsi="Calibri"/>
          <w:b w:val="0"/>
          <w:i w:val="0"/>
          <w:color w:val="101010"/>
          <w:sz w:val="19"/>
        </w:rPr>
        <w:t xml:space="preserve"> Peer-relative harm means the cleanest member of a dirty industry scores 100. We therefore pair every rank with an absolute intensity (Exhibit 7).</w:t>
      </w:r>
    </w:p>
    <w:p>
      <w:pPr>
        <w:spacing w:before="300" w:after="60"/>
        <w:pBdr>
          <w:bottom w:val="single" w:sz="10" w:color="101010" w:space="3"/>
        </w:pBdr>
        <w:keepNext/>
      </w:pPr>
      <w:r>
        <w:rPr>
          <w:rFonts w:ascii="Calibri" w:hAnsi="Calibri"/>
          <w:b/>
          <w:color w:val="101010"/>
          <w:sz w:val="28"/>
        </w:rPr>
        <w:t>3. Data</w:t>
      </w:r>
    </w:p>
    <w:p>
      <w:pPr>
        <w:spacing w:before="220" w:after="40"/>
        <w:keepNext/>
      </w:pPr>
      <w:r>
        <w:rPr>
          <w:rFonts w:ascii="Calibri" w:hAnsi="Calibri"/>
          <w:b/>
          <w:color w:val="C04A12"/>
          <w:sz w:val="21"/>
        </w:rPr>
        <w:t>3.1 Sources</w:t>
      </w:r>
    </w:p>
    <w:tbl>
      <w:tblPr>
        <w:tblW w:type="auto" w:w="0"/>
        <w:jc w:val="center"/>
        <w:tblLayout w:type="fixed"/>
        <w:tblLook w:firstColumn="1" w:firstRow="1" w:lastColumn="0" w:lastRow="0" w:noHBand="0" w:noVBand="1" w:val="04A0"/>
      </w:tblPr>
      <w:tblGrid>
        <w:gridCol w:w="3278"/>
        <w:gridCol w:w="3278"/>
        <w:gridCol w:w="3278"/>
      </w:tblGrid>
      <w:tr>
        <w:tc>
          <w:tcPr>
            <w:tcW w:type="dxa" w:w="3024"/>
            <w:shd w:val="clear" w:fill="F6F5F2"/>
            <w:tcBorders>
              <w:top w:val="single" w:sz="10" w:color="101010"/>
              <w:bottom w:val="single" w:sz="5" w:color="6B6A63"/>
            </w:tcBorders>
          </w:tcPr>
          <w:p>
            <w:pPr>
              <w:spacing w:before="32" w:after="32"/>
              <w:jc w:val="left"/>
            </w:pPr>
            <w:r/>
            <w:r>
              <w:rPr>
                <w:rFonts w:ascii="Calibri" w:hAnsi="Calibri"/>
                <w:b/>
                <w:i w:val="0"/>
                <w:color w:val="3D3C38"/>
                <w:sz w:val="15"/>
              </w:rPr>
              <w:t>Source</w:t>
            </w:r>
          </w:p>
        </w:tc>
        <w:tc>
          <w:tcPr>
            <w:tcW w:type="dxa" w:w="5472"/>
            <w:shd w:val="clear" w:fill="F6F5F2"/>
            <w:tcBorders>
              <w:top w:val="single" w:sz="10" w:color="101010"/>
              <w:bottom w:val="single" w:sz="5" w:color="6B6A63"/>
            </w:tcBorders>
          </w:tcPr>
          <w:p>
            <w:pPr>
              <w:spacing w:before="32" w:after="32"/>
              <w:jc w:val="left"/>
            </w:pPr>
            <w:r/>
            <w:r>
              <w:rPr>
                <w:rFonts w:ascii="Calibri" w:hAnsi="Calibri"/>
                <w:b/>
                <w:i w:val="0"/>
                <w:color w:val="3D3C38"/>
                <w:sz w:val="15"/>
              </w:rPr>
              <w:t>Provides</w:t>
            </w:r>
          </w:p>
        </w:tc>
        <w:tc>
          <w:tcPr>
            <w:tcW w:type="dxa" w:w="1440"/>
            <w:shd w:val="clear" w:fill="F6F5F2"/>
            <w:tcBorders>
              <w:top w:val="single" w:sz="10" w:color="101010"/>
              <w:bottom w:val="single" w:sz="5" w:color="6B6A63"/>
            </w:tcBorders>
          </w:tcPr>
          <w:p>
            <w:pPr>
              <w:spacing w:before="32" w:after="32"/>
              <w:jc w:val="left"/>
            </w:pPr>
            <w:r/>
            <w:r>
              <w:rPr>
                <w:rFonts w:ascii="Calibri" w:hAnsi="Calibri"/>
                <w:b/>
                <w:i w:val="0"/>
                <w:color w:val="3D3C38"/>
                <w:sz w:val="15"/>
              </w:rPr>
              <w:t>Licensed</w:t>
            </w:r>
          </w:p>
        </w:tc>
      </w:tr>
      <w:tr>
        <w:tc>
          <w:tcPr>
            <w:tcW w:type="dxa" w:w="3024"/>
            <w:tcBorders>
              <w:bottom w:val="single" w:sz="3" w:color="DEDCD6"/>
            </w:tcBorders>
          </w:tcPr>
          <w:p>
            <w:pPr>
              <w:spacing w:before="32" w:after="32"/>
              <w:jc w:val="left"/>
            </w:pPr>
            <w:r/>
            <w:r>
              <w:rPr>
                <w:rFonts w:ascii="Calibri" w:hAnsi="Calibri"/>
                <w:b w:val="0"/>
                <w:i w:val="0"/>
                <w:color w:val="101010"/>
                <w:sz w:val="16"/>
              </w:rPr>
              <w:t>Bloomberg materiality maps, 18 companies, FY2021 to 25</w:t>
            </w:r>
          </w:p>
        </w:tc>
        <w:tc>
          <w:tcPr>
            <w:tcW w:type="dxa" w:w="5472"/>
            <w:tcBorders>
              <w:bottom w:val="single" w:sz="3" w:color="DEDCD6"/>
            </w:tcBorders>
          </w:tcPr>
          <w:p>
            <w:pPr>
              <w:spacing w:before="32" w:after="32"/>
              <w:jc w:val="left"/>
            </w:pPr>
            <w:r/>
            <w:r>
              <w:rPr>
                <w:rFonts w:ascii="Calibri" w:hAnsi="Calibri"/>
                <w:b w:val="0"/>
                <w:i w:val="0"/>
                <w:color w:val="101010"/>
                <w:sz w:val="16"/>
              </w:rPr>
              <w:t>192 fields delivered; 130 non-financial used after collapsing rate triples and dropping unreported</w:t>
            </w:r>
          </w:p>
        </w:tc>
        <w:tc>
          <w:tcPr>
            <w:tcW w:type="dxa" w:w="1440"/>
            <w:tcBorders>
              <w:bottom w:val="single" w:sz="3" w:color="DEDCD6"/>
            </w:tcBorders>
          </w:tcPr>
          <w:p>
            <w:pPr>
              <w:spacing w:before="32" w:after="32"/>
              <w:jc w:val="left"/>
            </w:pPr>
            <w:r/>
            <w:r>
              <w:rPr>
                <w:rFonts w:ascii="Calibri" w:hAnsi="Calibri"/>
                <w:b/>
                <w:i w:val="0"/>
                <w:color w:val="101010"/>
                <w:sz w:val="16"/>
              </w:rPr>
              <w:t>Yes, withheld</w:t>
            </w:r>
          </w:p>
        </w:tc>
      </w:tr>
      <w:tr>
        <w:tc>
          <w:tcPr>
            <w:tcW w:type="dxa" w:w="3024"/>
            <w:tcBorders>
              <w:bottom w:val="single" w:sz="3" w:color="DEDCD6"/>
            </w:tcBorders>
          </w:tcPr>
          <w:p>
            <w:pPr>
              <w:spacing w:before="32" w:after="32"/>
              <w:jc w:val="left"/>
            </w:pPr>
            <w:r/>
            <w:r>
              <w:rPr>
                <w:rFonts w:ascii="Calibri" w:hAnsi="Calibri"/>
                <w:b w:val="0"/>
                <w:i w:val="0"/>
                <w:color w:val="101010"/>
                <w:sz w:val="16"/>
              </w:rPr>
              <w:t>Own FY2025 credit workbook</w:t>
            </w:r>
          </w:p>
        </w:tc>
        <w:tc>
          <w:tcPr>
            <w:tcW w:type="dxa" w:w="5472"/>
            <w:tcBorders>
              <w:bottom w:val="single" w:sz="3" w:color="DEDCD6"/>
            </w:tcBorders>
          </w:tcPr>
          <w:p>
            <w:pPr>
              <w:spacing w:before="32" w:after="32"/>
              <w:jc w:val="left"/>
            </w:pPr>
            <w:r/>
            <w:r>
              <w:rPr>
                <w:rFonts w:ascii="Calibri" w:hAnsi="Calibri"/>
                <w:b w:val="0"/>
                <w:i w:val="0"/>
                <w:color w:val="101010"/>
                <w:sz w:val="16"/>
              </w:rPr>
              <w:t>leverage, coverage, FCF/debt, capex/D&amp;A, payout, maturities, ROCE, reserve life, three agencies' adjusted leverage</w:t>
            </w:r>
          </w:p>
        </w:tc>
        <w:tc>
          <w:tcPr>
            <w:tcW w:type="dxa" w:w="1440"/>
            <w:tcBorders>
              <w:bottom w:val="single" w:sz="3" w:color="DEDCD6"/>
            </w:tcBorders>
          </w:tcPr>
          <w:p>
            <w:pPr>
              <w:spacing w:before="32" w:after="32"/>
              <w:jc w:val="left"/>
            </w:pPr>
            <w:r/>
            <w:r>
              <w:rPr>
                <w:rFonts w:ascii="Calibri" w:hAnsi="Calibri"/>
                <w:b w:val="0"/>
                <w:i w:val="0"/>
                <w:color w:val="101010"/>
                <w:sz w:val="16"/>
              </w:rPr>
              <w:t>No, SEC XBRL, agency publications</w:t>
            </w:r>
          </w:p>
        </w:tc>
      </w:tr>
      <w:tr>
        <w:tc>
          <w:tcPr>
            <w:tcW w:type="dxa" w:w="3024"/>
            <w:tcBorders>
              <w:bottom w:val="single" w:sz="10" w:color="101010"/>
            </w:tcBorders>
          </w:tcPr>
          <w:p>
            <w:pPr>
              <w:spacing w:before="32" w:after="32"/>
              <w:jc w:val="left"/>
            </w:pPr>
            <w:r/>
            <w:r>
              <w:rPr>
                <w:rFonts w:ascii="Calibri" w:hAnsi="Calibri"/>
                <w:b w:val="0"/>
                <w:i w:val="0"/>
                <w:color w:val="101010"/>
                <w:sz w:val="16"/>
              </w:rPr>
              <w:t>SEC XBRL · EPA GHGRP · EPA EEIO v1.3</w:t>
            </w:r>
          </w:p>
        </w:tc>
        <w:tc>
          <w:tcPr>
            <w:tcW w:type="dxa" w:w="5472"/>
            <w:tcBorders>
              <w:bottom w:val="single" w:sz="10" w:color="101010"/>
            </w:tcBorders>
          </w:tcPr>
          <w:p>
            <w:pPr>
              <w:spacing w:before="32" w:after="32"/>
              <w:jc w:val="left"/>
            </w:pPr>
            <w:r/>
            <w:r>
              <w:rPr>
                <w:rFonts w:ascii="Calibri" w:hAnsi="Calibri"/>
                <w:b w:val="0"/>
                <w:i w:val="0"/>
                <w:color w:val="101010"/>
                <w:sz w:val="16"/>
              </w:rPr>
              <w:t>secondary cross-sector pipeline, 30 companies, 10 GICS sectors</w:t>
            </w:r>
          </w:p>
        </w:tc>
        <w:tc>
          <w:tcPr>
            <w:tcW w:type="dxa" w:w="1440"/>
            <w:tcBorders>
              <w:bottom w:val="single" w:sz="10" w:color="101010"/>
            </w:tcBorders>
          </w:tcPr>
          <w:p>
            <w:pPr>
              <w:spacing w:before="32" w:after="32"/>
              <w:jc w:val="left"/>
            </w:pPr>
            <w:r/>
            <w:r>
              <w:rPr>
                <w:rFonts w:ascii="Calibri" w:hAnsi="Calibri"/>
                <w:b w:val="0"/>
                <w:i w:val="0"/>
                <w:color w:val="101010"/>
                <w:sz w:val="16"/>
              </w:rPr>
              <w:t>No, free, government</w:t>
            </w:r>
          </w:p>
        </w:tc>
      </w:tr>
    </w:tbl>
    <w:p>
      <w:pPr>
        <w:spacing w:before="0" w:after="160"/>
        <w:jc w:val="both"/>
      </w:pPr>
      <w:r>
        <w:rPr>
          <w:rFonts w:ascii="Calibri" w:hAnsi="Calibri"/>
          <w:b w:val="0"/>
          <w:i/>
          <w:color w:val="6B6A63"/>
          <w:sz w:val="15"/>
        </w:rPr>
        <w:t>Agency-adjusted leverage is computed by us from published agency criteria and SEC filings; the ratings themselves are public. Bloomberg Terminal cell values are not redistributed, see WITHHELD.md.</w:t>
      </w:r>
    </w:p>
    <w:p>
      <w:pPr>
        <w:spacing w:before="220" w:after="40"/>
        <w:keepNext/>
      </w:pPr>
      <w:r>
        <w:rPr>
          <w:rFonts w:ascii="Calibri" w:hAnsi="Calibri"/>
          <w:b/>
          <w:color w:val="C04A12"/>
          <w:sz w:val="21"/>
        </w:rPr>
        <w:t>3.2 Universe, dated</w:t>
      </w:r>
    </w:p>
    <w:p>
      <w:pPr>
        <w:spacing w:before="0" w:after="100"/>
        <w:jc w:val="both"/>
      </w:pPr>
      <w:r>
        <w:rPr>
          <w:rFonts w:ascii="Calibri" w:hAnsi="Calibri"/>
          <w:b/>
          <w:i w:val="0"/>
          <w:color w:val="101010"/>
          <w:sz w:val="19"/>
        </w:rPr>
        <w:t>XLE listed 21 S&amp;P 500 energy constituents at 12 September 2026.</w:t>
      </w:r>
      <w:r>
        <w:rPr>
          <w:rFonts w:ascii="Calibri" w:hAnsi="Calibri"/>
          <w:b w:val="0"/>
          <w:i w:val="0"/>
          <w:color w:val="101010"/>
          <w:sz w:val="19"/>
        </w:rPr>
        <w:t xml:space="preserve"> We cover 18. </w:t>
      </w:r>
      <w:r>
        <w:rPr>
          <w:rFonts w:ascii="Calibri" w:hAnsi="Calibri"/>
          <w:b/>
          <w:i w:val="0"/>
          <w:color w:val="101010"/>
          <w:sz w:val="19"/>
        </w:rPr>
        <w:t>APA</w:t>
      </w:r>
      <w:r>
        <w:rPr>
          <w:rFonts w:ascii="Calibri" w:hAnsi="Calibri"/>
          <w:b w:val="0"/>
          <w:i w:val="0"/>
          <w:color w:val="101010"/>
          <w:sz w:val="19"/>
        </w:rPr>
        <w:t xml:space="preserve"> and </w:t>
      </w:r>
      <w:r>
        <w:rPr>
          <w:rFonts w:ascii="Calibri" w:hAnsi="Calibri"/>
          <w:b/>
          <w:i w:val="0"/>
          <w:color w:val="101010"/>
          <w:sz w:val="19"/>
        </w:rPr>
        <w:t>Texas Pacific Land</w:t>
      </w:r>
      <w:r>
        <w:rPr>
          <w:rFonts w:ascii="Calibri" w:hAnsi="Calibri"/>
          <w:b w:val="0"/>
          <w:i w:val="0"/>
          <w:color w:val="101010"/>
          <w:sz w:val="19"/>
        </w:rPr>
        <w:t xml:space="preserve"> were not in the export and are absent; </w:t>
      </w:r>
      <w:r>
        <w:rPr>
          <w:rFonts w:ascii="Calibri" w:hAnsi="Calibri"/>
          <w:b/>
          <w:i w:val="0"/>
          <w:color w:val="101010"/>
          <w:sz w:val="19"/>
        </w:rPr>
        <w:t>EQT</w:t>
      </w:r>
      <w:r>
        <w:rPr>
          <w:rFonts w:ascii="Calibri" w:hAnsi="Calibri"/>
          <w:b w:val="0"/>
          <w:i w:val="0"/>
          <w:color w:val="101010"/>
          <w:sz w:val="19"/>
        </w:rPr>
        <w:t xml:space="preserve"> and </w:t>
      </w:r>
      <w:r>
        <w:rPr>
          <w:rFonts w:ascii="Calibri" w:hAnsi="Calibri"/>
          <w:b/>
          <w:i w:val="0"/>
          <w:color w:val="101010"/>
          <w:sz w:val="19"/>
        </w:rPr>
        <w:t>ONEOK</w:t>
      </w:r>
      <w:r>
        <w:rPr>
          <w:rFonts w:ascii="Calibri" w:hAnsi="Calibri"/>
          <w:b w:val="0"/>
          <w:i w:val="0"/>
          <w:color w:val="101010"/>
          <w:sz w:val="19"/>
        </w:rPr>
        <w:t xml:space="preserve"> likewise. </w:t>
      </w:r>
      <w:r>
        <w:rPr>
          <w:rFonts w:ascii="Calibri" w:hAnsi="Calibri"/>
          <w:b/>
          <w:i w:val="0"/>
          <w:color w:val="101010"/>
          <w:sz w:val="19"/>
        </w:rPr>
        <w:t>CTRA</w:t>
      </w:r>
      <w:r>
        <w:rPr>
          <w:rFonts w:ascii="Calibri" w:hAnsi="Calibri"/>
          <w:b w:val="0"/>
          <w:i w:val="0"/>
          <w:color w:val="101010"/>
          <w:sz w:val="19"/>
        </w:rPr>
        <w:t xml:space="preserve"> is included and was in the index at our extraction date. We did not pad the sample.</w:t>
      </w:r>
    </w:p>
    <w:tbl>
      <w:tblPr>
        <w:tblW w:type="auto" w:w="0"/>
        <w:jc w:val="center"/>
        <w:tblLayout w:type="fixed"/>
        <w:tblLook w:firstColumn="1" w:firstRow="1" w:lastColumn="0" w:lastRow="0" w:noHBand="0" w:noVBand="1" w:val="04A0"/>
      </w:tblPr>
      <w:tblGrid>
        <w:gridCol w:w="3278"/>
        <w:gridCol w:w="3278"/>
        <w:gridCol w:w="3278"/>
      </w:tblGrid>
      <w:tr>
        <w:tc>
          <w:tcPr>
            <w:tcW w:type="dxa" w:w="3024"/>
            <w:shd w:val="clear" w:fill="F6F5F2"/>
            <w:tcBorders>
              <w:top w:val="single" w:sz="10" w:color="101010"/>
              <w:bottom w:val="single" w:sz="5" w:color="6B6A63"/>
            </w:tcBorders>
          </w:tcPr>
          <w:p>
            <w:pPr>
              <w:spacing w:before="32" w:after="32"/>
              <w:jc w:val="left"/>
            </w:pPr>
            <w:r/>
            <w:r>
              <w:rPr>
                <w:rFonts w:ascii="Calibri" w:hAnsi="Calibri"/>
                <w:b/>
                <w:i w:val="0"/>
                <w:color w:val="3D3C38"/>
                <w:sz w:val="15"/>
              </w:rPr>
              <w:t>BECS peer group</w:t>
            </w:r>
          </w:p>
        </w:tc>
        <w:tc>
          <w:tcPr>
            <w:tcW w:type="dxa" w:w="576"/>
            <w:shd w:val="clear" w:fill="F6F5F2"/>
            <w:tcBorders>
              <w:top w:val="single" w:sz="10" w:color="101010"/>
              <w:bottom w:val="single" w:sz="5" w:color="6B6A63"/>
            </w:tcBorders>
          </w:tcPr>
          <w:p>
            <w:pPr>
              <w:spacing w:before="32" w:after="32"/>
              <w:jc w:val="center"/>
            </w:pPr>
            <w:r/>
            <w:r>
              <w:rPr>
                <w:rFonts w:ascii="Calibri" w:hAnsi="Calibri"/>
                <w:b/>
                <w:i w:val="0"/>
                <w:color w:val="3D3C38"/>
                <w:sz w:val="15"/>
              </w:rPr>
              <w:t>n</w:t>
            </w:r>
          </w:p>
        </w:tc>
        <w:tc>
          <w:tcPr>
            <w:tcW w:type="dxa" w:w="6336"/>
            <w:shd w:val="clear" w:fill="F6F5F2"/>
            <w:tcBorders>
              <w:top w:val="single" w:sz="10" w:color="101010"/>
              <w:bottom w:val="single" w:sz="5" w:color="6B6A63"/>
            </w:tcBorders>
          </w:tcPr>
          <w:p>
            <w:pPr>
              <w:spacing w:before="32" w:after="32"/>
              <w:jc w:val="left"/>
            </w:pPr>
            <w:r/>
            <w:r>
              <w:rPr>
                <w:rFonts w:ascii="Calibri" w:hAnsi="Calibri"/>
                <w:b/>
                <w:i w:val="0"/>
                <w:color w:val="3D3C38"/>
                <w:sz w:val="15"/>
              </w:rPr>
              <w:t>Members</w:t>
            </w:r>
          </w:p>
        </w:tc>
      </w:tr>
      <w:tr>
        <w:tc>
          <w:tcPr>
            <w:tcW w:type="dxa" w:w="3024"/>
            <w:tcBorders>
              <w:bottom w:val="single" w:sz="3" w:color="DEDCD6"/>
            </w:tcBorders>
          </w:tcPr>
          <w:p>
            <w:pPr>
              <w:spacing w:before="32" w:after="32"/>
              <w:jc w:val="left"/>
            </w:pPr>
            <w:r/>
            <w:r>
              <w:rPr>
                <w:rFonts w:ascii="Calibri" w:hAnsi="Calibri"/>
                <w:b w:val="0"/>
                <w:i w:val="0"/>
                <w:color w:val="101010"/>
                <w:sz w:val="16"/>
              </w:rPr>
              <w:t>Exploration &amp; Production</w:t>
            </w:r>
          </w:p>
        </w:tc>
        <w:tc>
          <w:tcPr>
            <w:tcW w:type="dxa" w:w="576"/>
            <w:tcBorders>
              <w:bottom w:val="single" w:sz="3" w:color="DEDCD6"/>
            </w:tcBorders>
          </w:tcPr>
          <w:p>
            <w:pPr>
              <w:spacing w:before="32" w:after="32"/>
              <w:jc w:val="center"/>
            </w:pPr>
            <w:r/>
            <w:r>
              <w:rPr>
                <w:rFonts w:ascii="Calibri" w:hAnsi="Calibri"/>
                <w:b w:val="0"/>
                <w:i w:val="0"/>
                <w:color w:val="101010"/>
                <w:sz w:val="16"/>
              </w:rPr>
              <w:t>7</w:t>
            </w:r>
          </w:p>
        </w:tc>
        <w:tc>
          <w:tcPr>
            <w:tcW w:type="dxa" w:w="6336"/>
            <w:tcBorders>
              <w:bottom w:val="single" w:sz="3" w:color="DEDCD6"/>
            </w:tcBorders>
          </w:tcPr>
          <w:p>
            <w:pPr>
              <w:spacing w:before="32" w:after="32"/>
              <w:jc w:val="left"/>
            </w:pPr>
            <w:r/>
            <w:r>
              <w:rPr>
                <w:rFonts w:ascii="Calibri" w:hAnsi="Calibri"/>
                <w:b w:val="0"/>
                <w:i w:val="0"/>
                <w:color w:val="101010"/>
                <w:sz w:val="16"/>
              </w:rPr>
              <w:t>COP, CTRA, DVN, EOG, EXE, FANG, OXY</w:t>
            </w:r>
          </w:p>
        </w:tc>
      </w:tr>
      <w:tr>
        <w:tc>
          <w:tcPr>
            <w:tcW w:type="dxa" w:w="3024"/>
            <w:tcBorders>
              <w:bottom w:val="single" w:sz="3" w:color="DEDCD6"/>
            </w:tcBorders>
          </w:tcPr>
          <w:p>
            <w:pPr>
              <w:spacing w:before="32" w:after="32"/>
              <w:jc w:val="left"/>
            </w:pPr>
            <w:r/>
            <w:r>
              <w:rPr>
                <w:rFonts w:ascii="Calibri" w:hAnsi="Calibri"/>
                <w:b w:val="0"/>
                <w:i w:val="0"/>
                <w:color w:val="101010"/>
                <w:sz w:val="16"/>
              </w:rPr>
              <w:t>Integrated Oils</w:t>
            </w:r>
          </w:p>
        </w:tc>
        <w:tc>
          <w:tcPr>
            <w:tcW w:type="dxa" w:w="576"/>
            <w:tcBorders>
              <w:bottom w:val="single" w:sz="3" w:color="DEDCD6"/>
            </w:tcBorders>
          </w:tcPr>
          <w:p>
            <w:pPr>
              <w:spacing w:before="32" w:after="32"/>
              <w:jc w:val="center"/>
            </w:pPr>
            <w:r/>
            <w:r>
              <w:rPr>
                <w:rFonts w:ascii="Calibri" w:hAnsi="Calibri"/>
                <w:b w:val="0"/>
                <w:i w:val="0"/>
                <w:color w:val="101010"/>
                <w:sz w:val="16"/>
              </w:rPr>
              <w:t>2</w:t>
            </w:r>
          </w:p>
        </w:tc>
        <w:tc>
          <w:tcPr>
            <w:tcW w:type="dxa" w:w="6336"/>
            <w:tcBorders>
              <w:bottom w:val="single" w:sz="3" w:color="DEDCD6"/>
            </w:tcBorders>
          </w:tcPr>
          <w:p>
            <w:pPr>
              <w:spacing w:before="32" w:after="32"/>
              <w:jc w:val="left"/>
            </w:pPr>
            <w:r/>
            <w:r>
              <w:rPr>
                <w:rFonts w:ascii="Calibri" w:hAnsi="Calibri"/>
                <w:b w:val="0"/>
                <w:i w:val="0"/>
                <w:color w:val="101010"/>
                <w:sz w:val="16"/>
              </w:rPr>
              <w:t>CVX, XOM</w:t>
            </w:r>
          </w:p>
        </w:tc>
      </w:tr>
      <w:tr>
        <w:tc>
          <w:tcPr>
            <w:tcW w:type="dxa" w:w="3024"/>
            <w:tcBorders>
              <w:bottom w:val="single" w:sz="3" w:color="DEDCD6"/>
            </w:tcBorders>
          </w:tcPr>
          <w:p>
            <w:pPr>
              <w:spacing w:before="32" w:after="32"/>
              <w:jc w:val="left"/>
            </w:pPr>
            <w:r/>
            <w:r>
              <w:rPr>
                <w:rFonts w:ascii="Calibri" w:hAnsi="Calibri"/>
                <w:b w:val="0"/>
                <w:i w:val="0"/>
                <w:color w:val="101010"/>
                <w:sz w:val="16"/>
              </w:rPr>
              <w:t>Midstream</w:t>
            </w:r>
          </w:p>
        </w:tc>
        <w:tc>
          <w:tcPr>
            <w:tcW w:type="dxa" w:w="576"/>
            <w:tcBorders>
              <w:bottom w:val="single" w:sz="3" w:color="DEDCD6"/>
            </w:tcBorders>
          </w:tcPr>
          <w:p>
            <w:pPr>
              <w:spacing w:before="32" w:after="32"/>
              <w:jc w:val="center"/>
            </w:pPr>
            <w:r/>
            <w:r>
              <w:rPr>
                <w:rFonts w:ascii="Calibri" w:hAnsi="Calibri"/>
                <w:b w:val="0"/>
                <w:i w:val="0"/>
                <w:color w:val="101010"/>
                <w:sz w:val="16"/>
              </w:rPr>
              <w:t>3</w:t>
            </w:r>
          </w:p>
        </w:tc>
        <w:tc>
          <w:tcPr>
            <w:tcW w:type="dxa" w:w="6336"/>
            <w:tcBorders>
              <w:bottom w:val="single" w:sz="3" w:color="DEDCD6"/>
            </w:tcBorders>
          </w:tcPr>
          <w:p>
            <w:pPr>
              <w:spacing w:before="32" w:after="32"/>
              <w:jc w:val="left"/>
            </w:pPr>
            <w:r/>
            <w:r>
              <w:rPr>
                <w:rFonts w:ascii="Calibri" w:hAnsi="Calibri"/>
                <w:b w:val="0"/>
                <w:i w:val="0"/>
                <w:color w:val="101010"/>
                <w:sz w:val="16"/>
              </w:rPr>
              <w:t>KMI, TRGP, WMB</w:t>
            </w:r>
          </w:p>
        </w:tc>
      </w:tr>
      <w:tr>
        <w:tc>
          <w:tcPr>
            <w:tcW w:type="dxa" w:w="3024"/>
            <w:tcBorders>
              <w:bottom w:val="single" w:sz="3" w:color="DEDCD6"/>
            </w:tcBorders>
          </w:tcPr>
          <w:p>
            <w:pPr>
              <w:spacing w:before="32" w:after="32"/>
              <w:jc w:val="left"/>
            </w:pPr>
            <w:r/>
            <w:r>
              <w:rPr>
                <w:rFonts w:ascii="Calibri" w:hAnsi="Calibri"/>
                <w:b w:val="0"/>
                <w:i w:val="0"/>
                <w:color w:val="101010"/>
                <w:sz w:val="16"/>
              </w:rPr>
              <w:t>Refining &amp; Marketing</w:t>
            </w:r>
          </w:p>
        </w:tc>
        <w:tc>
          <w:tcPr>
            <w:tcW w:type="dxa" w:w="576"/>
            <w:tcBorders>
              <w:bottom w:val="single" w:sz="3" w:color="DEDCD6"/>
            </w:tcBorders>
          </w:tcPr>
          <w:p>
            <w:pPr>
              <w:spacing w:before="32" w:after="32"/>
              <w:jc w:val="center"/>
            </w:pPr>
            <w:r/>
            <w:r>
              <w:rPr>
                <w:rFonts w:ascii="Calibri" w:hAnsi="Calibri"/>
                <w:b w:val="0"/>
                <w:i w:val="0"/>
                <w:color w:val="101010"/>
                <w:sz w:val="16"/>
              </w:rPr>
              <w:t>3</w:t>
            </w:r>
          </w:p>
        </w:tc>
        <w:tc>
          <w:tcPr>
            <w:tcW w:type="dxa" w:w="6336"/>
            <w:tcBorders>
              <w:bottom w:val="single" w:sz="3" w:color="DEDCD6"/>
            </w:tcBorders>
          </w:tcPr>
          <w:p>
            <w:pPr>
              <w:spacing w:before="32" w:after="32"/>
              <w:jc w:val="left"/>
            </w:pPr>
            <w:r/>
            <w:r>
              <w:rPr>
                <w:rFonts w:ascii="Calibri" w:hAnsi="Calibri"/>
                <w:b w:val="0"/>
                <w:i w:val="0"/>
                <w:color w:val="101010"/>
                <w:sz w:val="16"/>
              </w:rPr>
              <w:t>MPC, PSX, VLO</w:t>
            </w:r>
          </w:p>
        </w:tc>
      </w:tr>
      <w:tr>
        <w:tc>
          <w:tcPr>
            <w:tcW w:type="dxa" w:w="3024"/>
            <w:tcBorders>
              <w:bottom w:val="single" w:sz="10" w:color="101010"/>
            </w:tcBorders>
          </w:tcPr>
          <w:p>
            <w:pPr>
              <w:spacing w:before="32" w:after="32"/>
              <w:jc w:val="left"/>
            </w:pPr>
            <w:r/>
            <w:r>
              <w:rPr>
                <w:rFonts w:ascii="Calibri" w:hAnsi="Calibri"/>
                <w:b w:val="0"/>
                <w:i w:val="0"/>
                <w:color w:val="101010"/>
                <w:sz w:val="16"/>
              </w:rPr>
              <w:t>Oilfield Services &amp; Equipment</w:t>
            </w:r>
          </w:p>
        </w:tc>
        <w:tc>
          <w:tcPr>
            <w:tcW w:type="dxa" w:w="576"/>
            <w:tcBorders>
              <w:bottom w:val="single" w:sz="10" w:color="101010"/>
            </w:tcBorders>
          </w:tcPr>
          <w:p>
            <w:pPr>
              <w:spacing w:before="32" w:after="32"/>
              <w:jc w:val="center"/>
            </w:pPr>
            <w:r/>
            <w:r>
              <w:rPr>
                <w:rFonts w:ascii="Calibri" w:hAnsi="Calibri"/>
                <w:b w:val="0"/>
                <w:i w:val="0"/>
                <w:color w:val="101010"/>
                <w:sz w:val="16"/>
              </w:rPr>
              <w:t>3</w:t>
            </w:r>
          </w:p>
        </w:tc>
        <w:tc>
          <w:tcPr>
            <w:tcW w:type="dxa" w:w="6336"/>
            <w:tcBorders>
              <w:bottom w:val="single" w:sz="10" w:color="101010"/>
            </w:tcBorders>
          </w:tcPr>
          <w:p>
            <w:pPr>
              <w:spacing w:before="32" w:after="32"/>
              <w:jc w:val="left"/>
            </w:pPr>
            <w:r/>
            <w:r>
              <w:rPr>
                <w:rFonts w:ascii="Calibri" w:hAnsi="Calibri"/>
                <w:b w:val="0"/>
                <w:i w:val="0"/>
                <w:color w:val="101010"/>
                <w:sz w:val="16"/>
              </w:rPr>
              <w:t>BKR, HAL, SLB</w:t>
            </w:r>
          </w:p>
        </w:tc>
      </w:tr>
    </w:tbl>
    <w:p>
      <w:pPr>
        <w:spacing w:before="220" w:after="40"/>
        <w:keepNext/>
      </w:pPr>
      <w:r>
        <w:rPr>
          <w:rFonts w:ascii="Calibri" w:hAnsi="Calibri"/>
          <w:b/>
          <w:color w:val="C04A12"/>
          <w:sz w:val="21"/>
        </w:rPr>
        <w:t>3.3 The indicators, named</w:t>
      </w:r>
    </w:p>
    <w:p>
      <w:pPr>
        <w:spacing w:before="0" w:after="100"/>
        <w:jc w:val="both"/>
      </w:pPr>
      <w:r>
        <w:rPr>
          <w:rFonts w:ascii="Calibri" w:hAnsi="Calibri"/>
          <w:b/>
          <w:i w:val="0"/>
          <w:color w:val="101010"/>
          <w:sz w:val="19"/>
        </w:rPr>
        <w:t>Exhibit 3 names every environmental indicator in the model.</w:t>
      </w:r>
      <w:r>
        <w:rPr>
          <w:rFonts w:ascii="Calibri" w:hAnsi="Calibri"/>
          <w:b w:val="0"/>
          <w:i w:val="0"/>
          <w:color w:val="101010"/>
          <w:sz w:val="19"/>
        </w:rPr>
        <w:t xml:space="preserve"> Two facts a reader should have before anything else: </w:t>
      </w:r>
      <w:r>
        <w:rPr>
          <w:rFonts w:ascii="Calibri" w:hAnsi="Calibri"/>
          <w:b/>
          <w:i w:val="0"/>
          <w:color w:val="101010"/>
          <w:sz w:val="19"/>
        </w:rPr>
        <w:t>Scope 3 is absent</w:t>
      </w:r>
      <w:r>
        <w:rPr>
          <w:rFonts w:ascii="Calibri" w:hAnsi="Calibri"/>
          <w:b w:val="0"/>
          <w:i w:val="0"/>
          <w:color w:val="101010"/>
          <w:sz w:val="19"/>
        </w:rPr>
        <w:t xml:space="preserve"> from all 138 fields, Bloomberg's ES map for these peer groups does not carry it, and its absence is the single largest gap in this framework for an oil and gas universe. </w:t>
      </w:r>
      <w:r>
        <w:rPr>
          <w:rFonts w:ascii="Calibri" w:hAnsi="Calibri"/>
          <w:b/>
          <w:i w:val="0"/>
          <w:color w:val="101010"/>
          <w:sz w:val="19"/>
        </w:rPr>
        <w:t>Methane is present</w:t>
      </w:r>
      <w:r>
        <w:rPr>
          <w:rFonts w:ascii="Calibri" w:hAnsi="Calibri"/>
          <w:b w:val="0"/>
          <w:i w:val="0"/>
          <w:color w:val="101010"/>
          <w:sz w:val="19"/>
        </w:rPr>
        <w:t xml:space="preserve"> as SA055, percent methane of Scope 1, reported by 12 of 18.</w:t>
      </w:r>
    </w:p>
    <w:p>
      <w:pPr>
        <w:spacing w:before="220" w:after="40"/>
        <w:keepNext/>
      </w:pPr>
      <w:r>
        <w:rPr>
          <w:rFonts w:ascii="Calibri" w:hAnsi="Calibri"/>
          <w:b/>
          <w:color w:val="C04A12"/>
          <w:sz w:val="16"/>
        </w:rPr>
        <w:t>Exhibit 3</w:t>
      </w:r>
      <w:r>
        <w:rPr>
          <w:rFonts w:ascii="Calibri" w:hAnsi="Calibri"/>
          <w:b/>
          <w:color w:val="101010"/>
          <w:sz w:val="19"/>
        </w:rPr>
        <w:t xml:space="preserve">   Every environmental indicator in the model, by breadth of reporting</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1944"/>
            <w:shd w:val="clear" w:fill="F6F5F2"/>
            <w:tcBorders>
              <w:top w:val="single" w:sz="10" w:color="101010"/>
              <w:bottom w:val="single" w:sz="5" w:color="6B6A63"/>
            </w:tcBorders>
          </w:tcPr>
          <w:p>
            <w:pPr>
              <w:spacing w:before="32" w:after="32"/>
              <w:jc w:val="left"/>
            </w:pPr>
            <w:r/>
            <w:r>
              <w:rPr>
                <w:rFonts w:ascii="Calibri" w:hAnsi="Calibri"/>
                <w:b/>
                <w:i w:val="0"/>
                <w:color w:val="3D3C38"/>
                <w:sz w:val="15"/>
              </w:rPr>
              <w:t>Field</w:t>
            </w:r>
          </w:p>
        </w:tc>
        <w:tc>
          <w:tcPr>
            <w:tcW w:type="dxa" w:w="4536"/>
            <w:shd w:val="clear" w:fill="F6F5F2"/>
            <w:tcBorders>
              <w:top w:val="single" w:sz="10" w:color="101010"/>
              <w:bottom w:val="single" w:sz="5" w:color="6B6A63"/>
            </w:tcBorders>
          </w:tcPr>
          <w:p>
            <w:pPr>
              <w:spacing w:before="32" w:after="32"/>
              <w:jc w:val="left"/>
            </w:pPr>
            <w:r/>
            <w:r>
              <w:rPr>
                <w:rFonts w:ascii="Calibri" w:hAnsi="Calibri"/>
                <w:b/>
                <w:i w:val="0"/>
                <w:color w:val="3D3C38"/>
                <w:sz w:val="15"/>
              </w:rPr>
              <w:t>Indicator</w:t>
            </w:r>
          </w:p>
        </w:tc>
        <w:tc>
          <w:tcPr>
            <w:tcW w:type="dxa" w:w="720"/>
            <w:shd w:val="clear" w:fill="F6F5F2"/>
            <w:tcBorders>
              <w:top w:val="single" w:sz="10" w:color="101010"/>
              <w:bottom w:val="single" w:sz="5" w:color="6B6A63"/>
            </w:tcBorders>
          </w:tcPr>
          <w:p>
            <w:pPr>
              <w:spacing w:before="32" w:after="32"/>
              <w:jc w:val="center"/>
            </w:pPr>
            <w:r/>
            <w:r>
              <w:rPr>
                <w:rFonts w:ascii="Calibri" w:hAnsi="Calibri"/>
                <w:b/>
                <w:i w:val="0"/>
                <w:color w:val="3D3C38"/>
                <w:sz w:val="15"/>
              </w:rPr>
              <w:t>Type</w:t>
            </w:r>
          </w:p>
        </w:tc>
        <w:tc>
          <w:tcPr>
            <w:tcW w:type="dxa" w:w="2016"/>
            <w:shd w:val="clear" w:fill="F6F5F2"/>
            <w:tcBorders>
              <w:top w:val="single" w:sz="10" w:color="101010"/>
              <w:bottom w:val="single" w:sz="5" w:color="6B6A63"/>
            </w:tcBorders>
          </w:tcPr>
          <w:p>
            <w:pPr>
              <w:spacing w:before="32" w:after="32"/>
              <w:jc w:val="right"/>
            </w:pPr>
            <w:r/>
            <w:r>
              <w:rPr>
                <w:rFonts w:ascii="Calibri" w:hAnsi="Calibri"/>
                <w:b/>
                <w:i w:val="0"/>
                <w:color w:val="3D3C38"/>
                <w:sz w:val="15"/>
              </w:rPr>
              <w:t>Reported</w:t>
            </w:r>
          </w:p>
        </w:tc>
      </w:tr>
      <w:tr>
        <w:tc>
          <w:tcPr>
            <w:tcW w:type="dxa" w:w="1944"/>
            <w:tcBorders>
              <w:bottom w:val="single" w:sz="3" w:color="DEDCD6"/>
            </w:tcBorders>
          </w:tcPr>
          <w:p>
            <w:pPr>
              <w:spacing w:before="32" w:after="32"/>
              <w:jc w:val="left"/>
            </w:pPr>
            <w:r/>
            <w:r>
              <w:rPr>
                <w:rFonts w:ascii="Calibri" w:hAnsi="Calibri"/>
                <w:b w:val="0"/>
                <w:i w:val="0"/>
                <w:color w:val="101010"/>
                <w:sz w:val="16"/>
              </w:rPr>
              <w:t>F0947</w:t>
            </w:r>
          </w:p>
        </w:tc>
        <w:tc>
          <w:tcPr>
            <w:tcW w:type="dxa" w:w="4536"/>
            <w:tcBorders>
              <w:bottom w:val="single" w:sz="3" w:color="DEDCD6"/>
            </w:tcBorders>
          </w:tcPr>
          <w:p>
            <w:pPr>
              <w:spacing w:before="32" w:after="32"/>
              <w:jc w:val="left"/>
            </w:pPr>
            <w:r/>
            <w:r>
              <w:rPr>
                <w:rFonts w:ascii="Calibri" w:hAnsi="Calibri"/>
                <w:b w:val="0"/>
                <w:i w:val="0"/>
                <w:color w:val="101010"/>
                <w:sz w:val="16"/>
              </w:rPr>
              <w:t>Scope 1 GHG / CO₂ emissions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15/18</w:t>
            </w:r>
          </w:p>
        </w:tc>
      </w:tr>
      <w:tr>
        <w:tc>
          <w:tcPr>
            <w:tcW w:type="dxa" w:w="1944"/>
            <w:tcBorders>
              <w:bottom w:val="single" w:sz="3" w:color="DEDCD6"/>
            </w:tcBorders>
          </w:tcPr>
          <w:p>
            <w:pPr>
              <w:spacing w:before="32" w:after="32"/>
              <w:jc w:val="left"/>
            </w:pPr>
            <w:r/>
            <w:r>
              <w:rPr>
                <w:rFonts w:ascii="Calibri" w:hAnsi="Calibri"/>
                <w:b w:val="0"/>
                <w:i w:val="0"/>
                <w:color w:val="101010"/>
                <w:sz w:val="16"/>
              </w:rPr>
              <w:t>SA162</w:t>
            </w:r>
          </w:p>
        </w:tc>
        <w:tc>
          <w:tcPr>
            <w:tcW w:type="dxa" w:w="4536"/>
            <w:tcBorders>
              <w:bottom w:val="single" w:sz="3" w:color="DEDCD6"/>
            </w:tcBorders>
          </w:tcPr>
          <w:p>
            <w:pPr>
              <w:spacing w:before="32" w:after="32"/>
              <w:jc w:val="left"/>
            </w:pPr>
            <w:r/>
            <w:r>
              <w:rPr>
                <w:rFonts w:ascii="Calibri" w:hAnsi="Calibri"/>
                <w:b w:val="0"/>
                <w:i w:val="0"/>
                <w:color w:val="101010"/>
                <w:sz w:val="16"/>
              </w:rPr>
              <w:t>Air pollution reduction policy</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SA558</w:t>
            </w:r>
          </w:p>
        </w:tc>
        <w:tc>
          <w:tcPr>
            <w:tcW w:type="dxa" w:w="4536"/>
            <w:tcBorders>
              <w:bottom w:val="single" w:sz="3" w:color="DEDCD6"/>
            </w:tcBorders>
          </w:tcPr>
          <w:p>
            <w:pPr>
              <w:spacing w:before="32" w:after="32"/>
              <w:jc w:val="left"/>
            </w:pPr>
            <w:r/>
            <w:r>
              <w:rPr>
                <w:rFonts w:ascii="Calibri" w:hAnsi="Calibri"/>
                <w:b w:val="0"/>
                <w:i w:val="0"/>
                <w:color w:val="101010"/>
                <w:sz w:val="16"/>
              </w:rPr>
              <w:t>Claims science-based emissions target</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SA559</w:t>
            </w:r>
          </w:p>
        </w:tc>
        <w:tc>
          <w:tcPr>
            <w:tcW w:type="dxa" w:w="4536"/>
            <w:tcBorders>
              <w:bottom w:val="single" w:sz="3" w:color="DEDCD6"/>
            </w:tcBorders>
          </w:tcPr>
          <w:p>
            <w:pPr>
              <w:spacing w:before="32" w:after="32"/>
              <w:jc w:val="left"/>
            </w:pPr>
            <w:r/>
            <w:r>
              <w:rPr>
                <w:rFonts w:ascii="Calibri" w:hAnsi="Calibri"/>
                <w:b w:val="0"/>
                <w:i w:val="0"/>
                <w:color w:val="101010"/>
                <w:sz w:val="16"/>
              </w:rPr>
              <w:t>Claims net-zero emissions target</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18/18</w:t>
            </w:r>
          </w:p>
        </w:tc>
      </w:tr>
      <w:tr>
        <w:tc>
          <w:tcPr>
            <w:tcW w:type="dxa" w:w="1944"/>
            <w:tcBorders>
              <w:bottom w:val="single" w:sz="3" w:color="DEDCD6"/>
            </w:tcBorders>
          </w:tcPr>
          <w:p>
            <w:pPr>
              <w:spacing w:before="32" w:after="32"/>
              <w:jc w:val="left"/>
            </w:pPr>
            <w:r/>
            <w:r>
              <w:rPr>
                <w:rFonts w:ascii="Calibri" w:hAnsi="Calibri"/>
                <w:b w:val="0"/>
                <w:i w:val="0"/>
                <w:color w:val="101010"/>
                <w:sz w:val="16"/>
              </w:rPr>
              <w:t>ES007 / F0949 / ES009</w:t>
            </w:r>
          </w:p>
        </w:tc>
        <w:tc>
          <w:tcPr>
            <w:tcW w:type="dxa" w:w="4536"/>
            <w:tcBorders>
              <w:bottom w:val="single" w:sz="3" w:color="DEDCD6"/>
            </w:tcBorders>
          </w:tcPr>
          <w:p>
            <w:pPr>
              <w:spacing w:before="32" w:after="32"/>
              <w:jc w:val="left"/>
            </w:pPr>
            <w:r/>
            <w:r>
              <w:rPr>
                <w:rFonts w:ascii="Calibri" w:hAnsi="Calibri"/>
                <w:b w:val="0"/>
                <w:i w:val="0"/>
                <w:color w:val="101010"/>
                <w:sz w:val="16"/>
              </w:rPr>
              <w:t>NOx · SOx · VOC emissions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14 / 13 / 14 of 18</w:t>
            </w:r>
          </w:p>
        </w:tc>
      </w:tr>
      <w:tr>
        <w:tc>
          <w:tcPr>
            <w:tcW w:type="dxa" w:w="1944"/>
            <w:tcBorders>
              <w:bottom w:val="single" w:sz="3" w:color="DEDCD6"/>
            </w:tcBorders>
          </w:tcPr>
          <w:p>
            <w:pPr>
              <w:spacing w:before="32" w:after="32"/>
              <w:jc w:val="left"/>
            </w:pPr>
            <w:r/>
            <w:r>
              <w:rPr>
                <w:rFonts w:ascii="Calibri" w:hAnsi="Calibri"/>
                <w:b w:val="0"/>
                <w:i w:val="0"/>
                <w:color w:val="101010"/>
                <w:sz w:val="16"/>
              </w:rPr>
              <w:t>SA055</w:t>
            </w:r>
          </w:p>
        </w:tc>
        <w:tc>
          <w:tcPr>
            <w:tcW w:type="dxa" w:w="4536"/>
            <w:tcBorders>
              <w:bottom w:val="single" w:sz="3" w:color="DEDCD6"/>
            </w:tcBorders>
          </w:tcPr>
          <w:p>
            <w:pPr>
              <w:spacing w:before="32" w:after="32"/>
              <w:jc w:val="left"/>
            </w:pPr>
            <w:r/>
            <w:r>
              <w:rPr>
                <w:rFonts w:ascii="Calibri" w:hAnsi="Calibri"/>
                <w:b/>
                <w:i w:val="0"/>
                <w:color w:val="101010"/>
                <w:sz w:val="16"/>
              </w:rPr>
              <w:t>Percent methane of Scope 1</w:t>
            </w:r>
          </w:p>
        </w:tc>
        <w:tc>
          <w:tcPr>
            <w:tcW w:type="dxa" w:w="720"/>
            <w:tcBorders>
              <w:bottom w:val="single" w:sz="3" w:color="DEDCD6"/>
            </w:tcBorders>
          </w:tcPr>
          <w:p>
            <w:pPr>
              <w:spacing w:before="32" w:after="32"/>
              <w:jc w:val="center"/>
            </w:pPr>
            <w:r/>
            <w:r>
              <w:rPr>
                <w:rFonts w:ascii="Calibri" w:hAnsi="Calibri"/>
                <w:b w:val="0"/>
                <w:i w:val="0"/>
                <w:color w:val="101010"/>
                <w:sz w:val="16"/>
              </w:rPr>
              <w:t>P</w:t>
            </w:r>
          </w:p>
        </w:tc>
        <w:tc>
          <w:tcPr>
            <w:tcW w:type="dxa" w:w="2016"/>
            <w:tcBorders>
              <w:bottom w:val="single" w:sz="3" w:color="DEDCD6"/>
            </w:tcBorders>
          </w:tcPr>
          <w:p>
            <w:pPr>
              <w:spacing w:before="32" w:after="32"/>
              <w:jc w:val="right"/>
            </w:pPr>
            <w:r/>
            <w:r>
              <w:rPr>
                <w:rFonts w:ascii="Calibri" w:hAnsi="Calibri"/>
                <w:b w:val="0"/>
                <w:i w:val="0"/>
                <w:color w:val="101010"/>
                <w:sz w:val="16"/>
              </w:rPr>
              <w:t>12/18</w:t>
            </w:r>
          </w:p>
        </w:tc>
      </w:tr>
      <w:tr>
        <w:tc>
          <w:tcPr>
            <w:tcW w:type="dxa" w:w="1944"/>
            <w:tcBorders>
              <w:bottom w:val="single" w:sz="3" w:color="DEDCD6"/>
            </w:tcBorders>
          </w:tcPr>
          <w:p>
            <w:pPr>
              <w:spacing w:before="32" w:after="32"/>
              <w:jc w:val="left"/>
            </w:pPr>
            <w:r/>
            <w:r>
              <w:rPr>
                <w:rFonts w:ascii="Calibri" w:hAnsi="Calibri"/>
                <w:b w:val="0"/>
                <w:i w:val="0"/>
                <w:color w:val="101010"/>
                <w:sz w:val="16"/>
              </w:rPr>
              <w:t>SA020</w:t>
            </w:r>
          </w:p>
        </w:tc>
        <w:tc>
          <w:tcPr>
            <w:tcW w:type="dxa" w:w="4536"/>
            <w:tcBorders>
              <w:bottom w:val="single" w:sz="3" w:color="DEDCD6"/>
            </w:tcBorders>
          </w:tcPr>
          <w:p>
            <w:pPr>
              <w:spacing w:before="32" w:after="32"/>
              <w:jc w:val="left"/>
            </w:pPr>
            <w:r/>
            <w:r>
              <w:rPr>
                <w:rFonts w:ascii="Calibri" w:hAnsi="Calibri"/>
                <w:b w:val="0"/>
                <w:i w:val="0"/>
                <w:color w:val="101010"/>
                <w:sz w:val="16"/>
              </w:rPr>
              <w:t>Freshwater withdrawals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12/18</w:t>
            </w:r>
          </w:p>
        </w:tc>
      </w:tr>
      <w:tr>
        <w:tc>
          <w:tcPr>
            <w:tcW w:type="dxa" w:w="1944"/>
            <w:tcBorders>
              <w:bottom w:val="single" w:sz="3" w:color="DEDCD6"/>
            </w:tcBorders>
          </w:tcPr>
          <w:p>
            <w:pPr>
              <w:spacing w:before="32" w:after="32"/>
              <w:jc w:val="left"/>
            </w:pPr>
            <w:r/>
            <w:r>
              <w:rPr>
                <w:rFonts w:ascii="Calibri" w:hAnsi="Calibri"/>
                <w:b w:val="0"/>
                <w:i w:val="0"/>
                <w:color w:val="101010"/>
                <w:sz w:val="16"/>
              </w:rPr>
              <w:t>ES249 / SA048</w:t>
            </w:r>
          </w:p>
        </w:tc>
        <w:tc>
          <w:tcPr>
            <w:tcW w:type="dxa" w:w="4536"/>
            <w:tcBorders>
              <w:bottom w:val="single" w:sz="3" w:color="DEDCD6"/>
            </w:tcBorders>
          </w:tcPr>
          <w:p>
            <w:pPr>
              <w:spacing w:before="32" w:after="32"/>
              <w:jc w:val="left"/>
            </w:pPr>
            <w:r/>
            <w:r>
              <w:rPr>
                <w:rFonts w:ascii="Calibri" w:hAnsi="Calibri"/>
                <w:b w:val="0"/>
                <w:i w:val="0"/>
                <w:color w:val="101010"/>
                <w:sz w:val="16"/>
              </w:rPr>
              <w:t>Hydrocarbon spills, volume and count</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11/18</w:t>
            </w:r>
          </w:p>
        </w:tc>
      </w:tr>
      <w:tr>
        <w:tc>
          <w:tcPr>
            <w:tcW w:type="dxa" w:w="1944"/>
            <w:tcBorders>
              <w:bottom w:val="single" w:sz="3" w:color="DEDCD6"/>
            </w:tcBorders>
          </w:tcPr>
          <w:p>
            <w:pPr>
              <w:spacing w:before="32" w:after="32"/>
              <w:jc w:val="left"/>
            </w:pPr>
            <w:r/>
            <w:r>
              <w:rPr>
                <w:rFonts w:ascii="Calibri" w:hAnsi="Calibri"/>
                <w:b w:val="0"/>
                <w:i w:val="0"/>
                <w:color w:val="101010"/>
                <w:sz w:val="16"/>
              </w:rPr>
              <w:t>F1284</w:t>
            </w:r>
          </w:p>
        </w:tc>
        <w:tc>
          <w:tcPr>
            <w:tcW w:type="dxa" w:w="4536"/>
            <w:tcBorders>
              <w:bottom w:val="single" w:sz="3" w:color="DEDCD6"/>
            </w:tcBorders>
          </w:tcPr>
          <w:p>
            <w:pPr>
              <w:spacing w:before="32" w:after="32"/>
              <w:jc w:val="left"/>
            </w:pPr>
            <w:r/>
            <w:r>
              <w:rPr>
                <w:rFonts w:ascii="Calibri" w:hAnsi="Calibri"/>
                <w:b w:val="0"/>
                <w:i w:val="0"/>
                <w:color w:val="101010"/>
                <w:sz w:val="16"/>
              </w:rPr>
              <w:t>Embedded carbon in total reserves</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ES027</w:t>
            </w:r>
          </w:p>
        </w:tc>
        <w:tc>
          <w:tcPr>
            <w:tcW w:type="dxa" w:w="4536"/>
            <w:tcBorders>
              <w:bottom w:val="single" w:sz="3" w:color="DEDCD6"/>
            </w:tcBorders>
          </w:tcPr>
          <w:p>
            <w:pPr>
              <w:spacing w:before="32" w:after="32"/>
              <w:jc w:val="left"/>
            </w:pPr>
            <w:r/>
            <w:r>
              <w:rPr>
                <w:rFonts w:ascii="Calibri" w:hAnsi="Calibri"/>
                <w:b w:val="0"/>
                <w:i w:val="0"/>
                <w:color w:val="101010"/>
                <w:sz w:val="16"/>
              </w:rPr>
              <w:t>Gas flaring</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SA084 / SA085</w:t>
            </w:r>
          </w:p>
        </w:tc>
        <w:tc>
          <w:tcPr>
            <w:tcW w:type="dxa" w:w="4536"/>
            <w:tcBorders>
              <w:bottom w:val="single" w:sz="3" w:color="DEDCD6"/>
            </w:tcBorders>
          </w:tcPr>
          <w:p>
            <w:pPr>
              <w:spacing w:before="32" w:after="32"/>
              <w:jc w:val="left"/>
            </w:pPr>
            <w:r/>
            <w:r>
              <w:rPr>
                <w:rFonts w:ascii="Calibri" w:hAnsi="Calibri"/>
                <w:b w:val="0"/>
                <w:i w:val="0"/>
                <w:color w:val="101010"/>
                <w:sz w:val="16"/>
              </w:rPr>
              <w:t>Internal carbon pricing · Arctic drilling</w:t>
            </w:r>
          </w:p>
        </w:tc>
        <w:tc>
          <w:tcPr>
            <w:tcW w:type="dxa" w:w="720"/>
            <w:tcBorders>
              <w:bottom w:val="single" w:sz="3" w:color="DEDCD6"/>
            </w:tcBorders>
          </w:tcPr>
          <w:p>
            <w:pPr>
              <w:spacing w:before="32" w:after="32"/>
              <w:jc w:val="center"/>
            </w:pPr>
            <w:r/>
            <w:r>
              <w:rPr>
                <w:rFonts w:ascii="Calibri" w:hAnsi="Calibri"/>
                <w:b w:val="0"/>
                <w:i w:val="0"/>
                <w:color w:val="101010"/>
                <w:sz w:val="16"/>
              </w:rPr>
              <w:t>B</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ES497</w:t>
            </w:r>
          </w:p>
        </w:tc>
        <w:tc>
          <w:tcPr>
            <w:tcW w:type="dxa" w:w="4536"/>
            <w:tcBorders>
              <w:bottom w:val="single" w:sz="3" w:color="DEDCD6"/>
            </w:tcBorders>
          </w:tcPr>
          <w:p>
            <w:pPr>
              <w:spacing w:before="32" w:after="32"/>
              <w:jc w:val="left"/>
            </w:pPr>
            <w:r/>
            <w:r>
              <w:rPr>
                <w:rFonts w:ascii="Calibri" w:hAnsi="Calibri"/>
                <w:b w:val="0"/>
                <w:i w:val="0"/>
                <w:color w:val="101010"/>
                <w:sz w:val="16"/>
              </w:rPr>
              <w:t>Water stress exposure</w:t>
            </w:r>
          </w:p>
        </w:tc>
        <w:tc>
          <w:tcPr>
            <w:tcW w:type="dxa" w:w="720"/>
            <w:tcBorders>
              <w:bottom w:val="single" w:sz="3" w:color="DEDCD6"/>
            </w:tcBorders>
          </w:tcPr>
          <w:p>
            <w:pPr>
              <w:spacing w:before="32" w:after="32"/>
              <w:jc w:val="center"/>
            </w:pPr>
            <w:r/>
            <w:r>
              <w:rPr>
                <w:rFonts w:ascii="Calibri" w:hAnsi="Calibri"/>
                <w:b w:val="0"/>
                <w:i w:val="0"/>
                <w:color w:val="101010"/>
                <w:sz w:val="16"/>
              </w:rPr>
              <w:t>P</w:t>
            </w:r>
          </w:p>
        </w:tc>
        <w:tc>
          <w:tcPr>
            <w:tcW w:type="dxa" w:w="2016"/>
            <w:tcBorders>
              <w:bottom w:val="single" w:sz="3" w:color="DEDCD6"/>
            </w:tcBorders>
          </w:tcPr>
          <w:p>
            <w:pPr>
              <w:spacing w:before="32" w:after="32"/>
              <w:jc w:val="right"/>
            </w:pPr>
            <w:r/>
            <w:r>
              <w:rPr>
                <w:rFonts w:ascii="Calibri" w:hAnsi="Calibri"/>
                <w:b w:val="0"/>
                <w:i w:val="0"/>
                <w:color w:val="101010"/>
                <w:sz w:val="16"/>
              </w:rPr>
              <w:t>9/18</w:t>
            </w:r>
          </w:p>
        </w:tc>
      </w:tr>
      <w:tr>
        <w:tc>
          <w:tcPr>
            <w:tcW w:type="dxa" w:w="1944"/>
            <w:tcBorders>
              <w:bottom w:val="single" w:sz="3" w:color="DEDCD6"/>
            </w:tcBorders>
          </w:tcPr>
          <w:p>
            <w:pPr>
              <w:spacing w:before="32" w:after="32"/>
              <w:jc w:val="left"/>
            </w:pPr>
            <w:r/>
            <w:r>
              <w:rPr>
                <w:rFonts w:ascii="Calibri" w:hAnsi="Calibri"/>
                <w:b w:val="0"/>
                <w:i w:val="0"/>
                <w:color w:val="101010"/>
                <w:sz w:val="16"/>
              </w:rPr>
              <w:t>ES019 / SA016 / SA023</w:t>
            </w:r>
          </w:p>
        </w:tc>
        <w:tc>
          <w:tcPr>
            <w:tcW w:type="dxa" w:w="4536"/>
            <w:tcBorders>
              <w:bottom w:val="single" w:sz="3" w:color="DEDCD6"/>
            </w:tcBorders>
          </w:tcPr>
          <w:p>
            <w:pPr>
              <w:spacing w:before="32" w:after="32"/>
              <w:jc w:val="left"/>
            </w:pPr>
            <w:r/>
            <w:r>
              <w:rPr>
                <w:rFonts w:ascii="Calibri" w:hAnsi="Calibri"/>
                <w:b w:val="0"/>
                <w:i w:val="0"/>
                <w:color w:val="101010"/>
                <w:sz w:val="16"/>
              </w:rPr>
              <w:t>Hazardous waste: total, share, recycled</w:t>
            </w:r>
          </w:p>
        </w:tc>
        <w:tc>
          <w:tcPr>
            <w:tcW w:type="dxa" w:w="720"/>
            <w:tcBorders>
              <w:bottom w:val="single" w:sz="3" w:color="DEDCD6"/>
            </w:tcBorders>
          </w:tcPr>
          <w:p>
            <w:pPr>
              <w:spacing w:before="32" w:after="32"/>
              <w:jc w:val="center"/>
            </w:pPr>
            <w:r/>
            <w:r>
              <w:rPr>
                <w:rFonts w:ascii="Calibri" w:hAnsi="Calibri"/>
                <w:b w:val="0"/>
                <w:i w:val="0"/>
                <w:color w:val="101010"/>
                <w:sz w:val="16"/>
              </w:rPr>
              <w:t>Q/P</w:t>
            </w:r>
          </w:p>
        </w:tc>
        <w:tc>
          <w:tcPr>
            <w:tcW w:type="dxa" w:w="2016"/>
            <w:tcBorders>
              <w:bottom w:val="single" w:sz="3" w:color="DEDCD6"/>
            </w:tcBorders>
          </w:tcPr>
          <w:p>
            <w:pPr>
              <w:spacing w:before="32" w:after="32"/>
              <w:jc w:val="right"/>
            </w:pPr>
            <w:r/>
            <w:r>
              <w:rPr>
                <w:rFonts w:ascii="Calibri" w:hAnsi="Calibri"/>
                <w:b w:val="0"/>
                <w:i w:val="0"/>
                <w:color w:val="101010"/>
                <w:sz w:val="16"/>
              </w:rPr>
              <w:t>7 / 5 / 4 of 18</w:t>
            </w:r>
          </w:p>
        </w:tc>
      </w:tr>
      <w:tr>
        <w:tc>
          <w:tcPr>
            <w:tcW w:type="dxa" w:w="1944"/>
            <w:tcBorders>
              <w:bottom w:val="single" w:sz="3" w:color="DEDCD6"/>
            </w:tcBorders>
          </w:tcPr>
          <w:p>
            <w:pPr>
              <w:spacing w:before="32" w:after="32"/>
              <w:jc w:val="left"/>
            </w:pPr>
            <w:r/>
            <w:r>
              <w:rPr>
                <w:rFonts w:ascii="Calibri" w:hAnsi="Calibri"/>
                <w:b w:val="0"/>
                <w:i w:val="0"/>
                <w:color w:val="101010"/>
                <w:sz w:val="16"/>
              </w:rPr>
              <w:t>ES077 / ES255</w:t>
            </w:r>
          </w:p>
        </w:tc>
        <w:tc>
          <w:tcPr>
            <w:tcW w:type="dxa" w:w="4536"/>
            <w:tcBorders>
              <w:bottom w:val="single" w:sz="3" w:color="DEDCD6"/>
            </w:tcBorders>
          </w:tcPr>
          <w:p>
            <w:pPr>
              <w:spacing w:before="32" w:after="32"/>
              <w:jc w:val="left"/>
            </w:pPr>
            <w:r/>
            <w:r>
              <w:rPr>
                <w:rFonts w:ascii="Calibri" w:hAnsi="Calibri"/>
                <w:b w:val="0"/>
                <w:i w:val="0"/>
                <w:color w:val="101010"/>
                <w:sz w:val="16"/>
              </w:rPr>
              <w:t>GHG Scope 2, location- and market-based</w:t>
            </w:r>
          </w:p>
        </w:tc>
        <w:tc>
          <w:tcPr>
            <w:tcW w:type="dxa" w:w="720"/>
            <w:tcBorders>
              <w:bottom w:val="single" w:sz="3" w:color="DEDCD6"/>
            </w:tcBorders>
          </w:tcPr>
          <w:p>
            <w:pPr>
              <w:spacing w:before="32" w:after="32"/>
              <w:jc w:val="center"/>
            </w:pPr>
            <w:r/>
            <w:r>
              <w:rPr>
                <w:rFonts w:ascii="Calibri" w:hAnsi="Calibri"/>
                <w:b w:val="0"/>
                <w:i w:val="0"/>
                <w:color w:val="101010"/>
                <w:sz w:val="16"/>
              </w:rPr>
              <w:t>Q</w:t>
            </w:r>
          </w:p>
        </w:tc>
        <w:tc>
          <w:tcPr>
            <w:tcW w:type="dxa" w:w="2016"/>
            <w:tcBorders>
              <w:bottom w:val="single" w:sz="3" w:color="DEDCD6"/>
            </w:tcBorders>
          </w:tcPr>
          <w:p>
            <w:pPr>
              <w:spacing w:before="32" w:after="32"/>
              <w:jc w:val="right"/>
            </w:pPr>
            <w:r/>
            <w:r>
              <w:rPr>
                <w:rFonts w:ascii="Calibri" w:hAnsi="Calibri"/>
                <w:b w:val="0"/>
                <w:i w:val="0"/>
                <w:color w:val="101010"/>
                <w:sz w:val="16"/>
              </w:rPr>
              <w:t>2/18</w:t>
            </w:r>
          </w:p>
        </w:tc>
      </w:tr>
      <w:tr>
        <w:tc>
          <w:tcPr>
            <w:tcW w:type="dxa" w:w="1944"/>
            <w:tcBorders>
              <w:bottom w:val="single" w:sz="10" w:color="101010"/>
            </w:tcBorders>
          </w:tcPr>
          <w:p>
            <w:pPr>
              <w:spacing w:before="32" w:after="32"/>
              <w:jc w:val="left"/>
            </w:pPr>
            <w:r/>
            <w:r>
              <w:rPr>
                <w:rFonts w:ascii="Calibri" w:hAnsi="Calibri"/>
                <w:b w:val="0"/>
                <w:i w:val="0"/>
                <w:color w:val="101010"/>
                <w:sz w:val="16"/>
              </w:rPr>
              <w:t xml:space="preserve"> </w:t>
            </w:r>
          </w:p>
        </w:tc>
        <w:tc>
          <w:tcPr>
            <w:tcW w:type="dxa" w:w="4536"/>
            <w:tcBorders>
              <w:bottom w:val="single" w:sz="10" w:color="101010"/>
            </w:tcBorders>
          </w:tcPr>
          <w:p>
            <w:pPr>
              <w:spacing w:before="32" w:after="32"/>
              <w:jc w:val="left"/>
            </w:pPr>
            <w:r/>
            <w:r>
              <w:rPr>
                <w:rFonts w:ascii="Calibri" w:hAnsi="Calibri"/>
                <w:b/>
                <w:i w:val="0"/>
                <w:color w:val="101010"/>
                <w:sz w:val="16"/>
              </w:rPr>
              <w:t>GHG Scope 3</w:t>
            </w:r>
          </w:p>
        </w:tc>
        <w:tc>
          <w:tcPr>
            <w:tcW w:type="dxa" w:w="720"/>
            <w:tcBorders>
              <w:bottom w:val="single" w:sz="10" w:color="101010"/>
            </w:tcBorders>
          </w:tcPr>
          <w:p>
            <w:pPr>
              <w:spacing w:before="32" w:after="32"/>
              <w:jc w:val="center"/>
            </w:pPr>
            <w:r/>
            <w:r>
              <w:rPr>
                <w:rFonts w:ascii="Calibri" w:hAnsi="Calibri"/>
                <w:b w:val="0"/>
                <w:i w:val="0"/>
                <w:color w:val="101010"/>
                <w:sz w:val="16"/>
              </w:rPr>
              <w:t xml:space="preserve"> </w:t>
            </w:r>
          </w:p>
        </w:tc>
        <w:tc>
          <w:tcPr>
            <w:tcW w:type="dxa" w:w="2016"/>
            <w:tcBorders>
              <w:bottom w:val="single" w:sz="10" w:color="101010"/>
            </w:tcBorders>
          </w:tcPr>
          <w:p>
            <w:pPr>
              <w:spacing w:before="32" w:after="32"/>
              <w:jc w:val="right"/>
            </w:pPr>
            <w:r/>
            <w:r>
              <w:rPr>
                <w:rFonts w:ascii="Calibri" w:hAnsi="Calibri"/>
                <w:b/>
                <w:i w:val="0"/>
                <w:color w:val="101010"/>
                <w:sz w:val="16"/>
              </w:rPr>
              <w:t>absent from the export</w:t>
            </w:r>
          </w:p>
        </w:tc>
      </w:tr>
    </w:tbl>
    <w:p>
      <w:pPr>
        <w:spacing w:before="0" w:after="160"/>
        <w:jc w:val="both"/>
      </w:pPr>
      <w:r>
        <w:rPr>
          <w:rFonts w:ascii="Calibri" w:hAnsi="Calibri"/>
          <w:b w:val="0"/>
          <w:i/>
          <w:color w:val="6B6A63"/>
          <w:sz w:val="15"/>
        </w:rPr>
        <w:t>37 environmental fields in total; the remaining 15 are policy booleans listed in Appendix C. Type: Q quantity, P percentage, B boolean.</w:t>
      </w:r>
    </w:p>
    <w:p>
      <w:r>
        <w:br w:type="page"/>
      </w:r>
    </w:p>
    <w:p>
      <w:pPr>
        <w:spacing w:before="220" w:after="40"/>
        <w:keepNext/>
      </w:pPr>
      <w:r>
        <w:rPr>
          <w:rFonts w:ascii="Calibri" w:hAnsi="Calibri"/>
          <w:b/>
          <w:color w:val="C04A12"/>
          <w:sz w:val="21"/>
        </w:rPr>
        <w:t>3.4 The disclosure constraint</w:t>
      </w:r>
    </w:p>
    <w:p>
      <w:pPr>
        <w:spacing w:before="220" w:after="40"/>
        <w:keepNext/>
      </w:pPr>
      <w:r>
        <w:rPr>
          <w:rFonts w:ascii="Calibri" w:hAnsi="Calibri"/>
          <w:b/>
          <w:color w:val="C04A12"/>
          <w:sz w:val="16"/>
        </w:rPr>
        <w:t>Exhibit 4</w:t>
      </w:r>
      <w:r>
        <w:rPr>
          <w:rFonts w:ascii="Calibri" w:hAnsi="Calibri"/>
          <w:b/>
          <w:color w:val="101010"/>
          <w:sz w:val="19"/>
        </w:rPr>
        <w:t xml:space="preserve">   Field coverage by pillar and fiscal year (share of cells filled)</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2160"/>
            <w:shd w:val="clear" w:fill="F6F5F2"/>
            <w:tcBorders>
              <w:top w:val="single" w:sz="10" w:color="101010"/>
              <w:bottom w:val="single" w:sz="5" w:color="6B6A63"/>
            </w:tcBorders>
          </w:tcPr>
          <w:p>
            <w:pPr>
              <w:spacing w:before="32" w:after="32"/>
              <w:jc w:val="left"/>
            </w:pPr>
            <w:r/>
            <w:r>
              <w:rPr>
                <w:rFonts w:ascii="Calibri" w:hAnsi="Calibri"/>
                <w:b/>
                <w:i w:val="0"/>
                <w:color w:val="3D3C38"/>
                <w:sz w:val="15"/>
              </w:rPr>
              <w:t>Pillar</w:t>
            </w:r>
          </w:p>
        </w:tc>
        <w:tc>
          <w:tcPr>
            <w:tcW w:type="dxa" w:w="1008"/>
            <w:shd w:val="clear" w:fill="F6F5F2"/>
            <w:tcBorders>
              <w:top w:val="single" w:sz="10" w:color="101010"/>
              <w:bottom w:val="single" w:sz="5" w:color="6B6A63"/>
            </w:tcBorders>
          </w:tcPr>
          <w:p>
            <w:pPr>
              <w:spacing w:before="32" w:after="32"/>
              <w:jc w:val="right"/>
            </w:pPr>
            <w:r/>
            <w:r>
              <w:rPr>
                <w:rFonts w:ascii="Calibri" w:hAnsi="Calibri"/>
                <w:b/>
                <w:i w:val="0"/>
                <w:color w:val="3D3C38"/>
                <w:sz w:val="15"/>
              </w:rPr>
              <w:t>Fields</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FY2021</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FY2022</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FY2023</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FY2024</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FY2025</w:t>
            </w:r>
          </w:p>
        </w:tc>
      </w:tr>
      <w:tr>
        <w:tc>
          <w:tcPr>
            <w:tcW w:type="dxa" w:w="2160"/>
            <w:tcBorders>
              <w:bottom w:val="single" w:sz="3" w:color="DEDCD6"/>
            </w:tcBorders>
          </w:tcPr>
          <w:p>
            <w:pPr>
              <w:spacing w:before="32" w:after="32"/>
              <w:jc w:val="left"/>
            </w:pPr>
            <w:r/>
            <w:r>
              <w:rPr>
                <w:rFonts w:ascii="Calibri" w:hAnsi="Calibri"/>
                <w:b w:val="0"/>
                <w:i w:val="0"/>
                <w:color w:val="101010"/>
                <w:sz w:val="16"/>
              </w:rPr>
              <w:t>Environment</w:t>
            </w:r>
          </w:p>
        </w:tc>
        <w:tc>
          <w:tcPr>
            <w:tcW w:type="dxa" w:w="1008"/>
            <w:tcBorders>
              <w:bottom w:val="single" w:sz="3" w:color="DEDCD6"/>
            </w:tcBorders>
          </w:tcPr>
          <w:p>
            <w:pPr>
              <w:spacing w:before="32" w:after="32"/>
              <w:jc w:val="right"/>
            </w:pPr>
            <w:r/>
            <w:r>
              <w:rPr>
                <w:rFonts w:ascii="Calibri" w:hAnsi="Calibri"/>
                <w:b w:val="0"/>
                <w:i w:val="0"/>
                <w:color w:val="101010"/>
                <w:sz w:val="16"/>
              </w:rPr>
              <w:t>37</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224"/>
            <w:tcBorders>
              <w:bottom w:val="single" w:sz="3" w:color="DEDCD6"/>
            </w:tcBorders>
          </w:tcPr>
          <w:p>
            <w:pPr>
              <w:spacing w:before="32" w:after="32"/>
              <w:jc w:val="right"/>
            </w:pPr>
            <w:r/>
            <w:r>
              <w:rPr>
                <w:rFonts w:ascii="Calibri" w:hAnsi="Calibri"/>
                <w:b w:val="0"/>
                <w:i w:val="0"/>
                <w:color w:val="101010"/>
                <w:sz w:val="16"/>
              </w:rPr>
              <w:t>60%</w:t>
            </w:r>
          </w:p>
        </w:tc>
        <w:tc>
          <w:tcPr>
            <w:tcW w:type="dxa" w:w="1224"/>
            <w:tcBorders>
              <w:bottom w:val="single" w:sz="3" w:color="DEDCD6"/>
            </w:tcBorders>
          </w:tcPr>
          <w:p>
            <w:pPr>
              <w:spacing w:before="32" w:after="32"/>
              <w:jc w:val="right"/>
            </w:pPr>
            <w:r/>
            <w:r>
              <w:rPr>
                <w:rFonts w:ascii="Calibri" w:hAnsi="Calibri"/>
                <w:b w:val="0"/>
                <w:i w:val="0"/>
                <w:color w:val="101010"/>
                <w:sz w:val="16"/>
              </w:rPr>
              <w:t>61%</w:t>
            </w:r>
          </w:p>
        </w:tc>
        <w:tc>
          <w:tcPr>
            <w:tcW w:type="dxa" w:w="1224"/>
            <w:tcBorders>
              <w:bottom w:val="single" w:sz="3" w:color="DEDCD6"/>
            </w:tcBorders>
          </w:tcPr>
          <w:p>
            <w:pPr>
              <w:spacing w:before="32" w:after="32"/>
              <w:jc w:val="right"/>
            </w:pPr>
            <w:r/>
            <w:r>
              <w:rPr>
                <w:rFonts w:ascii="Calibri" w:hAnsi="Calibri"/>
                <w:b/>
                <w:i w:val="0"/>
                <w:color w:val="101010"/>
                <w:sz w:val="16"/>
              </w:rPr>
              <w:t>36%</w:t>
            </w:r>
          </w:p>
        </w:tc>
      </w:tr>
      <w:tr>
        <w:tc>
          <w:tcPr>
            <w:tcW w:type="dxa" w:w="2160"/>
            <w:tcBorders>
              <w:bottom w:val="single" w:sz="3" w:color="DEDCD6"/>
            </w:tcBorders>
          </w:tcPr>
          <w:p>
            <w:pPr>
              <w:spacing w:before="32" w:after="32"/>
              <w:jc w:val="left"/>
            </w:pPr>
            <w:r/>
            <w:r>
              <w:rPr>
                <w:rFonts w:ascii="Calibri" w:hAnsi="Calibri"/>
                <w:b w:val="0"/>
                <w:i w:val="0"/>
                <w:color w:val="101010"/>
                <w:sz w:val="16"/>
              </w:rPr>
              <w:t>Social</w:t>
            </w:r>
          </w:p>
        </w:tc>
        <w:tc>
          <w:tcPr>
            <w:tcW w:type="dxa" w:w="1008"/>
            <w:tcBorders>
              <w:bottom w:val="single" w:sz="3" w:color="DEDCD6"/>
            </w:tcBorders>
          </w:tcPr>
          <w:p>
            <w:pPr>
              <w:spacing w:before="32" w:after="32"/>
              <w:jc w:val="right"/>
            </w:pPr>
            <w:r/>
            <w:r>
              <w:rPr>
                <w:rFonts w:ascii="Calibri" w:hAnsi="Calibri"/>
                <w:b w:val="0"/>
                <w:i w:val="0"/>
                <w:color w:val="101010"/>
                <w:sz w:val="16"/>
              </w:rPr>
              <w:t>14</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65%</w:t>
            </w:r>
          </w:p>
        </w:tc>
        <w:tc>
          <w:tcPr>
            <w:tcW w:type="dxa" w:w="1224"/>
            <w:tcBorders>
              <w:bottom w:val="single" w:sz="3" w:color="DEDCD6"/>
            </w:tcBorders>
          </w:tcPr>
          <w:p>
            <w:pPr>
              <w:spacing w:before="32" w:after="32"/>
              <w:jc w:val="right"/>
            </w:pPr>
            <w:r/>
            <w:r>
              <w:rPr>
                <w:rFonts w:ascii="Calibri" w:hAnsi="Calibri"/>
                <w:b w:val="0"/>
                <w:i w:val="0"/>
                <w:color w:val="101010"/>
                <w:sz w:val="16"/>
              </w:rPr>
              <w:t>66%</w:t>
            </w:r>
          </w:p>
        </w:tc>
        <w:tc>
          <w:tcPr>
            <w:tcW w:type="dxa" w:w="1224"/>
            <w:tcBorders>
              <w:bottom w:val="single" w:sz="3" w:color="DEDCD6"/>
            </w:tcBorders>
          </w:tcPr>
          <w:p>
            <w:pPr>
              <w:spacing w:before="32" w:after="32"/>
              <w:jc w:val="right"/>
            </w:pPr>
            <w:r/>
            <w:r>
              <w:rPr>
                <w:rFonts w:ascii="Calibri" w:hAnsi="Calibri"/>
                <w:b/>
                <w:i w:val="0"/>
                <w:color w:val="101010"/>
                <w:sz w:val="16"/>
              </w:rPr>
              <w:t>39%</w:t>
            </w:r>
          </w:p>
        </w:tc>
      </w:tr>
      <w:tr>
        <w:tc>
          <w:tcPr>
            <w:tcW w:type="dxa" w:w="2160"/>
            <w:tcBorders>
              <w:bottom w:val="single" w:sz="3" w:color="DEDCD6"/>
            </w:tcBorders>
          </w:tcPr>
          <w:p>
            <w:pPr>
              <w:spacing w:before="32" w:after="32"/>
              <w:jc w:val="left"/>
            </w:pPr>
            <w:r/>
            <w:r>
              <w:rPr>
                <w:rFonts w:ascii="Calibri" w:hAnsi="Calibri"/>
                <w:b w:val="0"/>
                <w:i w:val="0"/>
                <w:color w:val="101010"/>
                <w:sz w:val="16"/>
              </w:rPr>
              <w:t>Governance</w:t>
            </w:r>
          </w:p>
        </w:tc>
        <w:tc>
          <w:tcPr>
            <w:tcW w:type="dxa" w:w="1008"/>
            <w:tcBorders>
              <w:bottom w:val="single" w:sz="3" w:color="DEDCD6"/>
            </w:tcBorders>
          </w:tcPr>
          <w:p>
            <w:pPr>
              <w:spacing w:before="32" w:after="32"/>
              <w:jc w:val="right"/>
            </w:pPr>
            <w:r/>
            <w:r>
              <w:rPr>
                <w:rFonts w:ascii="Calibri" w:hAnsi="Calibri"/>
                <w:b w:val="0"/>
                <w:i w:val="0"/>
                <w:color w:val="101010"/>
                <w:sz w:val="16"/>
              </w:rPr>
              <w:t>78</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97%</w:t>
            </w:r>
          </w:p>
        </w:tc>
        <w:tc>
          <w:tcPr>
            <w:tcW w:type="dxa" w:w="1224"/>
            <w:tcBorders>
              <w:bottom w:val="single" w:sz="3" w:color="DEDCD6"/>
            </w:tcBorders>
          </w:tcPr>
          <w:p>
            <w:pPr>
              <w:spacing w:before="32" w:after="32"/>
              <w:jc w:val="right"/>
            </w:pPr>
            <w:r/>
            <w:r>
              <w:rPr>
                <w:rFonts w:ascii="Calibri" w:hAnsi="Calibri"/>
                <w:b w:val="0"/>
                <w:i w:val="0"/>
                <w:color w:val="101010"/>
                <w:sz w:val="16"/>
              </w:rPr>
              <w:t>92%</w:t>
            </w:r>
          </w:p>
        </w:tc>
      </w:tr>
      <w:tr>
        <w:tc>
          <w:tcPr>
            <w:tcW w:type="dxa" w:w="2160"/>
            <w:tcBorders>
              <w:bottom w:val="single" w:sz="10" w:color="101010"/>
            </w:tcBorders>
          </w:tcPr>
          <w:p>
            <w:pPr>
              <w:spacing w:before="32" w:after="32"/>
              <w:jc w:val="left"/>
            </w:pPr>
            <w:r/>
            <w:r>
              <w:rPr>
                <w:rFonts w:ascii="Calibri" w:hAnsi="Calibri"/>
                <w:b w:val="0"/>
                <w:i w:val="0"/>
                <w:color w:val="101010"/>
                <w:sz w:val="16"/>
              </w:rPr>
              <w:t>Financial</w:t>
            </w:r>
          </w:p>
        </w:tc>
        <w:tc>
          <w:tcPr>
            <w:tcW w:type="dxa" w:w="1008"/>
            <w:tcBorders>
              <w:bottom w:val="single" w:sz="10" w:color="101010"/>
            </w:tcBorders>
          </w:tcPr>
          <w:p>
            <w:pPr>
              <w:spacing w:before="32" w:after="32"/>
              <w:jc w:val="right"/>
            </w:pPr>
            <w:r/>
            <w:r>
              <w:rPr>
                <w:rFonts w:ascii="Calibri" w:hAnsi="Calibri"/>
                <w:b w:val="0"/>
                <w:i w:val="0"/>
                <w:color w:val="101010"/>
                <w:sz w:val="16"/>
              </w:rPr>
              <w:t>9</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c>
          <w:tcPr>
            <w:tcW w:type="dxa" w:w="1224"/>
            <w:tcBorders>
              <w:bottom w:val="single" w:sz="10" w:color="101010"/>
            </w:tcBorders>
          </w:tcPr>
          <w:p>
            <w:pPr>
              <w:spacing w:before="32" w:after="32"/>
              <w:jc w:val="right"/>
            </w:pPr>
            <w:r/>
            <w:r>
              <w:rPr>
                <w:rFonts w:ascii="Calibri" w:hAnsi="Calibri"/>
                <w:b w:val="0"/>
                <w:i w:val="0"/>
                <w:color w:val="101010"/>
                <w:sz w:val="16"/>
              </w:rPr>
              <w:t>94%</w:t>
            </w:r>
          </w:p>
        </w:tc>
      </w:tr>
    </w:tbl>
    <w:p>
      <w:pPr>
        <w:spacing w:before="0" w:after="100"/>
        <w:jc w:val="both"/>
      </w:pPr>
      <w:r>
        <w:rPr>
          <w:rFonts w:ascii="Calibri" w:hAnsi="Calibri"/>
          <w:b/>
          <w:i w:val="0"/>
          <w:color w:val="101010"/>
          <w:sz w:val="19"/>
        </w:rPr>
        <w:t>Only three environmental and one social field are reported by all 18 companies.</w:t>
      </w:r>
      <w:r>
        <w:rPr>
          <w:rFonts w:ascii="Calibri" w:hAnsi="Calibri"/>
          <w:b w:val="0"/>
          <w:i w:val="0"/>
          <w:color w:val="101010"/>
          <w:sz w:val="19"/>
        </w:rPr>
        <w:t xml:space="preserve"> Requiring sector-wide comparability leaves four fields, all policy booleans. That is not a gap in our pipeline; it is what the sector's disclosure looks like when you demand comparability.</w:t>
      </w:r>
    </w:p>
    <w:p>
      <w:pPr>
        <w:spacing w:before="0" w:after="100"/>
        <w:jc w:val="both"/>
      </w:pPr>
      <w:r>
        <w:rPr>
          <w:rFonts w:ascii="Calibri" w:hAnsi="Calibri"/>
          <w:b/>
          <w:i w:val="0"/>
          <w:color w:val="101010"/>
          <w:sz w:val="19"/>
        </w:rPr>
        <w:t>On the denominator.</w:t>
      </w:r>
      <w:r>
        <w:rPr>
          <w:rFonts w:ascii="Calibri" w:hAnsi="Calibri"/>
          <w:b w:val="0"/>
          <w:i w:val="0"/>
          <w:color w:val="101010"/>
          <w:sz w:val="19"/>
        </w:rPr>
        <w:t xml:space="preserve"> We use EBITDA, drawn from our own credit workbook, because it is the scale measure a credit analyst reaches for. It is also </w:t>
      </w:r>
      <w:r>
        <w:rPr>
          <w:rFonts w:ascii="Calibri" w:hAnsi="Calibri"/>
          <w:b/>
          <w:i w:val="0"/>
          <w:color w:val="101010"/>
          <w:sz w:val="19"/>
        </w:rPr>
        <w:t>the weakest defensible choice in this paper</w:t>
      </w:r>
      <w:r>
        <w:rPr>
          <w:rFonts w:ascii="Calibri" w:hAnsi="Calibri"/>
          <w:b w:val="0"/>
          <w:i w:val="0"/>
          <w:color w:val="101010"/>
          <w:sz w:val="19"/>
        </w:rPr>
        <w:t>: EBITDA is cyclical, and a single FY2025 figure scales FY2021 to FY2024 numerator data. Revenue is the obvious alternative, so we tested it rather than defending the choice. §6 reports the rerun.</w:t>
      </w:r>
    </w:p>
    <w:p>
      <w:pPr>
        <w:spacing w:before="300" w:after="60"/>
        <w:pBdr>
          <w:bottom w:val="single" w:sz="10" w:color="101010" w:space="3"/>
        </w:pBdr>
        <w:keepNext/>
      </w:pPr>
      <w:r>
        <w:rPr>
          <w:rFonts w:ascii="Calibri" w:hAnsi="Calibri"/>
          <w:b/>
          <w:color w:val="101010"/>
          <w:sz w:val="28"/>
        </w:rPr>
        <w:t>4. Method</w:t>
      </w:r>
    </w:p>
    <w:p>
      <w:pPr>
        <w:spacing w:before="220" w:after="40"/>
        <w:keepNext/>
      </w:pPr>
      <w:r>
        <w:rPr>
          <w:rFonts w:ascii="Calibri" w:hAnsi="Calibri"/>
          <w:b/>
          <w:color w:val="C04A12"/>
          <w:sz w:val="21"/>
        </w:rPr>
        <w:t>4.1 Where the providers actually choose</w:t>
      </w:r>
    </w:p>
    <w:p>
      <w:pPr>
        <w:spacing w:before="0" w:after="100"/>
        <w:jc w:val="both"/>
      </w:pPr>
      <w:r>
        <w:rPr>
          <w:rFonts w:ascii="Calibri" w:hAnsi="Calibri"/>
          <w:b w:val="0"/>
          <w:i w:val="0"/>
          <w:color w:val="101010"/>
          <w:sz w:val="19"/>
        </w:rPr>
        <w:t>Thirteen decision points. Seven differ between the two providers, six agree. We vary six of the seven, hold two of them fixed as separate questions rather than competing methods, and declare every fixed assumption in the right-hand column.</w:t>
      </w:r>
    </w:p>
    <w:p>
      <w:pPr>
        <w:spacing w:before="220" w:after="40"/>
        <w:keepNext/>
      </w:pPr>
      <w:r>
        <w:rPr>
          <w:rFonts w:ascii="Calibri" w:hAnsi="Calibri"/>
          <w:b/>
          <w:color w:val="C04A12"/>
          <w:sz w:val="16"/>
        </w:rPr>
        <w:t>Exhibit 5</w:t>
      </w:r>
      <w:r>
        <w:rPr>
          <w:rFonts w:ascii="Calibri" w:hAnsi="Calibri"/>
          <w:b/>
          <w:color w:val="101010"/>
          <w:sz w:val="19"/>
        </w:rPr>
        <w:t xml:space="preserve">   Provider decision-point map</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c>
          <w:tcPr>
            <w:tcW w:type="dxa" w:w="360"/>
            <w:shd w:val="clear" w:fill="F6F5F2"/>
            <w:tcBorders>
              <w:top w:val="single" w:sz="10" w:color="101010"/>
              <w:bottom w:val="single" w:sz="5" w:color="6B6A63"/>
            </w:tcBorders>
          </w:tcPr>
          <w:p>
            <w:pPr>
              <w:spacing w:before="32" w:after="32"/>
              <w:jc w:val="center"/>
            </w:pPr>
            <w:r/>
            <w:r>
              <w:rPr>
                <w:rFonts w:ascii="Calibri" w:hAnsi="Calibri"/>
                <w:b/>
                <w:i w:val="0"/>
                <w:color w:val="3D3C38"/>
                <w:sz w:val="14"/>
              </w:rPr>
              <w:t>#</w:t>
            </w:r>
          </w:p>
        </w:tc>
        <w:tc>
          <w:tcPr>
            <w:tcW w:type="dxa" w:w="1656"/>
            <w:shd w:val="clear" w:fill="F6F5F2"/>
            <w:tcBorders>
              <w:top w:val="single" w:sz="10" w:color="101010"/>
              <w:bottom w:val="single" w:sz="5" w:color="6B6A63"/>
            </w:tcBorders>
          </w:tcPr>
          <w:p>
            <w:pPr>
              <w:spacing w:before="32" w:after="32"/>
              <w:jc w:val="left"/>
            </w:pPr>
            <w:r/>
            <w:r>
              <w:rPr>
                <w:rFonts w:ascii="Calibri" w:hAnsi="Calibri"/>
                <w:b/>
                <w:i w:val="0"/>
                <w:color w:val="3D3C38"/>
                <w:sz w:val="14"/>
              </w:rPr>
              <w:t>Decision</w:t>
            </w:r>
          </w:p>
        </w:tc>
        <w:tc>
          <w:tcPr>
            <w:tcW w:type="dxa" w:w="1512"/>
            <w:shd w:val="clear" w:fill="F6F5F2"/>
            <w:tcBorders>
              <w:top w:val="single" w:sz="10" w:color="101010"/>
              <w:bottom w:val="single" w:sz="5" w:color="6B6A63"/>
            </w:tcBorders>
          </w:tcPr>
          <w:p>
            <w:pPr>
              <w:spacing w:before="32" w:after="32"/>
              <w:jc w:val="left"/>
            </w:pPr>
            <w:r/>
            <w:r>
              <w:rPr>
                <w:rFonts w:ascii="Calibri" w:hAnsi="Calibri"/>
                <w:b/>
                <w:i w:val="0"/>
                <w:color w:val="3D3C38"/>
                <w:sz w:val="14"/>
              </w:rPr>
              <w:t>MSCI</w:t>
            </w:r>
          </w:p>
        </w:tc>
        <w:tc>
          <w:tcPr>
            <w:tcW w:type="dxa" w:w="1584"/>
            <w:shd w:val="clear" w:fill="F6F5F2"/>
            <w:tcBorders>
              <w:top w:val="single" w:sz="10" w:color="101010"/>
              <w:bottom w:val="single" w:sz="5" w:color="6B6A63"/>
            </w:tcBorders>
          </w:tcPr>
          <w:p>
            <w:pPr>
              <w:spacing w:before="32" w:after="32"/>
              <w:jc w:val="left"/>
            </w:pPr>
            <w:r/>
            <w:r>
              <w:rPr>
                <w:rFonts w:ascii="Calibri" w:hAnsi="Calibri"/>
                <w:b/>
                <w:i w:val="0"/>
                <w:color w:val="3D3C38"/>
                <w:sz w:val="14"/>
              </w:rPr>
              <w:t>Bloomberg</w:t>
            </w:r>
          </w:p>
        </w:tc>
        <w:tc>
          <w:tcPr>
            <w:tcW w:type="dxa" w:w="1037"/>
            <w:shd w:val="clear" w:fill="F6F5F2"/>
            <w:tcBorders>
              <w:top w:val="single" w:sz="10" w:color="101010"/>
              <w:bottom w:val="single" w:sz="5" w:color="6B6A63"/>
            </w:tcBorders>
          </w:tcPr>
          <w:p>
            <w:pPr>
              <w:spacing w:before="32" w:after="32"/>
              <w:jc w:val="center"/>
            </w:pPr>
            <w:r/>
            <w:r>
              <w:rPr>
                <w:rFonts w:ascii="Calibri" w:hAnsi="Calibri"/>
                <w:b/>
                <w:i w:val="0"/>
                <w:color w:val="3D3C38"/>
                <w:sz w:val="14"/>
              </w:rPr>
              <w:t>Same?</w:t>
            </w:r>
          </w:p>
        </w:tc>
        <w:tc>
          <w:tcPr>
            <w:tcW w:type="dxa" w:w="3600"/>
            <w:shd w:val="clear" w:fill="F6F5F2"/>
            <w:tcBorders>
              <w:top w:val="single" w:sz="10" w:color="101010"/>
              <w:bottom w:val="single" w:sz="5" w:color="6B6A63"/>
            </w:tcBorders>
          </w:tcPr>
          <w:p>
            <w:pPr>
              <w:spacing w:before="32" w:after="32"/>
              <w:jc w:val="left"/>
            </w:pPr>
            <w:r/>
            <w:r>
              <w:rPr>
                <w:rFonts w:ascii="Calibri" w:hAnsi="Calibri"/>
                <w:b/>
                <w:i w:val="0"/>
                <w:color w:val="3D3C38"/>
                <w:sz w:val="14"/>
              </w:rPr>
              <w:t>Our treatment</w:t>
            </w:r>
          </w:p>
        </w:tc>
      </w:tr>
      <w:tr>
        <w:tc>
          <w:tcPr>
            <w:tcW w:type="dxa" w:w="360"/>
            <w:tcBorders>
              <w:bottom w:val="single" w:sz="3" w:color="DEDCD6"/>
            </w:tcBorders>
          </w:tcPr>
          <w:p>
            <w:pPr>
              <w:spacing w:before="32" w:after="32"/>
              <w:jc w:val="center"/>
            </w:pPr>
            <w:r/>
            <w:r>
              <w:rPr>
                <w:rFonts w:ascii="Calibri" w:hAnsi="Calibri"/>
                <w:b w:val="0"/>
                <w:i w:val="0"/>
                <w:color w:val="101010"/>
                <w:sz w:val="15"/>
              </w:rPr>
              <w:t>1</w:t>
            </w:r>
          </w:p>
        </w:tc>
        <w:tc>
          <w:tcPr>
            <w:tcW w:type="dxa" w:w="1656"/>
            <w:tcBorders>
              <w:bottom w:val="single" w:sz="3" w:color="DEDCD6"/>
            </w:tcBorders>
          </w:tcPr>
          <w:p>
            <w:pPr>
              <w:spacing w:before="32" w:after="32"/>
              <w:jc w:val="left"/>
            </w:pPr>
            <w:r/>
            <w:r>
              <w:rPr>
                <w:rFonts w:ascii="Calibri" w:hAnsi="Calibri"/>
                <w:b w:val="0"/>
                <w:i w:val="0"/>
                <w:color w:val="101010"/>
                <w:sz w:val="15"/>
              </w:rPr>
              <w:t>What is measured</w:t>
            </w:r>
          </w:p>
        </w:tc>
        <w:tc>
          <w:tcPr>
            <w:tcW w:type="dxa" w:w="1512"/>
            <w:tcBorders>
              <w:bottom w:val="single" w:sz="3" w:color="DEDCD6"/>
            </w:tcBorders>
          </w:tcPr>
          <w:p>
            <w:pPr>
              <w:spacing w:before="32" w:after="32"/>
              <w:jc w:val="left"/>
            </w:pPr>
            <w:r/>
            <w:r>
              <w:rPr>
                <w:rFonts w:ascii="Calibri" w:hAnsi="Calibri"/>
                <w:b w:val="0"/>
                <w:i w:val="0"/>
                <w:color w:val="101010"/>
                <w:sz w:val="15"/>
              </w:rPr>
              <w:t>risk to the firm</w:t>
            </w:r>
          </w:p>
        </w:tc>
        <w:tc>
          <w:tcPr>
            <w:tcW w:type="dxa" w:w="1584"/>
            <w:tcBorders>
              <w:bottom w:val="single" w:sz="3" w:color="DEDCD6"/>
            </w:tcBorders>
          </w:tcPr>
          <w:p>
            <w:pPr>
              <w:spacing w:before="32" w:after="32"/>
              <w:jc w:val="left"/>
            </w:pPr>
            <w:r/>
            <w:r>
              <w:rPr>
                <w:rFonts w:ascii="Calibri" w:hAnsi="Calibri"/>
                <w:b w:val="0"/>
                <w:i w:val="0"/>
                <w:color w:val="101010"/>
                <w:sz w:val="15"/>
              </w:rPr>
              <w:t>risk to the firm</w:t>
            </w:r>
          </w:p>
        </w:tc>
        <w:tc>
          <w:tcPr>
            <w:tcW w:type="dxa" w:w="1037"/>
            <w:tcBorders>
              <w:bottom w:val="single" w:sz="3" w:color="DEDCD6"/>
            </w:tcBorders>
          </w:tcPr>
          <w:p>
            <w:pPr>
              <w:spacing w:before="32" w:after="32"/>
              <w:jc w:val="center"/>
            </w:pPr>
            <w:r/>
            <w:r>
              <w:rPr>
                <w:rFonts w:ascii="Calibri" w:hAnsi="Calibri"/>
                <w:b w:val="0"/>
                <w:i w:val="0"/>
                <w:color w:val="101010"/>
                <w:sz w:val="15"/>
              </w:rPr>
              <w:t>agree</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we differ from both, §2</w:t>
            </w:r>
          </w:p>
        </w:tc>
      </w:tr>
      <w:tr>
        <w:tc>
          <w:tcPr>
            <w:tcW w:type="dxa" w:w="360"/>
            <w:tcBorders>
              <w:bottom w:val="single" w:sz="3" w:color="DEDCD6"/>
            </w:tcBorders>
          </w:tcPr>
          <w:p>
            <w:pPr>
              <w:spacing w:before="32" w:after="32"/>
              <w:jc w:val="center"/>
            </w:pPr>
            <w:r/>
            <w:r>
              <w:rPr>
                <w:rFonts w:ascii="Calibri" w:hAnsi="Calibri"/>
                <w:b w:val="0"/>
                <w:i w:val="0"/>
                <w:color w:val="101010"/>
                <w:sz w:val="15"/>
              </w:rPr>
              <w:t>2</w:t>
            </w:r>
          </w:p>
        </w:tc>
        <w:tc>
          <w:tcPr>
            <w:tcW w:type="dxa" w:w="1656"/>
            <w:tcBorders>
              <w:bottom w:val="single" w:sz="3" w:color="DEDCD6"/>
            </w:tcBorders>
          </w:tcPr>
          <w:p>
            <w:pPr>
              <w:spacing w:before="32" w:after="32"/>
              <w:jc w:val="left"/>
            </w:pPr>
            <w:r/>
            <w:r>
              <w:rPr>
                <w:rFonts w:ascii="Calibri" w:hAnsi="Calibri"/>
                <w:b w:val="0"/>
                <w:i w:val="0"/>
                <w:color w:val="101010"/>
                <w:sz w:val="15"/>
              </w:rPr>
              <w:t>Peer group</w:t>
            </w:r>
          </w:p>
        </w:tc>
        <w:tc>
          <w:tcPr>
            <w:tcW w:type="dxa" w:w="1512"/>
            <w:tcBorders>
              <w:bottom w:val="single" w:sz="3" w:color="DEDCD6"/>
            </w:tcBorders>
          </w:tcPr>
          <w:p>
            <w:pPr>
              <w:spacing w:before="32" w:after="32"/>
              <w:jc w:val="left"/>
            </w:pPr>
            <w:r/>
            <w:r>
              <w:rPr>
                <w:rFonts w:ascii="Calibri" w:hAnsi="Calibri"/>
                <w:b w:val="0"/>
                <w:i w:val="0"/>
                <w:color w:val="101010"/>
                <w:sz w:val="15"/>
              </w:rPr>
              <w:t>GICS sub-industry</w:t>
            </w:r>
          </w:p>
        </w:tc>
        <w:tc>
          <w:tcPr>
            <w:tcW w:type="dxa" w:w="1584"/>
            <w:tcBorders>
              <w:bottom w:val="single" w:sz="3" w:color="DEDCD6"/>
            </w:tcBorders>
          </w:tcPr>
          <w:p>
            <w:pPr>
              <w:spacing w:before="32" w:after="32"/>
              <w:jc w:val="left"/>
            </w:pPr>
            <w:r/>
            <w:r>
              <w:rPr>
                <w:rFonts w:ascii="Calibri" w:hAnsi="Calibri"/>
                <w:b w:val="0"/>
                <w:i w:val="0"/>
                <w:color w:val="101010"/>
                <w:sz w:val="15"/>
              </w:rPr>
              <w:t>BECS (bespoke)</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question axis</w:t>
            </w:r>
            <w:r>
              <w:rPr>
                <w:rFonts w:ascii="Calibri" w:hAnsi="Calibri"/>
                <w:b w:val="0"/>
                <w:i w:val="0"/>
                <w:color w:val="101010"/>
                <w:sz w:val="15"/>
              </w:rPr>
              <w:t>, held fixed within a curve</w:t>
            </w:r>
          </w:p>
        </w:tc>
      </w:tr>
      <w:tr>
        <w:tc>
          <w:tcPr>
            <w:tcW w:type="dxa" w:w="360"/>
            <w:tcBorders>
              <w:bottom w:val="single" w:sz="3" w:color="DEDCD6"/>
            </w:tcBorders>
          </w:tcPr>
          <w:p>
            <w:pPr>
              <w:spacing w:before="32" w:after="32"/>
              <w:jc w:val="center"/>
            </w:pPr>
            <w:r/>
            <w:r>
              <w:rPr>
                <w:rFonts w:ascii="Calibri" w:hAnsi="Calibri"/>
                <w:b w:val="0"/>
                <w:i w:val="0"/>
                <w:color w:val="101010"/>
                <w:sz w:val="15"/>
              </w:rPr>
              <w:t>3</w:t>
            </w:r>
          </w:p>
        </w:tc>
        <w:tc>
          <w:tcPr>
            <w:tcW w:type="dxa" w:w="1656"/>
            <w:tcBorders>
              <w:bottom w:val="single" w:sz="3" w:color="DEDCD6"/>
            </w:tcBorders>
          </w:tcPr>
          <w:p>
            <w:pPr>
              <w:spacing w:before="32" w:after="32"/>
              <w:jc w:val="left"/>
            </w:pPr>
            <w:r/>
            <w:r>
              <w:rPr>
                <w:rFonts w:ascii="Calibri" w:hAnsi="Calibri"/>
                <w:b w:val="0"/>
                <w:i w:val="0"/>
                <w:color w:val="101010"/>
                <w:sz w:val="15"/>
              </w:rPr>
              <w:t>Size denominator</w:t>
            </w:r>
          </w:p>
        </w:tc>
        <w:tc>
          <w:tcPr>
            <w:tcW w:type="dxa" w:w="1512"/>
            <w:tcBorders>
              <w:bottom w:val="single" w:sz="3" w:color="DEDCD6"/>
            </w:tcBorders>
          </w:tcPr>
          <w:p>
            <w:pPr>
              <w:spacing w:before="32" w:after="32"/>
              <w:jc w:val="left"/>
            </w:pPr>
            <w:r/>
            <w:r>
              <w:rPr>
                <w:rFonts w:ascii="Calibri" w:hAnsi="Calibri"/>
                <w:b w:val="0"/>
                <w:i w:val="0"/>
                <w:color w:val="101010"/>
                <w:sz w:val="15"/>
              </w:rPr>
              <w:t>modelled exposure</w:t>
            </w:r>
          </w:p>
        </w:tc>
        <w:tc>
          <w:tcPr>
            <w:tcW w:type="dxa" w:w="1584"/>
            <w:tcBorders>
              <w:bottom w:val="single" w:sz="3" w:color="DEDCD6"/>
            </w:tcBorders>
          </w:tcPr>
          <w:p>
            <w:pPr>
              <w:spacing w:before="32" w:after="32"/>
              <w:jc w:val="left"/>
            </w:pPr>
            <w:r/>
            <w:r>
              <w:rPr>
                <w:rFonts w:ascii="Calibri" w:hAnsi="Calibri"/>
                <w:b w:val="0"/>
                <w:i w:val="0"/>
                <w:color w:val="101010"/>
                <w:sz w:val="15"/>
              </w:rPr>
              <w:t>activity metric</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4</w:t>
            </w:r>
          </w:p>
        </w:tc>
        <w:tc>
          <w:tcPr>
            <w:tcW w:type="dxa" w:w="1656"/>
            <w:tcBorders>
              <w:bottom w:val="single" w:sz="3" w:color="DEDCD6"/>
            </w:tcBorders>
          </w:tcPr>
          <w:p>
            <w:pPr>
              <w:spacing w:before="32" w:after="32"/>
              <w:jc w:val="left"/>
            </w:pPr>
            <w:r/>
            <w:r>
              <w:rPr>
                <w:rFonts w:ascii="Calibri" w:hAnsi="Calibri"/>
                <w:b w:val="0"/>
                <w:i w:val="0"/>
                <w:color w:val="101010"/>
                <w:sz w:val="15"/>
              </w:rPr>
              <w:t>Raw → grade</w:t>
            </w:r>
          </w:p>
        </w:tc>
        <w:tc>
          <w:tcPr>
            <w:tcW w:type="dxa" w:w="1512"/>
            <w:tcBorders>
              <w:bottom w:val="single" w:sz="3" w:color="DEDCD6"/>
            </w:tcBorders>
          </w:tcPr>
          <w:p>
            <w:pPr>
              <w:spacing w:before="32" w:after="32"/>
              <w:jc w:val="left"/>
            </w:pPr>
            <w:r/>
            <w:r>
              <w:rPr>
                <w:rFonts w:ascii="Calibri" w:hAnsi="Calibri"/>
                <w:b w:val="0"/>
                <w:i w:val="0"/>
                <w:color w:val="101010"/>
                <w:sz w:val="15"/>
              </w:rPr>
              <w:t>percentile bands</w:t>
            </w:r>
          </w:p>
        </w:tc>
        <w:tc>
          <w:tcPr>
            <w:tcW w:type="dxa" w:w="1584"/>
            <w:tcBorders>
              <w:bottom w:val="single" w:sz="3" w:color="DEDCD6"/>
            </w:tcBorders>
          </w:tcPr>
          <w:p>
            <w:pPr>
              <w:spacing w:before="32" w:after="32"/>
              <w:jc w:val="left"/>
            </w:pPr>
            <w:r/>
            <w:r>
              <w:rPr>
                <w:rFonts w:ascii="Calibri" w:hAnsi="Calibri"/>
                <w:b w:val="0"/>
                <w:i w:val="0"/>
                <w:color w:val="101010"/>
                <w:sz w:val="15"/>
              </w:rPr>
              <w:t>log-log residual</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5</w:t>
            </w:r>
          </w:p>
        </w:tc>
        <w:tc>
          <w:tcPr>
            <w:tcW w:type="dxa" w:w="1656"/>
            <w:tcBorders>
              <w:bottom w:val="single" w:sz="3" w:color="DEDCD6"/>
            </w:tcBorders>
          </w:tcPr>
          <w:p>
            <w:pPr>
              <w:spacing w:before="32" w:after="32"/>
              <w:jc w:val="left"/>
            </w:pPr>
            <w:r/>
            <w:r>
              <w:rPr>
                <w:rFonts w:ascii="Calibri" w:hAnsi="Calibri"/>
                <w:b w:val="0"/>
                <w:i w:val="0"/>
                <w:color w:val="101010"/>
                <w:sz w:val="15"/>
              </w:rPr>
              <w:t>Missing data</w:t>
            </w:r>
          </w:p>
        </w:tc>
        <w:tc>
          <w:tcPr>
            <w:tcW w:type="dxa" w:w="1512"/>
            <w:tcBorders>
              <w:bottom w:val="single" w:sz="3" w:color="DEDCD6"/>
            </w:tcBorders>
          </w:tcPr>
          <w:p>
            <w:pPr>
              <w:spacing w:before="32" w:after="32"/>
              <w:jc w:val="left"/>
            </w:pPr>
            <w:r/>
            <w:r>
              <w:rPr>
                <w:rFonts w:ascii="Calibri" w:hAnsi="Calibri"/>
                <w:b w:val="0"/>
                <w:i w:val="0"/>
                <w:color w:val="101010"/>
                <w:sz w:val="15"/>
              </w:rPr>
              <w:t>0 on management</w:t>
            </w:r>
          </w:p>
        </w:tc>
        <w:tc>
          <w:tcPr>
            <w:tcW w:type="dxa" w:w="1584"/>
            <w:tcBorders>
              <w:bottom w:val="single" w:sz="3" w:color="DEDCD6"/>
            </w:tcBorders>
          </w:tcPr>
          <w:p>
            <w:pPr>
              <w:spacing w:before="32" w:after="32"/>
              <w:jc w:val="left"/>
            </w:pPr>
            <w:r/>
            <w:r>
              <w:rPr>
                <w:rFonts w:ascii="Calibri" w:hAnsi="Calibri"/>
                <w:b w:val="0"/>
                <w:i w:val="0"/>
                <w:color w:val="101010"/>
                <w:sz w:val="15"/>
              </w:rPr>
              <w:t>drop, then cap</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6</w:t>
            </w:r>
          </w:p>
        </w:tc>
        <w:tc>
          <w:tcPr>
            <w:tcW w:type="dxa" w:w="1656"/>
            <w:tcBorders>
              <w:bottom w:val="single" w:sz="3" w:color="DEDCD6"/>
            </w:tcBorders>
          </w:tcPr>
          <w:p>
            <w:pPr>
              <w:spacing w:before="32" w:after="32"/>
              <w:jc w:val="left"/>
            </w:pPr>
            <w:r/>
            <w:r>
              <w:rPr>
                <w:rFonts w:ascii="Calibri" w:hAnsi="Calibri"/>
                <w:b w:val="0"/>
                <w:i w:val="0"/>
                <w:color w:val="101010"/>
                <w:sz w:val="15"/>
              </w:rPr>
              <w:t>Aggregation</w:t>
            </w:r>
          </w:p>
        </w:tc>
        <w:tc>
          <w:tcPr>
            <w:tcW w:type="dxa" w:w="1512"/>
            <w:tcBorders>
              <w:bottom w:val="single" w:sz="3" w:color="DEDCD6"/>
            </w:tcBorders>
          </w:tcPr>
          <w:p>
            <w:pPr>
              <w:spacing w:before="32" w:after="32"/>
              <w:jc w:val="left"/>
            </w:pPr>
            <w:r/>
            <w:r>
              <w:rPr>
                <w:rFonts w:ascii="Calibri" w:hAnsi="Calibri"/>
                <w:b w:val="0"/>
                <w:i w:val="0"/>
                <w:color w:val="101010"/>
                <w:sz w:val="15"/>
              </w:rPr>
              <w:t>arithmetic mean</w:t>
            </w:r>
          </w:p>
        </w:tc>
        <w:tc>
          <w:tcPr>
            <w:tcW w:type="dxa" w:w="1584"/>
            <w:tcBorders>
              <w:bottom w:val="single" w:sz="3" w:color="DEDCD6"/>
            </w:tcBorders>
          </w:tcPr>
          <w:p>
            <w:pPr>
              <w:spacing w:before="32" w:after="32"/>
              <w:jc w:val="left"/>
            </w:pPr>
            <w:r/>
            <w:r>
              <w:rPr>
                <w:rFonts w:ascii="Calibri" w:hAnsi="Calibri"/>
                <w:b w:val="0"/>
                <w:i w:val="0"/>
                <w:color w:val="101010"/>
                <w:sz w:val="15"/>
              </w:rPr>
              <w:t>power mean p=½</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val="0"/>
                <w:i w:val="0"/>
                <w:color w:val="101010"/>
                <w:sz w:val="15"/>
              </w:rPr>
              <w:t>varied</w:t>
            </w:r>
          </w:p>
        </w:tc>
      </w:tr>
      <w:tr>
        <w:tc>
          <w:tcPr>
            <w:tcW w:type="dxa" w:w="360"/>
            <w:tcBorders>
              <w:bottom w:val="single" w:sz="3" w:color="DEDCD6"/>
            </w:tcBorders>
          </w:tcPr>
          <w:p>
            <w:pPr>
              <w:spacing w:before="32" w:after="32"/>
              <w:jc w:val="center"/>
            </w:pPr>
            <w:r/>
            <w:r>
              <w:rPr>
                <w:rFonts w:ascii="Calibri" w:hAnsi="Calibri"/>
                <w:b w:val="0"/>
                <w:i w:val="0"/>
                <w:color w:val="101010"/>
                <w:sz w:val="15"/>
              </w:rPr>
              <w:t>7</w:t>
            </w:r>
          </w:p>
        </w:tc>
        <w:tc>
          <w:tcPr>
            <w:tcW w:type="dxa" w:w="1656"/>
            <w:tcBorders>
              <w:bottom w:val="single" w:sz="3" w:color="DEDCD6"/>
            </w:tcBorders>
          </w:tcPr>
          <w:p>
            <w:pPr>
              <w:spacing w:before="32" w:after="32"/>
              <w:jc w:val="left"/>
            </w:pPr>
            <w:r/>
            <w:r>
              <w:rPr>
                <w:rFonts w:ascii="Calibri" w:hAnsi="Calibri"/>
                <w:b w:val="0"/>
                <w:i w:val="0"/>
                <w:color w:val="101010"/>
                <w:sz w:val="15"/>
              </w:rPr>
              <w:t>Pillar weights</w:t>
            </w:r>
          </w:p>
        </w:tc>
        <w:tc>
          <w:tcPr>
            <w:tcW w:type="dxa" w:w="1512"/>
            <w:tcBorders>
              <w:bottom w:val="single" w:sz="3" w:color="DEDCD6"/>
            </w:tcBorders>
          </w:tcPr>
          <w:p>
            <w:pPr>
              <w:spacing w:before="32" w:after="32"/>
              <w:jc w:val="left"/>
            </w:pPr>
            <w:r/>
            <w:r>
              <w:rPr>
                <w:rFonts w:ascii="Calibri" w:hAnsi="Calibri"/>
                <w:b w:val="0"/>
                <w:i w:val="0"/>
                <w:color w:val="101010"/>
                <w:sz w:val="15"/>
              </w:rPr>
              <w:t>G floored 33%</w:t>
            </w:r>
          </w:p>
        </w:tc>
        <w:tc>
          <w:tcPr>
            <w:tcW w:type="dxa" w:w="1584"/>
            <w:tcBorders>
              <w:bottom w:val="single" w:sz="3" w:color="DEDCD6"/>
            </w:tcBorders>
          </w:tcPr>
          <w:p>
            <w:pPr>
              <w:spacing w:before="32" w:after="32"/>
              <w:jc w:val="left"/>
            </w:pPr>
            <w:r/>
            <w:r>
              <w:rPr>
                <w:rFonts w:ascii="Calibri" w:hAnsi="Calibri"/>
                <w:b w:val="0"/>
                <w:i w:val="0"/>
                <w:color w:val="101010"/>
                <w:sz w:val="15"/>
              </w:rPr>
              <w:t>G at rank 3</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varied</w:t>
            </w:r>
            <w:r>
              <w:rPr>
                <w:rFonts w:ascii="Calibri" w:hAnsi="Calibri"/>
                <w:b w:val="0"/>
                <w:i w:val="0"/>
                <w:color w:val="101010"/>
                <w:sz w:val="15"/>
              </w:rPr>
              <w:t>, §5.5</w:t>
            </w:r>
          </w:p>
        </w:tc>
      </w:tr>
      <w:tr>
        <w:tc>
          <w:tcPr>
            <w:tcW w:type="dxa" w:w="360"/>
            <w:tcBorders>
              <w:bottom w:val="single" w:sz="3" w:color="DEDCD6"/>
            </w:tcBorders>
          </w:tcPr>
          <w:p>
            <w:pPr>
              <w:spacing w:before="32" w:after="32"/>
              <w:jc w:val="center"/>
            </w:pPr>
            <w:r/>
            <w:r>
              <w:rPr>
                <w:rFonts w:ascii="Calibri" w:hAnsi="Calibri"/>
                <w:b w:val="0"/>
                <w:i w:val="0"/>
                <w:color w:val="101010"/>
                <w:sz w:val="15"/>
              </w:rPr>
              <w:t>8</w:t>
            </w:r>
          </w:p>
        </w:tc>
        <w:tc>
          <w:tcPr>
            <w:tcW w:type="dxa" w:w="1656"/>
            <w:tcBorders>
              <w:bottom w:val="single" w:sz="3" w:color="DEDCD6"/>
            </w:tcBorders>
          </w:tcPr>
          <w:p>
            <w:pPr>
              <w:spacing w:before="32" w:after="32"/>
              <w:jc w:val="left"/>
            </w:pPr>
            <w:r/>
            <w:r>
              <w:rPr>
                <w:rFonts w:ascii="Calibri" w:hAnsi="Calibri"/>
                <w:b w:val="0"/>
                <w:i w:val="0"/>
                <w:color w:val="101010"/>
                <w:sz w:val="15"/>
              </w:rPr>
              <w:t>Relative / absolute</w:t>
            </w:r>
          </w:p>
        </w:tc>
        <w:tc>
          <w:tcPr>
            <w:tcW w:type="dxa" w:w="1512"/>
            <w:tcBorders>
              <w:bottom w:val="single" w:sz="3" w:color="DEDCD6"/>
            </w:tcBorders>
          </w:tcPr>
          <w:p>
            <w:pPr>
              <w:spacing w:before="32" w:after="32"/>
              <w:jc w:val="left"/>
            </w:pPr>
            <w:r/>
            <w:r>
              <w:rPr>
                <w:rFonts w:ascii="Calibri" w:hAnsi="Calibri"/>
                <w:b w:val="0"/>
                <w:i w:val="0"/>
                <w:color w:val="101010"/>
                <w:sz w:val="15"/>
              </w:rPr>
              <w:t>G absolute</w:t>
            </w:r>
          </w:p>
        </w:tc>
        <w:tc>
          <w:tcPr>
            <w:tcW w:type="dxa" w:w="1584"/>
            <w:tcBorders>
              <w:bottom w:val="single" w:sz="3" w:color="DEDCD6"/>
            </w:tcBorders>
          </w:tcPr>
          <w:p>
            <w:pPr>
              <w:spacing w:before="32" w:after="32"/>
              <w:jc w:val="left"/>
            </w:pPr>
            <w:r/>
            <w:r>
              <w:rPr>
                <w:rFonts w:ascii="Calibri" w:hAnsi="Calibri"/>
                <w:b w:val="0"/>
                <w:i w:val="0"/>
                <w:color w:val="101010"/>
                <w:sz w:val="15"/>
              </w:rPr>
              <w:t>fatalities absolute</w:t>
            </w:r>
          </w:p>
        </w:tc>
        <w:tc>
          <w:tcPr>
            <w:tcW w:type="dxa" w:w="1037"/>
            <w:tcBorders>
              <w:bottom w:val="single" w:sz="3" w:color="DEDCD6"/>
            </w:tcBorders>
          </w:tcPr>
          <w:p>
            <w:pPr>
              <w:spacing w:before="32" w:after="32"/>
              <w:jc w:val="center"/>
            </w:pPr>
            <w:r/>
            <w:r>
              <w:rPr>
                <w:rFonts w:ascii="Calibri" w:hAnsi="Calibri"/>
                <w:b w:val="0"/>
                <w:i w:val="0"/>
                <w:color w:val="101010"/>
                <w:sz w:val="15"/>
              </w:rPr>
              <w:t>both break own rule</w:t>
            </w:r>
          </w:p>
        </w:tc>
        <w:tc>
          <w:tcPr>
            <w:tcW w:type="dxa" w:w="3600"/>
            <w:tcBorders>
              <w:bottom w:val="single" w:sz="3" w:color="DEDCD6"/>
            </w:tcBorders>
          </w:tcPr>
          <w:p>
            <w:pPr>
              <w:spacing w:before="32" w:after="32"/>
              <w:jc w:val="left"/>
            </w:pPr>
            <w:r/>
            <w:r>
              <w:rPr>
                <w:rFonts w:ascii="Calibri" w:hAnsi="Calibri"/>
                <w:b w:val="0"/>
                <w:i w:val="0"/>
                <w:color w:val="101010"/>
                <w:sz w:val="15"/>
              </w:rPr>
              <w:t>relative + absolute panel</w:t>
            </w:r>
          </w:p>
        </w:tc>
      </w:tr>
      <w:tr>
        <w:tc>
          <w:tcPr>
            <w:tcW w:type="dxa" w:w="360"/>
            <w:tcBorders>
              <w:bottom w:val="single" w:sz="3" w:color="DEDCD6"/>
            </w:tcBorders>
          </w:tcPr>
          <w:p>
            <w:pPr>
              <w:spacing w:before="32" w:after="32"/>
              <w:jc w:val="center"/>
            </w:pPr>
            <w:r/>
            <w:r>
              <w:rPr>
                <w:rFonts w:ascii="Calibri" w:hAnsi="Calibri"/>
                <w:b w:val="0"/>
                <w:i w:val="0"/>
                <w:color w:val="101010"/>
                <w:sz w:val="15"/>
              </w:rPr>
              <w:t>9</w:t>
            </w:r>
          </w:p>
        </w:tc>
        <w:tc>
          <w:tcPr>
            <w:tcW w:type="dxa" w:w="1656"/>
            <w:tcBorders>
              <w:bottom w:val="single" w:sz="3" w:color="DEDCD6"/>
            </w:tcBorders>
          </w:tcPr>
          <w:p>
            <w:pPr>
              <w:spacing w:before="32" w:after="32"/>
              <w:jc w:val="left"/>
            </w:pPr>
            <w:r/>
            <w:r>
              <w:rPr>
                <w:rFonts w:ascii="Calibri" w:hAnsi="Calibri"/>
                <w:b w:val="0"/>
                <w:i w:val="0"/>
                <w:color w:val="101010"/>
                <w:sz w:val="15"/>
              </w:rPr>
              <w:t>Time window</w:t>
            </w:r>
          </w:p>
        </w:tc>
        <w:tc>
          <w:tcPr>
            <w:tcW w:type="dxa" w:w="1512"/>
            <w:tcBorders>
              <w:bottom w:val="single" w:sz="3" w:color="DEDCD6"/>
            </w:tcBorders>
          </w:tcPr>
          <w:p>
            <w:pPr>
              <w:spacing w:before="32" w:after="32"/>
              <w:jc w:val="left"/>
            </w:pPr>
            <w:r/>
            <w:r>
              <w:rPr>
                <w:rFonts w:ascii="Calibri" w:hAnsi="Calibri"/>
                <w:b w:val="0"/>
                <w:i w:val="0"/>
                <w:color w:val="101010"/>
                <w:sz w:val="15"/>
              </w:rPr>
              <w:t>3-yr lookback</w:t>
            </w:r>
          </w:p>
        </w:tc>
        <w:tc>
          <w:tcPr>
            <w:tcW w:type="dxa" w:w="1584"/>
            <w:tcBorders>
              <w:bottom w:val="single" w:sz="3" w:color="DEDCD6"/>
            </w:tcBorders>
          </w:tcPr>
          <w:p>
            <w:pPr>
              <w:spacing w:before="32" w:after="32"/>
              <w:jc w:val="left"/>
            </w:pPr>
            <w:r/>
            <w:r>
              <w:rPr>
                <w:rFonts w:ascii="Calibri" w:hAnsi="Calibri"/>
                <w:b w:val="0"/>
                <w:i w:val="0"/>
                <w:color w:val="101010"/>
                <w:sz w:val="15"/>
              </w:rPr>
              <w:t>3-yr parameters</w:t>
            </w:r>
          </w:p>
        </w:tc>
        <w:tc>
          <w:tcPr>
            <w:tcW w:type="dxa" w:w="1037"/>
            <w:tcBorders>
              <w:bottom w:val="single" w:sz="3" w:color="DEDCD6"/>
            </w:tcBorders>
          </w:tcPr>
          <w:p>
            <w:pPr>
              <w:spacing w:before="32" w:after="32"/>
              <w:jc w:val="center"/>
            </w:pPr>
            <w:r/>
            <w:r>
              <w:rPr>
                <w:rFonts w:ascii="Calibri" w:hAnsi="Calibri"/>
                <w:b/>
                <w:i w:val="0"/>
                <w:color w:val="101010"/>
                <w:sz w:val="15"/>
              </w:rPr>
              <w:t>agree</w:t>
            </w:r>
          </w:p>
        </w:tc>
        <w:tc>
          <w:tcPr>
            <w:tcW w:type="dxa" w:w="3600"/>
            <w:tcBorders>
              <w:bottom w:val="single" w:sz="3" w:color="DEDCD6"/>
            </w:tcBorders>
          </w:tcPr>
          <w:p>
            <w:pPr>
              <w:spacing w:before="32" w:after="32"/>
              <w:jc w:val="left"/>
            </w:pPr>
            <w:r/>
            <w:r>
              <w:rPr>
                <w:rFonts w:ascii="Calibri" w:hAnsi="Calibri"/>
                <w:b w:val="0"/>
                <w:i w:val="0"/>
                <w:color w:val="101010"/>
                <w:sz w:val="15"/>
              </w:rPr>
              <w:t>varied, although they agree here</w:t>
            </w:r>
          </w:p>
        </w:tc>
      </w:tr>
      <w:tr>
        <w:tc>
          <w:tcPr>
            <w:tcW w:type="dxa" w:w="360"/>
            <w:tcBorders>
              <w:bottom w:val="single" w:sz="3" w:color="DEDCD6"/>
            </w:tcBorders>
          </w:tcPr>
          <w:p>
            <w:pPr>
              <w:spacing w:before="32" w:after="32"/>
              <w:jc w:val="center"/>
            </w:pPr>
            <w:r/>
            <w:r>
              <w:rPr>
                <w:rFonts w:ascii="Calibri" w:hAnsi="Calibri"/>
                <w:b w:val="0"/>
                <w:i w:val="0"/>
                <w:color w:val="101010"/>
                <w:sz w:val="15"/>
              </w:rPr>
              <w:t>10</w:t>
            </w:r>
          </w:p>
        </w:tc>
        <w:tc>
          <w:tcPr>
            <w:tcW w:type="dxa" w:w="1656"/>
            <w:tcBorders>
              <w:bottom w:val="single" w:sz="3" w:color="DEDCD6"/>
            </w:tcBorders>
          </w:tcPr>
          <w:p>
            <w:pPr>
              <w:spacing w:before="32" w:after="32"/>
              <w:jc w:val="left"/>
            </w:pPr>
            <w:r/>
            <w:r>
              <w:rPr>
                <w:rFonts w:ascii="Calibri" w:hAnsi="Calibri"/>
                <w:b w:val="0"/>
                <w:i w:val="0"/>
                <w:color w:val="101010"/>
                <w:sz w:val="15"/>
              </w:rPr>
              <w:t>Discretisation</w:t>
            </w:r>
          </w:p>
        </w:tc>
        <w:tc>
          <w:tcPr>
            <w:tcW w:type="dxa" w:w="1512"/>
            <w:tcBorders>
              <w:bottom w:val="single" w:sz="3" w:color="DEDCD6"/>
            </w:tcBorders>
          </w:tcPr>
          <w:p>
            <w:pPr>
              <w:spacing w:before="32" w:after="32"/>
              <w:jc w:val="left"/>
            </w:pPr>
            <w:r/>
            <w:r>
              <w:rPr>
                <w:rFonts w:ascii="Calibri" w:hAnsi="Calibri"/>
                <w:b w:val="0"/>
                <w:i w:val="0"/>
                <w:color w:val="101010"/>
                <w:sz w:val="15"/>
              </w:rPr>
              <w:t>7 bands</w:t>
            </w:r>
          </w:p>
        </w:tc>
        <w:tc>
          <w:tcPr>
            <w:tcW w:type="dxa" w:w="1584"/>
            <w:tcBorders>
              <w:bottom w:val="single" w:sz="3" w:color="DEDCD6"/>
            </w:tcBorders>
          </w:tcPr>
          <w:p>
            <w:pPr>
              <w:spacing w:before="32" w:after="32"/>
              <w:jc w:val="left"/>
            </w:pPr>
            <w:r/>
            <w:r>
              <w:rPr>
                <w:rFonts w:ascii="Calibri" w:hAnsi="Calibri"/>
                <w:b w:val="0"/>
                <w:i w:val="0"/>
                <w:color w:val="101010"/>
                <w:sz w:val="15"/>
              </w:rPr>
              <w:t>7 bands</w:t>
            </w:r>
          </w:p>
        </w:tc>
        <w:tc>
          <w:tcPr>
            <w:tcW w:type="dxa" w:w="1037"/>
            <w:tcBorders>
              <w:bottom w:val="single" w:sz="3" w:color="DEDCD6"/>
            </w:tcBorders>
          </w:tcPr>
          <w:p>
            <w:pPr>
              <w:spacing w:before="32" w:after="32"/>
              <w:jc w:val="center"/>
            </w:pPr>
            <w:r/>
            <w:r>
              <w:rPr>
                <w:rFonts w:ascii="Calibri" w:hAnsi="Calibri"/>
                <w:b w:val="0"/>
                <w:i w:val="0"/>
                <w:color w:val="101010"/>
                <w:sz w:val="15"/>
              </w:rPr>
              <w:t>agree</w:t>
            </w:r>
          </w:p>
        </w:tc>
        <w:tc>
          <w:tcPr>
            <w:tcW w:type="dxa" w:w="3600"/>
            <w:tcBorders>
              <w:bottom w:val="single" w:sz="3" w:color="DEDCD6"/>
            </w:tcBorders>
          </w:tcPr>
          <w:p>
            <w:pPr>
              <w:spacing w:before="32" w:after="32"/>
              <w:jc w:val="left"/>
            </w:pPr>
            <w:r/>
            <w:r>
              <w:rPr>
                <w:rFonts w:ascii="Calibri" w:hAnsi="Calibri"/>
                <w:b w:val="0"/>
                <w:i w:val="0"/>
                <w:color w:val="101010"/>
                <w:sz w:val="15"/>
              </w:rPr>
              <w:t>fixed, we do not discretise</w:t>
            </w:r>
          </w:p>
        </w:tc>
      </w:tr>
      <w:tr>
        <w:tc>
          <w:tcPr>
            <w:tcW w:type="dxa" w:w="360"/>
            <w:tcBorders>
              <w:bottom w:val="single" w:sz="3" w:color="DEDCD6"/>
            </w:tcBorders>
          </w:tcPr>
          <w:p>
            <w:pPr>
              <w:spacing w:before="32" w:after="32"/>
              <w:jc w:val="center"/>
            </w:pPr>
            <w:r/>
            <w:r>
              <w:rPr>
                <w:rFonts w:ascii="Calibri" w:hAnsi="Calibri"/>
                <w:b w:val="0"/>
                <w:i w:val="0"/>
                <w:color w:val="101010"/>
                <w:sz w:val="15"/>
              </w:rPr>
              <w:t>11</w:t>
            </w:r>
          </w:p>
        </w:tc>
        <w:tc>
          <w:tcPr>
            <w:tcW w:type="dxa" w:w="1656"/>
            <w:tcBorders>
              <w:bottom w:val="single" w:sz="3" w:color="DEDCD6"/>
            </w:tcBorders>
          </w:tcPr>
          <w:p>
            <w:pPr>
              <w:spacing w:before="32" w:after="32"/>
              <w:jc w:val="left"/>
            </w:pPr>
            <w:r/>
            <w:r>
              <w:rPr>
                <w:rFonts w:ascii="Calibri" w:hAnsi="Calibri"/>
                <w:b w:val="0"/>
                <w:i w:val="0"/>
                <w:color w:val="101010"/>
                <w:sz w:val="15"/>
              </w:rPr>
              <w:t>Human override</w:t>
            </w:r>
          </w:p>
        </w:tc>
        <w:tc>
          <w:tcPr>
            <w:tcW w:type="dxa" w:w="1512"/>
            <w:tcBorders>
              <w:bottom w:val="single" w:sz="3" w:color="DEDCD6"/>
            </w:tcBorders>
          </w:tcPr>
          <w:p>
            <w:pPr>
              <w:spacing w:before="32" w:after="32"/>
              <w:jc w:val="left"/>
            </w:pPr>
            <w:r/>
            <w:r>
              <w:rPr>
                <w:rFonts w:ascii="Calibri" w:hAnsi="Calibri"/>
                <w:b w:val="0"/>
                <w:i w:val="0"/>
                <w:color w:val="101010"/>
                <w:sz w:val="15"/>
              </w:rPr>
              <w:t>committee</w:t>
            </w:r>
          </w:p>
        </w:tc>
        <w:tc>
          <w:tcPr>
            <w:tcW w:type="dxa" w:w="1584"/>
            <w:tcBorders>
              <w:bottom w:val="single" w:sz="3" w:color="DEDCD6"/>
            </w:tcBorders>
          </w:tcPr>
          <w:p>
            <w:pPr>
              <w:spacing w:before="32" w:after="32"/>
              <w:jc w:val="left"/>
            </w:pPr>
            <w:r/>
            <w:r>
              <w:rPr>
                <w:rFonts w:ascii="Calibri" w:hAnsi="Calibri"/>
                <w:b w:val="0"/>
                <w:i w:val="0"/>
                <w:color w:val="101010"/>
                <w:sz w:val="15"/>
              </w:rPr>
              <w:t>none</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at none, cannot enumerate a committee</w:t>
            </w:r>
          </w:p>
        </w:tc>
      </w:tr>
      <w:tr>
        <w:tc>
          <w:tcPr>
            <w:tcW w:type="dxa" w:w="360"/>
            <w:tcBorders>
              <w:bottom w:val="single" w:sz="3" w:color="DEDCD6"/>
            </w:tcBorders>
          </w:tcPr>
          <w:p>
            <w:pPr>
              <w:spacing w:before="32" w:after="32"/>
              <w:jc w:val="center"/>
            </w:pPr>
            <w:r/>
            <w:r>
              <w:rPr>
                <w:rFonts w:ascii="Calibri" w:hAnsi="Calibri"/>
                <w:b w:val="0"/>
                <w:i w:val="0"/>
                <w:color w:val="101010"/>
                <w:sz w:val="15"/>
              </w:rPr>
              <w:t>12</w:t>
            </w:r>
          </w:p>
        </w:tc>
        <w:tc>
          <w:tcPr>
            <w:tcW w:type="dxa" w:w="1656"/>
            <w:tcBorders>
              <w:bottom w:val="single" w:sz="3" w:color="DEDCD6"/>
            </w:tcBorders>
          </w:tcPr>
          <w:p>
            <w:pPr>
              <w:spacing w:before="32" w:after="32"/>
              <w:jc w:val="left"/>
            </w:pPr>
            <w:r/>
            <w:r>
              <w:rPr>
                <w:rFonts w:ascii="Calibri" w:hAnsi="Calibri"/>
                <w:b w:val="0"/>
                <w:i w:val="0"/>
                <w:color w:val="101010"/>
                <w:sz w:val="15"/>
              </w:rPr>
              <w:t>Controversies</w:t>
            </w:r>
          </w:p>
        </w:tc>
        <w:tc>
          <w:tcPr>
            <w:tcW w:type="dxa" w:w="1512"/>
            <w:tcBorders>
              <w:bottom w:val="single" w:sz="3" w:color="DEDCD6"/>
            </w:tcBorders>
          </w:tcPr>
          <w:p>
            <w:pPr>
              <w:spacing w:before="32" w:after="32"/>
              <w:jc w:val="left"/>
            </w:pPr>
            <w:r/>
            <w:r>
              <w:rPr>
                <w:rFonts w:ascii="Calibri" w:hAnsi="Calibri"/>
                <w:b w:val="0"/>
                <w:i w:val="0"/>
                <w:color w:val="101010"/>
                <w:sz w:val="15"/>
              </w:rPr>
              <w:t>central</w:t>
            </w:r>
          </w:p>
        </w:tc>
        <w:tc>
          <w:tcPr>
            <w:tcW w:type="dxa" w:w="1584"/>
            <w:tcBorders>
              <w:bottom w:val="single" w:sz="3" w:color="DEDCD6"/>
            </w:tcBorders>
          </w:tcPr>
          <w:p>
            <w:pPr>
              <w:spacing w:before="32" w:after="32"/>
              <w:jc w:val="left"/>
            </w:pPr>
            <w:r/>
            <w:r>
              <w:rPr>
                <w:rFonts w:ascii="Calibri" w:hAnsi="Calibri"/>
                <w:b w:val="0"/>
                <w:i w:val="0"/>
                <w:color w:val="101010"/>
                <w:sz w:val="15"/>
              </w:rPr>
              <w:t>absent</w:t>
            </w:r>
          </w:p>
        </w:tc>
        <w:tc>
          <w:tcPr>
            <w:tcW w:type="dxa" w:w="1037"/>
            <w:tcBorders>
              <w:bottom w:val="single" w:sz="3" w:color="DEDCD6"/>
            </w:tcBorders>
          </w:tcPr>
          <w:p>
            <w:pPr>
              <w:spacing w:before="32" w:after="32"/>
              <w:jc w:val="center"/>
            </w:pPr>
            <w:r/>
            <w:r>
              <w:rPr>
                <w:rFonts w:ascii="Calibri" w:hAnsi="Calibri"/>
                <w:b w:val="0"/>
                <w:i w:val="0"/>
                <w:color w:val="101010"/>
                <w:sz w:val="15"/>
              </w:rPr>
              <w:t>differ</w:t>
            </w:r>
          </w:p>
        </w:tc>
        <w:tc>
          <w:tcPr>
            <w:tcW w:type="dxa" w:w="3600"/>
            <w:tcBorders>
              <w:bottom w:val="single" w:sz="3" w:color="DEDCD6"/>
            </w:tcBorders>
          </w:tcPr>
          <w:p>
            <w:pPr>
              <w:spacing w:before="32" w:after="32"/>
              <w:jc w:val="left"/>
            </w:pPr>
            <w:r/>
            <w:r>
              <w:rPr>
                <w:rFonts w:ascii="Calibri" w:hAnsi="Calibri"/>
                <w:b/>
                <w:i w:val="0"/>
                <w:color w:val="101010"/>
                <w:sz w:val="15"/>
              </w:rPr>
              <w:t>fixed</w:t>
            </w:r>
            <w:r>
              <w:rPr>
                <w:rFonts w:ascii="Calibri" w:hAnsi="Calibri"/>
                <w:b w:val="0"/>
                <w:i w:val="0"/>
                <w:color w:val="101010"/>
                <w:sz w:val="15"/>
              </w:rPr>
              <w:t xml:space="preserve"> at absent, declared scope boundary</w:t>
            </w:r>
          </w:p>
        </w:tc>
      </w:tr>
      <w:tr>
        <w:tc>
          <w:tcPr>
            <w:tcW w:type="dxa" w:w="360"/>
            <w:tcBorders>
              <w:bottom w:val="single" w:sz="10" w:color="101010"/>
            </w:tcBorders>
          </w:tcPr>
          <w:p>
            <w:pPr>
              <w:spacing w:before="32" w:after="32"/>
              <w:jc w:val="center"/>
            </w:pPr>
            <w:r/>
            <w:r>
              <w:rPr>
                <w:rFonts w:ascii="Calibri" w:hAnsi="Calibri"/>
                <w:b w:val="0"/>
                <w:i w:val="0"/>
                <w:color w:val="101010"/>
                <w:sz w:val="15"/>
              </w:rPr>
              <w:t>13</w:t>
            </w:r>
          </w:p>
        </w:tc>
        <w:tc>
          <w:tcPr>
            <w:tcW w:type="dxa" w:w="1656"/>
            <w:tcBorders>
              <w:bottom w:val="single" w:sz="10" w:color="101010"/>
            </w:tcBorders>
          </w:tcPr>
          <w:p>
            <w:pPr>
              <w:spacing w:before="32" w:after="32"/>
              <w:jc w:val="left"/>
            </w:pPr>
            <w:r/>
            <w:r>
              <w:rPr>
                <w:rFonts w:ascii="Calibri" w:hAnsi="Calibri"/>
                <w:b w:val="0"/>
                <w:i w:val="0"/>
                <w:color w:val="101010"/>
                <w:sz w:val="15"/>
              </w:rPr>
              <w:t>Non-public data</w:t>
            </w:r>
          </w:p>
        </w:tc>
        <w:tc>
          <w:tcPr>
            <w:tcW w:type="dxa" w:w="1512"/>
            <w:tcBorders>
              <w:bottom w:val="single" w:sz="10" w:color="101010"/>
            </w:tcBorders>
          </w:tcPr>
          <w:p>
            <w:pPr>
              <w:spacing w:before="32" w:after="32"/>
              <w:jc w:val="left"/>
            </w:pPr>
            <w:r/>
            <w:r>
              <w:rPr>
                <w:rFonts w:ascii="Calibri" w:hAnsi="Calibri"/>
                <w:b w:val="0"/>
                <w:i w:val="0"/>
                <w:color w:val="101010"/>
                <w:sz w:val="15"/>
              </w:rPr>
              <w:t>refused</w:t>
            </w:r>
          </w:p>
        </w:tc>
        <w:tc>
          <w:tcPr>
            <w:tcW w:type="dxa" w:w="1584"/>
            <w:tcBorders>
              <w:bottom w:val="single" w:sz="10" w:color="101010"/>
            </w:tcBorders>
          </w:tcPr>
          <w:p>
            <w:pPr>
              <w:spacing w:before="32" w:after="32"/>
              <w:jc w:val="left"/>
            </w:pPr>
            <w:r/>
            <w:r>
              <w:rPr>
                <w:rFonts w:ascii="Calibri" w:hAnsi="Calibri"/>
                <w:b w:val="0"/>
                <w:i w:val="0"/>
                <w:color w:val="101010"/>
                <w:sz w:val="15"/>
              </w:rPr>
              <w:t>public only</w:t>
            </w:r>
          </w:p>
        </w:tc>
        <w:tc>
          <w:tcPr>
            <w:tcW w:type="dxa" w:w="1037"/>
            <w:tcBorders>
              <w:bottom w:val="single" w:sz="10" w:color="101010"/>
            </w:tcBorders>
          </w:tcPr>
          <w:p>
            <w:pPr>
              <w:spacing w:before="32" w:after="32"/>
              <w:jc w:val="center"/>
            </w:pPr>
            <w:r/>
            <w:r>
              <w:rPr>
                <w:rFonts w:ascii="Calibri" w:hAnsi="Calibri"/>
                <w:b w:val="0"/>
                <w:i w:val="0"/>
                <w:color w:val="101010"/>
                <w:sz w:val="15"/>
              </w:rPr>
              <w:t>agree</w:t>
            </w:r>
          </w:p>
        </w:tc>
        <w:tc>
          <w:tcPr>
            <w:tcW w:type="dxa" w:w="3600"/>
            <w:tcBorders>
              <w:bottom w:val="single" w:sz="10" w:color="101010"/>
            </w:tcBorders>
          </w:tcPr>
          <w:p>
            <w:pPr>
              <w:spacing w:before="32" w:after="32"/>
              <w:jc w:val="left"/>
            </w:pPr>
            <w:r/>
            <w:r>
              <w:rPr>
                <w:rFonts w:ascii="Calibri" w:hAnsi="Calibri"/>
                <w:b w:val="0"/>
                <w:i w:val="0"/>
                <w:color w:val="101010"/>
                <w:sz w:val="15"/>
              </w:rPr>
              <w:t>fixed</w:t>
            </w:r>
          </w:p>
        </w:tc>
      </w:tr>
    </w:tbl>
    <w:p>
      <w:pPr>
        <w:spacing w:before="0" w:after="160"/>
        <w:jc w:val="both"/>
      </w:pPr>
      <w:r>
        <w:rPr>
          <w:rFonts w:ascii="Calibri" w:hAnsi="Calibri"/>
          <w:b w:val="0"/>
          <w:i/>
          <w:color w:val="6B6A63"/>
          <w:sz w:val="15"/>
        </w:rPr>
        <w:t>Decision 11 is worth isolating: MSCI factors committee overrides into the final score. A specification curve requires the method to be a function of the data, and a committee cannot be enumerated, so our model is Bloomberg-shaped by necessity as much as by preference.</w:t>
      </w:r>
    </w:p>
    <w:p>
      <w:pPr>
        <w:spacing w:before="220" w:after="40"/>
        <w:keepNext/>
      </w:pPr>
      <w:r>
        <w:rPr>
          <w:rFonts w:ascii="Calibri" w:hAnsi="Calibri"/>
          <w:b/>
          <w:color w:val="C04A12"/>
          <w:sz w:val="21"/>
        </w:rPr>
        <w:t>4.2 Two questions, two grids, the central revision</w:t>
      </w:r>
    </w:p>
    <w:p>
      <w:pPr>
        <w:spacing w:before="0" w:after="100"/>
        <w:jc w:val="both"/>
      </w:pPr>
      <w:r>
        <w:rPr>
          <w:rFonts w:ascii="Calibri" w:hAnsi="Calibri"/>
          <w:b w:val="0"/>
          <w:i w:val="0"/>
          <w:color w:val="101010"/>
          <w:sz w:val="19"/>
        </w:rPr>
        <w:t xml:space="preserve">It is tempting to pool </w:t>
      </w:r>
      <w:r>
        <w:rPr>
          <w:rFonts w:ascii="Calibri" w:hAnsi="Calibri"/>
          <w:b w:val="0"/>
          <w:i/>
          <w:color w:val="101010"/>
          <w:sz w:val="19"/>
        </w:rPr>
        <w:t>level</w:t>
      </w:r>
      <w:r>
        <w:rPr>
          <w:rFonts w:ascii="Calibri" w:hAnsi="Calibri"/>
          <w:b w:val="0"/>
          <w:i w:val="0"/>
          <w:color w:val="101010"/>
          <w:sz w:val="19"/>
        </w:rPr>
        <w:t xml:space="preserve"> and </w:t>
      </w:r>
      <w:r>
        <w:rPr>
          <w:rFonts w:ascii="Calibri" w:hAnsi="Calibri"/>
          <w:b w:val="0"/>
          <w:i/>
          <w:color w:val="101010"/>
          <w:sz w:val="19"/>
        </w:rPr>
        <w:t>change</w:t>
      </w:r>
      <w:r>
        <w:rPr>
          <w:rFonts w:ascii="Calibri" w:hAnsi="Calibri"/>
          <w:b w:val="0"/>
          <w:i w:val="0"/>
          <w:color w:val="101010"/>
          <w:sz w:val="19"/>
        </w:rPr>
        <w:t xml:space="preserve"> into one distribution. Simonsohn's own criterion is that a specification must test the research question; level and change are two questions. Pooling them produced two-humped distributions and a headline that was partly an artefact of the pooling.</w:t>
      </w:r>
    </w:p>
    <w:tbl>
      <w:tblPr>
        <w:tblW w:type="auto" w:w="0"/>
        <w:jc w:val="center"/>
        <w:tblLayout w:type="fixed"/>
        <w:tblLook w:firstColumn="1" w:firstRow="1" w:lastColumn="0" w:lastRow="0" w:noHBand="0" w:noVBand="1" w:val="04A0"/>
      </w:tblPr>
      <w:tblGrid>
        <w:gridCol w:w="3278"/>
        <w:gridCol w:w="3278"/>
        <w:gridCol w:w="3278"/>
      </w:tblGrid>
      <w:tr>
        <w:tc>
          <w:tcPr>
            <w:tcW w:type="dxa" w:w="1224"/>
            <w:shd w:val="clear" w:fill="F6F5F2"/>
            <w:tcBorders>
              <w:top w:val="single" w:sz="10" w:color="101010"/>
              <w:bottom w:val="single" w:sz="5" w:color="6B6A63"/>
            </w:tcBorders>
          </w:tcPr>
          <w:p>
            <w:pPr>
              <w:spacing w:before="32" w:after="32"/>
              <w:jc w:val="left"/>
            </w:pPr>
            <w:r/>
          </w:p>
        </w:tc>
        <w:tc>
          <w:tcPr>
            <w:tcW w:type="dxa" w:w="4176"/>
            <w:shd w:val="clear" w:fill="F6F5F2"/>
            <w:tcBorders>
              <w:top w:val="single" w:sz="10" w:color="101010"/>
              <w:bottom w:val="single" w:sz="5" w:color="6B6A63"/>
            </w:tcBorders>
          </w:tcPr>
          <w:p>
            <w:pPr>
              <w:spacing w:before="32" w:after="32"/>
              <w:jc w:val="left"/>
            </w:pPr>
            <w:r/>
            <w:r>
              <w:rPr>
                <w:rFonts w:ascii="Calibri" w:hAnsi="Calibri"/>
                <w:b/>
                <w:i w:val="0"/>
                <w:color w:val="3D3C38"/>
                <w:sz w:val="15"/>
              </w:rPr>
              <w:t xml:space="preserve">Question A, </w:t>
            </w:r>
            <w:r>
              <w:rPr>
                <w:rFonts w:ascii="Calibri" w:hAnsi="Calibri"/>
                <w:b/>
                <w:i w:val="0"/>
                <w:color w:val="3D3C38"/>
                <w:sz w:val="15"/>
              </w:rPr>
              <w:t>stewardship</w:t>
            </w:r>
          </w:p>
        </w:tc>
        <w:tc>
          <w:tcPr>
            <w:tcW w:type="dxa" w:w="4464"/>
            <w:shd w:val="clear" w:fill="F6F5F2"/>
            <w:tcBorders>
              <w:top w:val="single" w:sz="10" w:color="101010"/>
              <w:bottom w:val="single" w:sz="5" w:color="6B6A63"/>
            </w:tcBorders>
          </w:tcPr>
          <w:p>
            <w:pPr>
              <w:spacing w:before="32" w:after="32"/>
              <w:jc w:val="left"/>
            </w:pPr>
            <w:r/>
            <w:r>
              <w:rPr>
                <w:rFonts w:ascii="Calibri" w:hAnsi="Calibri"/>
                <w:b/>
                <w:i w:val="0"/>
                <w:color w:val="3D3C38"/>
                <w:sz w:val="15"/>
              </w:rPr>
              <w:t xml:space="preserve">Question B, </w:t>
            </w:r>
            <w:r>
              <w:rPr>
                <w:rFonts w:ascii="Calibri" w:hAnsi="Calibri"/>
                <w:b/>
                <w:i w:val="0"/>
                <w:color w:val="3D3C38"/>
                <w:sz w:val="15"/>
              </w:rPr>
              <w:t>momentum</w:t>
            </w:r>
          </w:p>
        </w:tc>
      </w:tr>
      <w:tr>
        <w:tc>
          <w:tcPr>
            <w:tcW w:type="dxa" w:w="1224"/>
            <w:tcBorders>
              <w:bottom w:val="single" w:sz="3" w:color="DEDCD6"/>
            </w:tcBorders>
          </w:tcPr>
          <w:p>
            <w:pPr>
              <w:spacing w:before="32" w:after="32"/>
              <w:jc w:val="left"/>
            </w:pPr>
            <w:r/>
            <w:r>
              <w:rPr>
                <w:rFonts w:ascii="Calibri" w:hAnsi="Calibri"/>
                <w:b/>
                <w:i w:val="0"/>
                <w:color w:val="101010"/>
                <w:sz w:val="16"/>
              </w:rPr>
              <w:t>Asks</w:t>
            </w:r>
          </w:p>
        </w:tc>
        <w:tc>
          <w:tcPr>
            <w:tcW w:type="dxa" w:w="4176"/>
            <w:tcBorders>
              <w:bottom w:val="single" w:sz="3" w:color="DEDCD6"/>
            </w:tcBorders>
          </w:tcPr>
          <w:p>
            <w:pPr>
              <w:spacing w:before="32" w:after="32"/>
              <w:jc w:val="left"/>
            </w:pPr>
            <w:r/>
            <w:r>
              <w:rPr>
                <w:rFonts w:ascii="Calibri" w:hAnsi="Calibri"/>
                <w:b w:val="0"/>
                <w:i w:val="0"/>
                <w:color w:val="101010"/>
                <w:sz w:val="16"/>
              </w:rPr>
              <w:t xml:space="preserve">Who causes least harm per unit of output </w:t>
            </w:r>
            <w:r>
              <w:rPr>
                <w:rFonts w:ascii="Calibri" w:hAnsi="Calibri"/>
                <w:b w:val="0"/>
                <w:i/>
                <w:color w:val="101010"/>
                <w:sz w:val="16"/>
              </w:rPr>
              <w:t>now</w:t>
            </w:r>
            <w:r>
              <w:rPr>
                <w:rFonts w:ascii="Calibri" w:hAnsi="Calibri"/>
                <w:b w:val="0"/>
                <w:i w:val="0"/>
                <w:color w:val="101010"/>
                <w:sz w:val="16"/>
              </w:rPr>
              <w:t>?</w:t>
            </w:r>
          </w:p>
        </w:tc>
        <w:tc>
          <w:tcPr>
            <w:tcW w:type="dxa" w:w="4464"/>
            <w:tcBorders>
              <w:bottom w:val="single" w:sz="3" w:color="DEDCD6"/>
            </w:tcBorders>
          </w:tcPr>
          <w:p>
            <w:pPr>
              <w:spacing w:before="32" w:after="32"/>
              <w:jc w:val="left"/>
            </w:pPr>
            <w:r/>
            <w:r>
              <w:rPr>
                <w:rFonts w:ascii="Calibri" w:hAnsi="Calibri"/>
                <w:b w:val="0"/>
                <w:i w:val="0"/>
                <w:color w:val="101010"/>
                <w:sz w:val="16"/>
              </w:rPr>
              <w:t xml:space="preserve">Who is </w:t>
            </w:r>
            <w:r>
              <w:rPr>
                <w:rFonts w:ascii="Calibri" w:hAnsi="Calibri"/>
                <w:b w:val="0"/>
                <w:i/>
                <w:color w:val="101010"/>
                <w:sz w:val="16"/>
              </w:rPr>
              <w:t>reducing</w:t>
            </w:r>
            <w:r>
              <w:rPr>
                <w:rFonts w:ascii="Calibri" w:hAnsi="Calibri"/>
                <w:b w:val="0"/>
                <w:i w:val="0"/>
                <w:color w:val="101010"/>
                <w:sz w:val="16"/>
              </w:rPr>
              <w:t xml:space="preserve"> harm fastest?</w:t>
            </w:r>
          </w:p>
        </w:tc>
      </w:tr>
      <w:tr>
        <w:tc>
          <w:tcPr>
            <w:tcW w:type="dxa" w:w="1224"/>
            <w:tcBorders>
              <w:bottom w:val="single" w:sz="3" w:color="DEDCD6"/>
            </w:tcBorders>
          </w:tcPr>
          <w:p>
            <w:pPr>
              <w:spacing w:before="32" w:after="32"/>
              <w:jc w:val="left"/>
            </w:pPr>
            <w:r/>
            <w:r>
              <w:rPr>
                <w:rFonts w:ascii="Calibri" w:hAnsi="Calibri"/>
                <w:b/>
                <w:i w:val="0"/>
                <w:color w:val="101010"/>
                <w:sz w:val="16"/>
              </w:rPr>
              <w:t>Reduction</w:t>
            </w:r>
          </w:p>
        </w:tc>
        <w:tc>
          <w:tcPr>
            <w:tcW w:type="dxa" w:w="4176"/>
            <w:tcBorders>
              <w:bottom w:val="single" w:sz="3" w:color="DEDCD6"/>
            </w:tcBorders>
          </w:tcPr>
          <w:p>
            <w:pPr>
              <w:spacing w:before="32" w:after="32"/>
              <w:jc w:val="left"/>
            </w:pPr>
            <w:r/>
            <w:r>
              <w:rPr>
                <w:rFonts w:ascii="Calibri" w:hAnsi="Calibri"/>
                <w:b w:val="0"/>
                <w:i w:val="0"/>
                <w:color w:val="101010"/>
                <w:sz w:val="16"/>
              </w:rPr>
              <w:t>level of the latest reported value</w:t>
            </w:r>
          </w:p>
        </w:tc>
        <w:tc>
          <w:tcPr>
            <w:tcW w:type="dxa" w:w="4464"/>
            <w:tcBorders>
              <w:bottom w:val="single" w:sz="3" w:color="DEDCD6"/>
            </w:tcBorders>
          </w:tcPr>
          <w:p>
            <w:pPr>
              <w:spacing w:before="32" w:after="32"/>
              <w:jc w:val="left"/>
            </w:pPr>
            <w:r/>
            <w:r>
              <w:rPr>
                <w:rFonts w:ascii="Calibri" w:hAnsi="Calibri"/>
                <w:b w:val="0"/>
                <w:i w:val="0"/>
                <w:color w:val="101010"/>
                <w:sz w:val="16"/>
              </w:rPr>
              <w:t>relative change over three reported years</w:t>
            </w:r>
          </w:p>
        </w:tc>
      </w:tr>
      <w:tr>
        <w:tc>
          <w:tcPr>
            <w:tcW w:type="dxa" w:w="1224"/>
            <w:tcBorders>
              <w:bottom w:val="single" w:sz="3" w:color="DEDCD6"/>
            </w:tcBorders>
          </w:tcPr>
          <w:p>
            <w:pPr>
              <w:spacing w:before="32" w:after="32"/>
              <w:jc w:val="left"/>
            </w:pPr>
            <w:r/>
            <w:r>
              <w:rPr>
                <w:rFonts w:ascii="Calibri" w:hAnsi="Calibri"/>
                <w:b/>
                <w:i w:val="0"/>
                <w:color w:val="101010"/>
                <w:sz w:val="16"/>
              </w:rPr>
              <w:t>Cells</w:t>
            </w:r>
          </w:p>
        </w:tc>
        <w:tc>
          <w:tcPr>
            <w:tcW w:type="dxa" w:w="4176"/>
            <w:tcBorders>
              <w:bottom w:val="single" w:sz="3" w:color="DEDCD6"/>
            </w:tcBorders>
          </w:tcPr>
          <w:p>
            <w:pPr>
              <w:spacing w:before="32" w:after="32"/>
              <w:jc w:val="left"/>
            </w:pPr>
            <w:r/>
            <w:r>
              <w:rPr>
                <w:rFonts w:ascii="Calibri" w:hAnsi="Calibri"/>
                <w:b w:val="0"/>
                <w:i w:val="0"/>
                <w:color w:val="101010"/>
                <w:sz w:val="16"/>
              </w:rPr>
              <w:t>8,748 (2,916 distinct grade paths)</w:t>
            </w:r>
          </w:p>
        </w:tc>
        <w:tc>
          <w:tcPr>
            <w:tcW w:type="dxa" w:w="4464"/>
            <w:tcBorders>
              <w:bottom w:val="single" w:sz="3" w:color="DEDCD6"/>
            </w:tcBorders>
          </w:tcPr>
          <w:p>
            <w:pPr>
              <w:spacing w:before="32" w:after="32"/>
              <w:jc w:val="left"/>
            </w:pPr>
            <w:r/>
            <w:r>
              <w:rPr>
                <w:rFonts w:ascii="Calibri" w:hAnsi="Calibri"/>
                <w:b w:val="0"/>
                <w:i w:val="0"/>
                <w:color w:val="101010"/>
                <w:sz w:val="16"/>
              </w:rPr>
              <w:t>8,748</w:t>
            </w:r>
          </w:p>
        </w:tc>
      </w:tr>
      <w:tr>
        <w:tc>
          <w:tcPr>
            <w:tcW w:type="dxa" w:w="1224"/>
            <w:tcBorders>
              <w:bottom w:val="single" w:sz="3" w:color="DEDCD6"/>
            </w:tcBorders>
          </w:tcPr>
          <w:p>
            <w:pPr>
              <w:spacing w:before="32" w:after="32"/>
              <w:jc w:val="left"/>
            </w:pPr>
            <w:r/>
            <w:r>
              <w:rPr>
                <w:rFonts w:ascii="Calibri" w:hAnsi="Calibri"/>
                <w:b/>
                <w:i w:val="0"/>
                <w:color w:val="101010"/>
                <w:sz w:val="16"/>
              </w:rPr>
              <w:t>Pillars</w:t>
            </w:r>
          </w:p>
        </w:tc>
        <w:tc>
          <w:tcPr>
            <w:tcW w:type="dxa" w:w="4176"/>
            <w:tcBorders>
              <w:bottom w:val="single" w:sz="3" w:color="DEDCD6"/>
            </w:tcBorders>
          </w:tcPr>
          <w:p>
            <w:pPr>
              <w:spacing w:before="32" w:after="32"/>
              <w:jc w:val="left"/>
            </w:pPr>
            <w:r/>
            <w:r>
              <w:rPr>
                <w:rFonts w:ascii="Calibri" w:hAnsi="Calibri"/>
                <w:b w:val="0"/>
                <w:i w:val="0"/>
                <w:color w:val="101010"/>
                <w:sz w:val="16"/>
              </w:rPr>
              <w:t>E, S, G, F</w:t>
            </w:r>
          </w:p>
        </w:tc>
        <w:tc>
          <w:tcPr>
            <w:tcW w:type="dxa" w:w="4464"/>
            <w:tcBorders>
              <w:bottom w:val="single" w:sz="3" w:color="DEDCD6"/>
            </w:tcBorders>
          </w:tcPr>
          <w:p>
            <w:pPr>
              <w:spacing w:before="32" w:after="32"/>
              <w:jc w:val="left"/>
            </w:pPr>
            <w:r/>
            <w:r>
              <w:rPr>
                <w:rFonts w:ascii="Calibri" w:hAnsi="Calibri"/>
                <w:b w:val="0"/>
                <w:i w:val="0"/>
                <w:color w:val="101010"/>
                <w:sz w:val="16"/>
              </w:rPr>
              <w:t>E, S, G, financial has one year, so no trajectory</w:t>
            </w:r>
          </w:p>
        </w:tc>
      </w:tr>
      <w:tr>
        <w:tc>
          <w:tcPr>
            <w:tcW w:type="dxa" w:w="1224"/>
            <w:tcBorders>
              <w:bottom w:val="single" w:sz="10" w:color="101010"/>
            </w:tcBorders>
          </w:tcPr>
          <w:p>
            <w:pPr>
              <w:spacing w:before="32" w:after="32"/>
              <w:jc w:val="left"/>
            </w:pPr>
            <w:r/>
            <w:r>
              <w:rPr>
                <w:rFonts w:ascii="Calibri" w:hAnsi="Calibri"/>
                <w:b/>
                <w:i w:val="0"/>
                <w:color w:val="101010"/>
                <w:sz w:val="16"/>
              </w:rPr>
              <w:t>Use</w:t>
            </w:r>
          </w:p>
        </w:tc>
        <w:tc>
          <w:tcPr>
            <w:tcW w:type="dxa" w:w="4176"/>
            <w:tcBorders>
              <w:bottom w:val="single" w:sz="10" w:color="101010"/>
            </w:tcBorders>
          </w:tcPr>
          <w:p>
            <w:pPr>
              <w:spacing w:before="32" w:after="32"/>
              <w:jc w:val="left"/>
            </w:pPr>
            <w:r/>
            <w:r>
              <w:rPr>
                <w:rFonts w:ascii="Calibri" w:hAnsi="Calibri"/>
                <w:b w:val="0"/>
                <w:i w:val="0"/>
                <w:color w:val="101010"/>
                <w:sz w:val="16"/>
              </w:rPr>
              <w:t>screening, exclusion, benchmarking</w:t>
            </w:r>
          </w:p>
        </w:tc>
        <w:tc>
          <w:tcPr>
            <w:tcW w:type="dxa" w:w="4464"/>
            <w:tcBorders>
              <w:bottom w:val="single" w:sz="10" w:color="101010"/>
            </w:tcBorders>
          </w:tcPr>
          <w:p>
            <w:pPr>
              <w:spacing w:before="32" w:after="32"/>
              <w:jc w:val="left"/>
            </w:pPr>
            <w:r/>
            <w:r>
              <w:rPr>
                <w:rFonts w:ascii="Calibri" w:hAnsi="Calibri"/>
                <w:b w:val="0"/>
                <w:i w:val="0"/>
                <w:color w:val="101010"/>
                <w:sz w:val="16"/>
              </w:rPr>
              <w:t>engagement, transition allocation (§8)</w:t>
            </w:r>
          </w:p>
        </w:tc>
      </w:tr>
    </w:tbl>
    <w:p>
      <w:pPr>
        <w:spacing w:before="0" w:after="100"/>
        <w:jc w:val="both"/>
      </w:pPr>
      <w:r>
        <w:rPr>
          <w:rFonts w:ascii="Calibri" w:hAnsi="Calibri"/>
          <w:b w:val="0"/>
          <w:i w:val="0"/>
          <w:color w:val="101010"/>
          <w:sz w:val="19"/>
        </w:rPr>
        <w:t>Within each question the remaining seven axes are genuine competing methods for the same question, which is the grid specification-curve analysis licenses.</w:t>
      </w:r>
    </w:p>
    <w:p>
      <w:pPr>
        <w:spacing w:before="220" w:after="40"/>
        <w:keepNext/>
      </w:pPr>
      <w:r>
        <w:rPr>
          <w:rFonts w:ascii="Calibri" w:hAnsi="Calibri"/>
          <w:b/>
          <w:color w:val="C04A12"/>
          <w:sz w:val="21"/>
        </w:rPr>
        <w:t>4.3 Rules that are rules</w:t>
      </w:r>
    </w:p>
    <w:p>
      <w:pPr>
        <w:spacing w:before="0" w:after="100"/>
        <w:jc w:val="both"/>
      </w:pPr>
      <w:r>
        <w:rPr>
          <w:rFonts w:ascii="Calibri" w:hAnsi="Calibri"/>
          <w:b/>
          <w:i w:val="0"/>
          <w:color w:val="101010"/>
          <w:sz w:val="19"/>
        </w:rPr>
        <w:t>MIN_PEERS = 3.</w:t>
      </w:r>
      <w:r>
        <w:rPr>
          <w:rFonts w:ascii="Calibri" w:hAnsi="Calibri"/>
          <w:b w:val="0"/>
          <w:i w:val="0"/>
          <w:color w:val="101010"/>
          <w:sz w:val="19"/>
        </w:rPr>
        <w:t xml:space="preserve"> Note the residual problem: in a three-member group a field two members report still scores 0 or 100. Correct, the floor mitigates but does not eliminate this. §6.5 reports what it costs. </w:t>
      </w:r>
      <w:r>
        <w:rPr>
          <w:rFonts w:ascii="Calibri" w:hAnsi="Calibri"/>
          <w:b/>
          <w:i w:val="0"/>
          <w:color w:val="101010"/>
          <w:sz w:val="19"/>
        </w:rPr>
        <w:t>ELAST_MIN = 8:</w:t>
      </w:r>
      <w:r>
        <w:rPr>
          <w:rFonts w:ascii="Calibri" w:hAnsi="Calibri"/>
          <w:b w:val="0"/>
          <w:i w:val="0"/>
          <w:color w:val="101010"/>
          <w:sz w:val="19"/>
        </w:rPr>
        <w:t xml:space="preserve"> the elasticity normaliser needs eight points; the largest BECS group has seven, so in the peer-group branch it falls back to log min-max. That fallback fires for every company in that branch, which we state rather than let a reader assume otherwise.</w:t>
      </w:r>
    </w:p>
    <w:p>
      <w:r>
        <w:br w:type="page"/>
      </w:r>
    </w:p>
    <w:p>
      <w:pPr>
        <w:spacing w:before="300" w:after="60"/>
        <w:pBdr>
          <w:bottom w:val="single" w:sz="10" w:color="101010" w:space="3"/>
        </w:pBdr>
        <w:keepNext/>
      </w:pPr>
      <w:r>
        <w:rPr>
          <w:rFonts w:ascii="Calibri" w:hAnsi="Calibri"/>
          <w:b/>
          <w:color w:val="101010"/>
          <w:sz w:val="28"/>
        </w:rPr>
        <w:t>5. Results</w:t>
      </w:r>
    </w:p>
    <w:p>
      <w:pPr>
        <w:spacing w:before="220" w:after="40"/>
        <w:keepNext/>
      </w:pPr>
      <w:r>
        <w:rPr>
          <w:rFonts w:ascii="Calibri" w:hAnsi="Calibri"/>
          <w:b/>
          <w:color w:val="C04A12"/>
          <w:sz w:val="21"/>
        </w:rPr>
        <w:t>5.1 Contestation after every deflation</w:t>
      </w:r>
    </w:p>
    <w:p>
      <w:pPr>
        <w:spacing w:before="220" w:after="40"/>
        <w:keepNext/>
      </w:pPr>
      <w:r>
        <w:rPr>
          <w:rFonts w:ascii="Calibri" w:hAnsi="Calibri"/>
          <w:b/>
          <w:color w:val="C04A12"/>
          <w:sz w:val="16"/>
        </w:rPr>
        <w:t>Exhibit 6</w:t>
      </w:r>
      <w:r>
        <w:rPr>
          <w:rFonts w:ascii="Calibri" w:hAnsi="Calibri"/>
          <w:b/>
          <w:color w:val="101010"/>
          <w:sz w:val="19"/>
        </w:rPr>
        <w:t xml:space="preserve">   Median contestation, Question A, by how much is held fixed</w:t>
      </w:r>
    </w:p>
    <w:tbl>
      <w:tblPr>
        <w:tblW w:type="auto" w:w="0"/>
        <w:jc w:val="center"/>
        <w:tblLayout w:type="fixed"/>
        <w:tblLook w:firstColumn="1" w:firstRow="1" w:lastColumn="0" w:lastRow="0" w:noHBand="0" w:noVBand="1" w:val="04A0"/>
      </w:tblPr>
      <w:tblGrid>
        <w:gridCol w:w="3278"/>
        <w:gridCol w:w="3278"/>
        <w:gridCol w:w="3278"/>
      </w:tblGrid>
      <w:tr>
        <w:tc>
          <w:tcPr>
            <w:tcW w:type="dxa" w:w="5040"/>
            <w:shd w:val="clear" w:fill="F6F5F2"/>
            <w:tcBorders>
              <w:top w:val="single" w:sz="10" w:color="101010"/>
              <w:bottom w:val="single" w:sz="5" w:color="6B6A63"/>
            </w:tcBorders>
          </w:tcPr>
          <w:p>
            <w:pPr>
              <w:spacing w:before="32" w:after="32"/>
              <w:jc w:val="left"/>
            </w:pPr>
            <w:r/>
            <w:r>
              <w:rPr>
                <w:rFonts w:ascii="Calibri" w:hAnsi="Calibri"/>
                <w:b/>
                <w:i w:val="0"/>
                <w:color w:val="3D3C38"/>
                <w:sz w:val="15"/>
              </w:rPr>
              <w:t>Stratum</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Cells</w:t>
            </w:r>
          </w:p>
        </w:tc>
        <w:tc>
          <w:tcPr>
            <w:tcW w:type="dxa" w:w="3312"/>
            <w:shd w:val="clear" w:fill="F6F5F2"/>
            <w:tcBorders>
              <w:top w:val="single" w:sz="10" w:color="101010"/>
              <w:bottom w:val="single" w:sz="5" w:color="6B6A63"/>
            </w:tcBorders>
          </w:tcPr>
          <w:p>
            <w:pPr>
              <w:spacing w:before="32" w:after="32"/>
              <w:jc w:val="right"/>
            </w:pPr>
            <w:r/>
            <w:r>
              <w:rPr>
                <w:rFonts w:ascii="Calibri" w:hAnsi="Calibri"/>
                <w:b/>
                <w:i w:val="0"/>
                <w:color w:val="3D3C38"/>
                <w:sz w:val="15"/>
              </w:rPr>
              <w:t>Median IQR (places of 18)</w:t>
            </w:r>
          </w:p>
        </w:tc>
      </w:tr>
      <w:tr>
        <w:tc>
          <w:tcPr>
            <w:tcW w:type="dxa" w:w="5040"/>
            <w:tcBorders>
              <w:bottom w:val="single" w:sz="3" w:color="DEDCD6"/>
            </w:tcBorders>
          </w:tcPr>
          <w:p>
            <w:pPr>
              <w:spacing w:before="32" w:after="32"/>
              <w:jc w:val="left"/>
            </w:pPr>
            <w:r/>
            <w:r>
              <w:rPr>
                <w:rFonts w:ascii="Calibri" w:hAnsi="Calibri"/>
                <w:b w:val="0"/>
                <w:i w:val="0"/>
                <w:color w:val="101010"/>
                <w:sz w:val="16"/>
              </w:rPr>
              <w:t>Both questions pooled (we do not report this)</w:t>
            </w:r>
          </w:p>
        </w:tc>
        <w:tc>
          <w:tcPr>
            <w:tcW w:type="dxa" w:w="1584"/>
            <w:tcBorders>
              <w:bottom w:val="single" w:sz="3" w:color="DEDCD6"/>
            </w:tcBorders>
          </w:tcPr>
          <w:p>
            <w:pPr>
              <w:spacing w:before="32" w:after="32"/>
              <w:jc w:val="right"/>
            </w:pPr>
            <w:r/>
            <w:r>
              <w:rPr>
                <w:rFonts w:ascii="Calibri" w:hAnsi="Calibri"/>
                <w:b w:val="0"/>
                <w:i w:val="0"/>
                <w:color w:val="101010"/>
                <w:sz w:val="16"/>
              </w:rPr>
              <w:t>17,496</w:t>
            </w:r>
          </w:p>
        </w:tc>
        <w:tc>
          <w:tcPr>
            <w:tcW w:type="dxa" w:w="3312"/>
            <w:tcBorders>
              <w:bottom w:val="single" w:sz="3" w:color="DEDCD6"/>
            </w:tcBorders>
          </w:tcPr>
          <w:p>
            <w:pPr>
              <w:spacing w:before="32" w:after="32"/>
              <w:jc w:val="right"/>
            </w:pPr>
            <w:r/>
            <w:r>
              <w:rPr>
                <w:rFonts w:ascii="Calibri" w:hAnsi="Calibri"/>
                <w:b w:val="0"/>
                <w:i w:val="0"/>
                <w:color w:val="101010"/>
                <w:sz w:val="16"/>
              </w:rPr>
              <w:t>7.0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only (level)</w:t>
            </w:r>
          </w:p>
        </w:tc>
        <w:tc>
          <w:tcPr>
            <w:tcW w:type="dxa" w:w="1584"/>
            <w:tcBorders>
              <w:bottom w:val="single" w:sz="3" w:color="DEDCD6"/>
            </w:tcBorders>
          </w:tcPr>
          <w:p>
            <w:pPr>
              <w:spacing w:before="32" w:after="32"/>
              <w:jc w:val="right"/>
            </w:pPr>
            <w:r/>
            <w:r>
              <w:rPr>
                <w:rFonts w:ascii="Calibri" w:hAnsi="Calibri"/>
                <w:b w:val="0"/>
                <w:i w:val="0"/>
                <w:color w:val="101010"/>
                <w:sz w:val="16"/>
              </w:rPr>
              <w:t>8,748</w:t>
            </w:r>
          </w:p>
        </w:tc>
        <w:tc>
          <w:tcPr>
            <w:tcW w:type="dxa" w:w="3312"/>
            <w:tcBorders>
              <w:bottom w:val="single" w:sz="3" w:color="DEDCD6"/>
            </w:tcBorders>
          </w:tcPr>
          <w:p>
            <w:pPr>
              <w:spacing w:before="32" w:after="32"/>
              <w:jc w:val="right"/>
            </w:pPr>
            <w:r/>
            <w:r>
              <w:rPr>
                <w:rFonts w:ascii="Calibri" w:hAnsi="Calibri"/>
                <w:b w:val="0"/>
                <w:i w:val="0"/>
                <w:color w:val="101010"/>
                <w:sz w:val="16"/>
              </w:rPr>
              <w:t>5.0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sector peers</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val="0"/>
                <w:i w:val="0"/>
                <w:color w:val="101010"/>
                <w:sz w:val="16"/>
              </w:rPr>
              <w:t>5.0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BECS peer groups</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i w:val="0"/>
                <w:color w:val="101010"/>
                <w:sz w:val="16"/>
              </w:rPr>
              <w:t>3.0</w:t>
            </w:r>
          </w:p>
        </w:tc>
      </w:tr>
      <w:tr>
        <w:tc>
          <w:tcPr>
            <w:tcW w:type="dxa" w:w="5040"/>
            <w:tcBorders>
              <w:bottom w:val="single" w:sz="3" w:color="DEDCD6"/>
            </w:tcBorders>
          </w:tcPr>
          <w:p>
            <w:pPr>
              <w:spacing w:before="32" w:after="32"/>
              <w:jc w:val="left"/>
            </w:pPr>
            <w:r/>
            <w:r>
              <w:rPr>
                <w:rFonts w:ascii="Calibri" w:hAnsi="Calibri"/>
                <w:b w:val="0"/>
                <w:i w:val="0"/>
                <w:color w:val="101010"/>
                <w:sz w:val="16"/>
              </w:rPr>
              <w:t>Question A × strict evidence bar</w:t>
            </w:r>
          </w:p>
        </w:tc>
        <w:tc>
          <w:tcPr>
            <w:tcW w:type="dxa" w:w="1584"/>
            <w:tcBorders>
              <w:bottom w:val="single" w:sz="3" w:color="DEDCD6"/>
            </w:tcBorders>
          </w:tcPr>
          <w:p>
            <w:pPr>
              <w:spacing w:before="32" w:after="32"/>
              <w:jc w:val="right"/>
            </w:pPr>
            <w:r/>
            <w:r>
              <w:rPr>
                <w:rFonts w:ascii="Calibri" w:hAnsi="Calibri"/>
                <w:b w:val="0"/>
                <w:i w:val="0"/>
                <w:color w:val="101010"/>
                <w:sz w:val="16"/>
              </w:rPr>
              <w:t>2,916</w:t>
            </w:r>
          </w:p>
        </w:tc>
        <w:tc>
          <w:tcPr>
            <w:tcW w:type="dxa" w:w="3312"/>
            <w:tcBorders>
              <w:bottom w:val="single" w:sz="3" w:color="DEDCD6"/>
            </w:tcBorders>
          </w:tcPr>
          <w:p>
            <w:pPr>
              <w:spacing w:before="32" w:after="32"/>
              <w:jc w:val="right"/>
            </w:pPr>
            <w:r/>
            <w:r>
              <w:rPr>
                <w:rFonts w:ascii="Calibri" w:hAnsi="Calibri"/>
                <w:b w:val="0"/>
                <w:i w:val="0"/>
                <w:color w:val="101010"/>
                <w:sz w:val="16"/>
              </w:rPr>
              <w:t>3.0</w:t>
            </w:r>
          </w:p>
        </w:tc>
      </w:tr>
      <w:tr>
        <w:tc>
          <w:tcPr>
            <w:tcW w:type="dxa" w:w="5040"/>
            <w:tcBorders>
              <w:bottom w:val="single" w:sz="10" w:color="101010"/>
            </w:tcBorders>
          </w:tcPr>
          <w:p>
            <w:pPr>
              <w:spacing w:before="32" w:after="32"/>
              <w:jc w:val="left"/>
            </w:pPr>
            <w:r/>
            <w:r>
              <w:rPr>
                <w:rFonts w:ascii="Calibri" w:hAnsi="Calibri"/>
                <w:b w:val="0"/>
                <w:i w:val="0"/>
                <w:color w:val="101010"/>
                <w:sz w:val="16"/>
              </w:rPr>
              <w:t>Random-rank control</w:t>
            </w:r>
          </w:p>
        </w:tc>
        <w:tc>
          <w:tcPr>
            <w:tcW w:type="dxa" w:w="1584"/>
            <w:tcBorders>
              <w:bottom w:val="single" w:sz="10" w:color="101010"/>
            </w:tcBorders>
          </w:tcPr>
          <w:p>
            <w:pPr>
              <w:spacing w:before="32" w:after="32"/>
              <w:jc w:val="right"/>
            </w:pPr>
            <w:r/>
          </w:p>
        </w:tc>
        <w:tc>
          <w:tcPr>
            <w:tcW w:type="dxa" w:w="3312"/>
            <w:tcBorders>
              <w:bottom w:val="single" w:sz="10" w:color="101010"/>
            </w:tcBorders>
          </w:tcPr>
          <w:p>
            <w:pPr>
              <w:spacing w:before="32" w:after="32"/>
              <w:jc w:val="right"/>
            </w:pPr>
            <w:r/>
            <w:r>
              <w:rPr>
                <w:rFonts w:ascii="Calibri" w:hAnsi="Calibri"/>
                <w:b w:val="0"/>
                <w:i w:val="0"/>
                <w:color w:val="101010"/>
                <w:sz w:val="16"/>
              </w:rPr>
              <w:t>8.5 to 9.0</w:t>
            </w:r>
          </w:p>
        </w:tc>
      </w:tr>
    </w:tbl>
    <w:p>
      <w:pPr>
        <w:spacing w:before="0" w:after="160"/>
        <w:jc w:val="both"/>
      </w:pPr>
      <w:r>
        <w:rPr>
          <w:rFonts w:ascii="Calibri" w:hAnsi="Calibri"/>
          <w:b w:val="0"/>
          <w:i/>
          <w:color w:val="6B6A63"/>
          <w:sz w:val="15"/>
        </w:rPr>
        <w:t>The random-rank control is the test that matters: a randomly ordered company would show 8.5 to 9.0 places. Pooled, the figure would be 7.0, barely below noise, which is why we do not pool. Question A at 3.0 is well inside it.</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The honest headline is 3.0 places.</w:t>
            </w:r>
            <w:r>
              <w:rPr>
                <w:rFonts w:ascii="Calibri" w:hAnsi="Calibri"/>
                <w:b w:val="0"/>
                <w:i w:val="0"/>
                <w:color w:val="101010"/>
                <w:sz w:val="20"/>
              </w:rPr>
              <w:t xml:space="preserve"> Pooling two questions would report 7.0; a third of that pooled. What remains is a third of the ranking still being a methodological choice, smaller than we claimed, and still larger than any published score admits.</w:t>
            </w:r>
          </w:p>
        </w:tc>
      </w:tr>
    </w:tbl>
    <w:p>
      <w:pPr>
        <w:spacing w:after="60"/>
      </w:pPr>
    </w:p>
    <w:p>
      <w:pPr>
        <w:spacing w:before="220" w:after="40"/>
        <w:keepNext/>
      </w:pPr>
      <w:r>
        <w:rPr>
          <w:rFonts w:ascii="Calibri" w:hAnsi="Calibri"/>
          <w:b/>
          <w:color w:val="C04A12"/>
          <w:sz w:val="16"/>
        </w:rPr>
        <w:t>Exhibit 7</w:t>
      </w:r>
      <w:r>
        <w:rPr>
          <w:rFonts w:ascii="Calibri" w:hAnsi="Calibri"/>
          <w:b/>
          <w:color w:val="101010"/>
          <w:sz w:val="19"/>
        </w:rPr>
        <w:t xml:space="preserve">   Specification curve and absolute intensity, Question A, sector peers</w:t>
      </w:r>
    </w:p>
    <w:p>
      <w:pPr>
        <w:spacing w:before="60" w:after="40"/>
        <w:jc w:val="center"/>
      </w:pPr>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f2_speccurve.png"/>
                    <pic:cNvPicPr/>
                  </pic:nvPicPr>
                  <pic:blipFill>
                    <a:blip r:embed="rId10"/>
                    <a:stretch>
                      <a:fillRect/>
                    </a:stretch>
                  </pic:blipFill>
                  <pic:spPr>
                    <a:xfrm>
                      <a:off x="0" y="0"/>
                      <a:ext cx="5943600" cy="2476500"/>
                    </a:xfrm>
                    <a:prstGeom prst="rect"/>
                  </pic:spPr>
                </pic:pic>
              </a:graphicData>
            </a:graphic>
          </wp:inline>
        </w:drawing>
      </w:r>
    </w:p>
    <w:p>
      <w:pPr>
        <w:spacing w:before="0" w:after="160"/>
        <w:jc w:val="both"/>
      </w:pPr>
      <w:r>
        <w:rPr>
          <w:rFonts w:ascii="Calibri" w:hAnsi="Calibri"/>
          <w:b w:val="0"/>
          <w:i/>
          <w:color w:val="6B6A63"/>
          <w:sz w:val="15"/>
        </w:rPr>
        <w:t>Every company's 2,916 Question-A scores, sorted best to worst. Flat = robust; steep = the method decides. Absolute intensities, so a reader can see that a peer-relative 100 is not an absolute 100, are in Appendix E.</w:t>
      </w:r>
    </w:p>
    <w:p>
      <w:pPr>
        <w:spacing w:before="220" w:after="40"/>
        <w:keepNext/>
      </w:pPr>
      <w:r>
        <w:rPr>
          <w:rFonts w:ascii="Calibri" w:hAnsi="Calibri"/>
          <w:b/>
          <w:color w:val="C04A12"/>
          <w:sz w:val="21"/>
        </w:rPr>
        <w:t>5.2 What is settled</w:t>
      </w:r>
    </w:p>
    <w:p>
      <w:pPr>
        <w:spacing w:before="220" w:after="40"/>
        <w:keepNext/>
      </w:pPr>
      <w:r>
        <w:rPr>
          <w:rFonts w:ascii="Calibri" w:hAnsi="Calibri"/>
          <w:b/>
          <w:color w:val="C04A12"/>
          <w:sz w:val="16"/>
        </w:rPr>
        <w:t>Exhibit 8</w:t>
      </w:r>
      <w:r>
        <w:rPr>
          <w:rFonts w:ascii="Calibri" w:hAnsi="Calibri"/>
          <w:b/>
          <w:color w:val="101010"/>
          <w:sz w:val="19"/>
        </w:rPr>
        <w:t xml:space="preserve">   Settled pairwise comparisons, with the threshold stated</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4752"/>
            <w:shd w:val="clear" w:fill="F6F5F2"/>
            <w:tcBorders>
              <w:top w:val="single" w:sz="10" w:color="101010"/>
              <w:bottom w:val="single" w:sz="5" w:color="6B6A63"/>
            </w:tcBorders>
          </w:tcPr>
          <w:p>
            <w:pPr>
              <w:spacing w:before="32" w:after="32"/>
              <w:jc w:val="left"/>
            </w:pPr>
            <w:r/>
            <w:r>
              <w:rPr>
                <w:rFonts w:ascii="Calibri" w:hAnsi="Calibri"/>
                <w:b/>
                <w:i w:val="0"/>
                <w:color w:val="3D3C38"/>
                <w:sz w:val="15"/>
              </w:rPr>
              <w:t>Criterion</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Settled</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of 153</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Share</w:t>
            </w:r>
          </w:p>
        </w:tc>
      </w:tr>
      <w:tr>
        <w:tc>
          <w:tcPr>
            <w:tcW w:type="dxa" w:w="4752"/>
            <w:tcBorders>
              <w:bottom w:val="single" w:sz="3" w:color="DEDCD6"/>
            </w:tcBorders>
          </w:tcPr>
          <w:p>
            <w:pPr>
              <w:spacing w:before="32" w:after="32"/>
              <w:jc w:val="left"/>
            </w:pPr>
            <w:r/>
            <w:r>
              <w:rPr>
                <w:rFonts w:ascii="Calibri" w:hAnsi="Calibri"/>
                <w:b w:val="0"/>
                <w:i w:val="0"/>
                <w:color w:val="101010"/>
                <w:sz w:val="16"/>
              </w:rPr>
              <w:t>Both questions pooled, P &gt; 0.95</w:t>
            </w:r>
          </w:p>
        </w:tc>
        <w:tc>
          <w:tcPr>
            <w:tcW w:type="dxa" w:w="1296"/>
            <w:tcBorders>
              <w:bottom w:val="single" w:sz="3" w:color="DEDCD6"/>
            </w:tcBorders>
          </w:tcPr>
          <w:p>
            <w:pPr>
              <w:spacing w:before="32" w:after="32"/>
              <w:jc w:val="right"/>
            </w:pPr>
            <w:r/>
            <w:r>
              <w:rPr>
                <w:rFonts w:ascii="Calibri" w:hAnsi="Calibri"/>
                <w:b w:val="0"/>
                <w:i w:val="0"/>
                <w:color w:val="101010"/>
                <w:sz w:val="16"/>
              </w:rPr>
              <w:t>2</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1%</w:t>
            </w:r>
          </w:p>
        </w:tc>
      </w:tr>
      <w:tr>
        <w:tc>
          <w:tcPr>
            <w:tcW w:type="dxa" w:w="4752"/>
            <w:tcBorders>
              <w:bottom w:val="single" w:sz="3" w:color="DEDCD6"/>
            </w:tcBorders>
          </w:tcPr>
          <w:p>
            <w:pPr>
              <w:spacing w:before="32" w:after="32"/>
              <w:jc w:val="left"/>
            </w:pPr>
            <w:r/>
            <w:r>
              <w:rPr>
                <w:rFonts w:ascii="Calibri" w:hAnsi="Calibri"/>
                <w:b w:val="0"/>
                <w:i w:val="0"/>
                <w:color w:val="101010"/>
                <w:sz w:val="16"/>
              </w:rPr>
              <w:t>Both questions pooled, P &gt; 0.99</w:t>
            </w:r>
          </w:p>
        </w:tc>
        <w:tc>
          <w:tcPr>
            <w:tcW w:type="dxa" w:w="1296"/>
            <w:tcBorders>
              <w:bottom w:val="single" w:sz="3" w:color="DEDCD6"/>
            </w:tcBorders>
          </w:tcPr>
          <w:p>
            <w:pPr>
              <w:spacing w:before="32" w:after="32"/>
              <w:jc w:val="right"/>
            </w:pPr>
            <w:r/>
            <w:r>
              <w:rPr>
                <w:rFonts w:ascii="Calibri" w:hAnsi="Calibri"/>
                <w:b w:val="0"/>
                <w:i w:val="0"/>
                <w:color w:val="101010"/>
                <w:sz w:val="16"/>
              </w:rPr>
              <w:t>1</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&lt;1%</w:t>
            </w:r>
          </w:p>
        </w:tc>
      </w:tr>
      <w:tr>
        <w:tc>
          <w:tcPr>
            <w:tcW w:type="dxa" w:w="4752"/>
            <w:tcBorders>
              <w:bottom w:val="single" w:sz="3" w:color="DEDCD6"/>
            </w:tcBorders>
          </w:tcPr>
          <w:p>
            <w:pPr>
              <w:spacing w:before="32" w:after="32"/>
              <w:jc w:val="left"/>
            </w:pPr>
            <w:r/>
            <w:r>
              <w:rPr>
                <w:rFonts w:ascii="Calibri" w:hAnsi="Calibri"/>
                <w:b w:val="0"/>
                <w:i w:val="0"/>
                <w:color w:val="101010"/>
                <w:sz w:val="16"/>
              </w:rPr>
              <w:t>Question A only, P &gt; 0.95</w:t>
            </w:r>
          </w:p>
        </w:tc>
        <w:tc>
          <w:tcPr>
            <w:tcW w:type="dxa" w:w="1296"/>
            <w:tcBorders>
              <w:bottom w:val="single" w:sz="3" w:color="DEDCD6"/>
            </w:tcBorders>
          </w:tcPr>
          <w:p>
            <w:pPr>
              <w:spacing w:before="32" w:after="32"/>
              <w:jc w:val="right"/>
            </w:pPr>
            <w:r/>
            <w:r>
              <w:rPr>
                <w:rFonts w:ascii="Calibri" w:hAnsi="Calibri"/>
                <w:b w:val="0"/>
                <w:i w:val="0"/>
                <w:color w:val="101010"/>
                <w:sz w:val="16"/>
              </w:rPr>
              <w:t>33</w:t>
            </w:r>
          </w:p>
        </w:tc>
        <w:tc>
          <w:tcPr>
            <w:tcW w:type="dxa" w:w="1152"/>
            <w:tcBorders>
              <w:bottom w:val="single" w:sz="3" w:color="DEDCD6"/>
            </w:tcBorders>
          </w:tcPr>
          <w:p>
            <w:pPr>
              <w:spacing w:before="32" w:after="32"/>
              <w:jc w:val="right"/>
            </w:pPr>
            <w:r/>
            <w:r>
              <w:rPr>
                <w:rFonts w:ascii="Calibri" w:hAnsi="Calibri"/>
                <w:b w:val="0"/>
                <w:i w:val="0"/>
                <w:color w:val="101010"/>
                <w:sz w:val="16"/>
              </w:rPr>
              <w:t>153</w:t>
            </w:r>
          </w:p>
        </w:tc>
        <w:tc>
          <w:tcPr>
            <w:tcW w:type="dxa" w:w="1296"/>
            <w:tcBorders>
              <w:bottom w:val="single" w:sz="3" w:color="DEDCD6"/>
            </w:tcBorders>
          </w:tcPr>
          <w:p>
            <w:pPr>
              <w:spacing w:before="32" w:after="32"/>
              <w:jc w:val="right"/>
            </w:pPr>
            <w:r/>
            <w:r>
              <w:rPr>
                <w:rFonts w:ascii="Calibri" w:hAnsi="Calibri"/>
                <w:b w:val="0"/>
                <w:i w:val="0"/>
                <w:color w:val="101010"/>
                <w:sz w:val="16"/>
              </w:rPr>
              <w:t>22%</w:t>
            </w:r>
          </w:p>
        </w:tc>
      </w:tr>
      <w:tr>
        <w:tc>
          <w:tcPr>
            <w:tcW w:type="dxa" w:w="4752"/>
            <w:tcBorders>
              <w:bottom w:val="single" w:sz="10" w:color="101010"/>
            </w:tcBorders>
          </w:tcPr>
          <w:p>
            <w:pPr>
              <w:spacing w:before="32" w:after="32"/>
              <w:jc w:val="left"/>
            </w:pPr>
            <w:r/>
            <w:r>
              <w:rPr>
                <w:rFonts w:ascii="Calibri" w:hAnsi="Calibri"/>
                <w:b w:val="0"/>
                <w:i w:val="0"/>
                <w:color w:val="101010"/>
                <w:sz w:val="16"/>
              </w:rPr>
              <w:t>Question A × strict evidence bar, P &gt; 0.95</w:t>
            </w:r>
          </w:p>
        </w:tc>
        <w:tc>
          <w:tcPr>
            <w:tcW w:type="dxa" w:w="1296"/>
            <w:tcBorders>
              <w:bottom w:val="single" w:sz="10" w:color="101010"/>
            </w:tcBorders>
          </w:tcPr>
          <w:p>
            <w:pPr>
              <w:spacing w:before="32" w:after="32"/>
              <w:jc w:val="right"/>
            </w:pPr>
            <w:r/>
            <w:r>
              <w:rPr>
                <w:rFonts w:ascii="Calibri" w:hAnsi="Calibri"/>
                <w:b/>
                <w:i w:val="0"/>
                <w:color w:val="101010"/>
                <w:sz w:val="16"/>
              </w:rPr>
              <w:t>56</w:t>
            </w:r>
          </w:p>
        </w:tc>
        <w:tc>
          <w:tcPr>
            <w:tcW w:type="dxa" w:w="1152"/>
            <w:tcBorders>
              <w:bottom w:val="single" w:sz="10" w:color="101010"/>
            </w:tcBorders>
          </w:tcPr>
          <w:p>
            <w:pPr>
              <w:spacing w:before="32" w:after="32"/>
              <w:jc w:val="right"/>
            </w:pPr>
            <w:r/>
            <w:r>
              <w:rPr>
                <w:rFonts w:ascii="Calibri" w:hAnsi="Calibri"/>
                <w:b w:val="0"/>
                <w:i w:val="0"/>
                <w:color w:val="101010"/>
                <w:sz w:val="16"/>
              </w:rPr>
              <w:t>153</w:t>
            </w:r>
          </w:p>
        </w:tc>
        <w:tc>
          <w:tcPr>
            <w:tcW w:type="dxa" w:w="1296"/>
            <w:tcBorders>
              <w:bottom w:val="single" w:sz="10" w:color="101010"/>
            </w:tcBorders>
          </w:tcPr>
          <w:p>
            <w:pPr>
              <w:spacing w:before="32" w:after="32"/>
              <w:jc w:val="right"/>
            </w:pPr>
            <w:r/>
            <w:r>
              <w:rPr>
                <w:rFonts w:ascii="Calibri" w:hAnsi="Calibri"/>
                <w:b/>
                <w:i w:val="0"/>
                <w:color w:val="101010"/>
                <w:sz w:val="16"/>
              </w:rPr>
              <w:t>37%</w:t>
            </w:r>
          </w:p>
        </w:tc>
      </w:tr>
    </w:tbl>
    <w:p>
      <w:pPr>
        <w:spacing w:before="0" w:after="100"/>
        <w:jc w:val="both"/>
      </w:pPr>
      <w:r>
        <w:rPr>
          <w:rFonts w:ascii="Calibri" w:hAnsi="Calibri"/>
          <w:b/>
          <w:i w:val="0"/>
          <w:color w:val="101010"/>
          <w:sz w:val="19"/>
        </w:rPr>
        <w:t>Two caveats we now state.</w:t>
      </w:r>
      <w:r>
        <w:rPr>
          <w:rFonts w:ascii="Calibri" w:hAnsi="Calibri"/>
          <w:b w:val="0"/>
          <w:i w:val="0"/>
          <w:color w:val="101010"/>
          <w:sz w:val="19"/>
        </w:rPr>
        <w:t xml:space="preserve"> A 95% threshold is decided by the rarest 5% of cells, the same extremes §6.3 calls uninformative. And at the strict bar the environmental pillar has two fields and Social none, so </w:t>
      </w:r>
      <w:r>
        <w:rPr>
          <w:rFonts w:ascii="Calibri" w:hAnsi="Calibri"/>
          <w:b/>
          <w:i w:val="0"/>
          <w:color w:val="101010"/>
          <w:sz w:val="19"/>
        </w:rPr>
        <w:t>the 56-pair result is largely a governance-and-credit ranking</w:t>
      </w:r>
      <w:r>
        <w:rPr>
          <w:rFonts w:ascii="Calibri" w:hAnsi="Calibri"/>
          <w:b w:val="0"/>
          <w:i w:val="0"/>
          <w:color w:val="101010"/>
          <w:sz w:val="19"/>
        </w:rPr>
        <w:t>, not a sustainability one, and we label it as such rather than presenting 56 as a sustainability result.</w:t>
      </w:r>
    </w:p>
    <w:p>
      <w:pPr>
        <w:spacing w:before="220" w:after="40"/>
        <w:keepNext/>
      </w:pPr>
      <w:r>
        <w:rPr>
          <w:rFonts w:ascii="Calibri" w:hAnsi="Calibri"/>
          <w:b/>
          <w:color w:val="C04A12"/>
          <w:sz w:val="21"/>
        </w:rPr>
        <w:t>5.3 Where the disagreement lives</w:t>
      </w:r>
    </w:p>
    <w:p>
      <w:pPr>
        <w:spacing w:before="220" w:after="40"/>
        <w:keepNext/>
      </w:pPr>
      <w:r>
        <w:rPr>
          <w:rFonts w:ascii="Calibri" w:hAnsi="Calibri"/>
          <w:b/>
          <w:color w:val="C04A12"/>
          <w:sz w:val="16"/>
        </w:rPr>
        <w:t>Exhibit 9</w:t>
      </w:r>
      <w:r>
        <w:rPr>
          <w:rFonts w:ascii="Calibri" w:hAnsi="Calibri"/>
          <w:b/>
          <w:color w:val="101010"/>
          <w:sz w:val="19"/>
        </w:rPr>
        <w:t xml:space="preserve">   Variance decomposition, mean across the 18 companies</w:t>
      </w:r>
    </w:p>
    <w:p>
      <w:pPr>
        <w:spacing w:before="60" w:after="40"/>
        <w:jc w:val="center"/>
      </w:pPr>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f3_variance.png"/>
                    <pic:cNvPicPr/>
                  </pic:nvPicPr>
                  <pic:blipFill>
                    <a:blip r:embed="rId11"/>
                    <a:stretch>
                      <a:fillRect/>
                    </a:stretch>
                  </pic:blipFill>
                  <pic:spPr>
                    <a:xfrm>
                      <a:off x="0" y="0"/>
                      <a:ext cx="5943600" cy="2228850"/>
                    </a:xfrm>
                    <a:prstGeom prst="rect"/>
                  </pic:spPr>
                </pic:pic>
              </a:graphicData>
            </a:graphic>
          </wp:inline>
        </w:drawing>
      </w:r>
    </w:p>
    <w:p>
      <w:pPr>
        <w:spacing w:before="0" w:after="160"/>
        <w:jc w:val="both"/>
      </w:pPr>
      <w:r>
        <w:rPr>
          <w:rFonts w:ascii="Calibri" w:hAnsi="Calibri"/>
          <w:b w:val="0"/>
          <w:i/>
          <w:color w:val="6B6A63"/>
          <w:sz w:val="15"/>
        </w:rPr>
        <w:t>Main effects 47.8%; interaction 52.2%. Because interaction dominates, we deliberately do not publish a single 'decided by' axis per company: that would be a one-at-a-time reading of a grid that is not one-at-a-time.</w:t>
      </w:r>
    </w:p>
    <w:p>
      <w:pPr>
        <w:spacing w:before="0" w:after="100"/>
        <w:jc w:val="both"/>
      </w:pPr>
      <w:r>
        <w:rPr>
          <w:rFonts w:ascii="Calibri" w:hAnsi="Calibri"/>
          <w:b w:val="0"/>
          <w:i/>
          <w:color w:val="101010"/>
          <w:sz w:val="19"/>
        </w:rPr>
      </w:r>
      <w:r>
        <w:rPr>
          <w:rFonts w:ascii="Calibri" w:hAnsi="Calibri"/>
          <w:b w:val="0"/>
          <w:i/>
          <w:color w:val="101010"/>
          <w:sz w:val="19"/>
        </w:rPr>
        <w:t xml:space="preserve">Is </w:t>
      </w:r>
      <w:r>
        <w:rPr>
          <w:rFonts w:ascii="Calibri" w:hAnsi="Calibri"/>
          <w:b w:val="0"/>
          <w:i w:val="0"/>
          <w:color w:val="101010"/>
          <w:sz w:val="19"/>
        </w:rPr>
        <w:t>direction</w:t>
      </w:r>
      <w:r>
        <w:rPr>
          <w:rFonts w:ascii="Calibri" w:hAnsi="Calibri"/>
          <w:b w:val="0"/>
          <w:i/>
          <w:color w:val="101010"/>
          <w:sz w:val="19"/>
        </w:rPr>
        <w:t xml:space="preserve"> just the financial pillar switching off?</w:t>
      </w:r>
      <w:r>
        <w:rPr>
          <w:rFonts w:ascii="Calibri" w:hAnsi="Calibri"/>
          <w:b w:val="0"/>
          <w:i/>
          <w:color w:val="101010"/>
          <w:sz w:val="19"/>
        </w:rPr>
        <w:t xml:space="preserve"> A fair suspicion, since the F pillar switching off. Setting the F weight to zero and rerunning moves it to </w:t>
      </w:r>
      <w:r>
        <w:rPr>
          <w:rFonts w:ascii="Calibri" w:hAnsi="Calibri"/>
          <w:b w:val="0"/>
          <w:i/>
          <w:color w:val="101010"/>
          <w:sz w:val="19"/>
        </w:rPr>
        <w:t>15.0%</w:t>
      </w:r>
      <w:r>
        <w:rPr>
          <w:rFonts w:ascii="Calibri" w:hAnsi="Calibri"/>
          <w:b w:val="0"/>
          <w:i w:val="0"/>
          <w:color w:val="101010"/>
          <w:sz w:val="19"/>
        </w:rPr>
        <w:t>*. About 3pp of the 18.2 is the pillar toggle; the rest is real. The objection is right in kind, wrong in magnitude.</w:t>
      </w:r>
    </w:p>
    <w:p>
      <w:pPr>
        <w:spacing w:before="220" w:after="40"/>
        <w:keepNext/>
      </w:pPr>
      <w:r>
        <w:rPr>
          <w:rFonts w:ascii="Calibri" w:hAnsi="Calibri"/>
          <w:b/>
          <w:color w:val="C04A12"/>
          <w:sz w:val="21"/>
        </w:rPr>
        <w:t>5.4 The remedy</w:t>
      </w:r>
    </w:p>
    <w:p>
      <w:pPr>
        <w:spacing w:before="0" w:after="100"/>
        <w:jc w:val="both"/>
      </w:pPr>
      <w:r>
        <w:rPr>
          <w:rFonts w:ascii="Calibri" w:hAnsi="Calibri"/>
          <w:b w:val="0"/>
          <w:i w:val="0"/>
          <w:color w:val="101010"/>
          <w:sz w:val="19"/>
        </w:rPr>
        <w:t xml:space="preserve">For each unreported field we remove that single silence from the model and measure how far the interquartile width falls. </w:t>
      </w:r>
      <w:r>
        <w:rPr>
          <w:rFonts w:ascii="Calibri" w:hAnsi="Calibri"/>
          <w:b/>
          <w:i w:val="0"/>
          <w:color w:val="101010"/>
          <w:sz w:val="19"/>
        </w:rPr>
        <w:t>The assumed value matters, so we state it:</w:t>
      </w:r>
      <w:r>
        <w:rPr>
          <w:rFonts w:ascii="Calibri" w:hAnsi="Calibri"/>
          <w:b w:val="0"/>
          <w:i w:val="0"/>
          <w:color w:val="101010"/>
          <w:sz w:val="19"/>
        </w:rPr>
        <w:t xml:space="preserve"> we do not impute a value, we remove the field from the expected set, which isolates the </w:t>
      </w:r>
      <w:r>
        <w:rPr>
          <w:rFonts w:ascii="Calibri" w:hAnsi="Calibri"/>
          <w:b w:val="0"/>
          <w:i/>
          <w:color w:val="101010"/>
          <w:sz w:val="19"/>
        </w:rPr>
        <w:t>ambiguity</w:t>
      </w:r>
      <w:r>
        <w:rPr>
          <w:rFonts w:ascii="Calibri" w:hAnsi="Calibri"/>
          <w:b w:val="0"/>
          <w:i w:val="0"/>
          <w:color w:val="101010"/>
          <w:sz w:val="19"/>
        </w:rPr>
        <w:t xml:space="preserve"> the silence creates rather than guessing the number. Values land on exact rank places because the underlying statistic is quantised, three TRGP fields tie at 5 places for that reason.</w:t>
      </w:r>
    </w:p>
    <w:p>
      <w:pPr>
        <w:spacing w:before="0" w:after="100"/>
        <w:jc w:val="both"/>
      </w:pPr>
      <w:r>
        <w:rPr>
          <w:rFonts w:ascii="Calibri" w:hAnsi="Calibri"/>
          <w:b/>
          <w:i w:val="0"/>
          <w:color w:val="101010"/>
          <w:sz w:val="19"/>
        </w:rPr>
        <w:t>Counter-evidence we should have cited.</w:t>
      </w:r>
      <w:r>
        <w:rPr>
          <w:rFonts w:ascii="Calibri" w:hAnsi="Calibri"/>
          <w:b w:val="0"/>
          <w:i w:val="0"/>
          <w:color w:val="101010"/>
          <w:sz w:val="19"/>
        </w:rPr>
        <w:t xml:space="preserve"> Christensen, Serafeim &amp; Sikochi (2022) find more ESG disclosure is associated with </w:t>
      </w:r>
      <w:r>
        <w:rPr>
          <w:rFonts w:ascii="Calibri" w:hAnsi="Calibri"/>
          <w:b w:val="0"/>
          <w:i/>
          <w:color w:val="101010"/>
          <w:sz w:val="19"/>
        </w:rPr>
        <w:t>more</w:t>
      </w:r>
      <w:r>
        <w:rPr>
          <w:rFonts w:ascii="Calibri" w:hAnsi="Calibri"/>
          <w:b w:val="0"/>
          <w:i w:val="0"/>
          <w:color w:val="101010"/>
          <w:sz w:val="19"/>
        </w:rPr>
        <w:t xml:space="preserve"> rater disagreement. That cuts against a naïve reading of our remedy. The reconciliation: they measure disagreement </w:t>
      </w:r>
      <w:r>
        <w:rPr>
          <w:rFonts w:ascii="Calibri" w:hAnsi="Calibri"/>
          <w:b w:val="0"/>
          <w:i/>
          <w:color w:val="101010"/>
          <w:sz w:val="19"/>
        </w:rPr>
        <w:t>between raters with different frameworks</w:t>
      </w:r>
      <w:r>
        <w:rPr>
          <w:rFonts w:ascii="Calibri" w:hAnsi="Calibri"/>
          <w:b w:val="0"/>
          <w:i w:val="0"/>
          <w:color w:val="101010"/>
          <w:sz w:val="19"/>
        </w:rPr>
        <w:t xml:space="preserve">; we measure ambiguity </w:t>
      </w:r>
      <w:r>
        <w:rPr>
          <w:rFonts w:ascii="Calibri" w:hAnsi="Calibri"/>
          <w:b w:val="0"/>
          <w:i/>
          <w:color w:val="101010"/>
          <w:sz w:val="19"/>
        </w:rPr>
        <w:t>within one framework</w:t>
      </w:r>
      <w:r>
        <w:rPr>
          <w:rFonts w:ascii="Calibri" w:hAnsi="Calibri"/>
          <w:b w:val="0"/>
          <w:i w:val="0"/>
          <w:color w:val="101010"/>
          <w:sz w:val="19"/>
        </w:rPr>
        <w:t xml:space="preserve"> from a missing input. More disclosure can widen the first while narrowing the second.</w:t>
      </w:r>
    </w:p>
    <w:p>
      <w:pPr>
        <w:spacing w:before="220" w:after="40"/>
        <w:keepNext/>
      </w:pPr>
      <w:r>
        <w:rPr>
          <w:rFonts w:ascii="Calibri" w:hAnsi="Calibri"/>
          <w:b/>
          <w:color w:val="C04A12"/>
          <w:sz w:val="21"/>
        </w:rPr>
        <w:t>5.5 Weights</w:t>
      </w:r>
    </w:p>
    <w:p>
      <w:pPr>
        <w:spacing w:before="0" w:after="100"/>
        <w:jc w:val="both"/>
      </w:pPr>
      <w:r>
        <w:rPr>
          <w:rFonts w:ascii="Calibri" w:hAnsi="Calibri"/>
          <w:b w:val="0"/>
          <w:i w:val="0"/>
          <w:color w:val="101010"/>
          <w:sz w:val="19"/>
        </w:rPr>
        <w:t>A common argument is that re-weighting pillars cannot move ranks much, by a central-limit intuition. That is right that this is wrong: a weighted composite can rank a company above all its pillar ranks, and power and geometric means are not weighted averages at all. We built a slider and never used it.</w:t>
      </w:r>
    </w:p>
    <w:p>
      <w:pPr>
        <w:spacing w:before="220" w:after="40"/>
        <w:keepNext/>
      </w:pPr>
      <w:r>
        <w:rPr>
          <w:rFonts w:ascii="Calibri" w:hAnsi="Calibri"/>
          <w:b/>
          <w:color w:val="C04A12"/>
          <w:sz w:val="16"/>
        </w:rPr>
        <w:t>Exhibit 10</w:t>
      </w:r>
      <w:r>
        <w:rPr>
          <w:rFonts w:ascii="Calibri" w:hAnsi="Calibri"/>
          <w:b/>
          <w:color w:val="101010"/>
          <w:sz w:val="19"/>
        </w:rPr>
        <w:t xml:space="preserve">   Consensus rank across the five weight presets, Question A</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1152"/>
            <w:shd w:val="clear" w:fill="F6F5F2"/>
            <w:tcBorders>
              <w:top w:val="single" w:sz="10" w:color="101010"/>
              <w:bottom w:val="single" w:sz="5" w:color="6B6A63"/>
            </w:tcBorders>
          </w:tcPr>
          <w:p>
            <w:pPr>
              <w:spacing w:before="32" w:after="32"/>
              <w:jc w:val="left"/>
            </w:pPr>
            <w:r/>
            <w:r>
              <w:rPr>
                <w:rFonts w:ascii="Calibri" w:hAnsi="Calibri"/>
                <w:b/>
                <w:i w:val="0"/>
                <w:color w:val="3D3C38"/>
                <w:sz w:val="15"/>
              </w:rPr>
              <w:t>Ticker</w:t>
            </w:r>
          </w:p>
        </w:tc>
        <w:tc>
          <w:tcPr>
            <w:tcW w:type="dxa" w:w="10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Equal</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Env-led</w:t>
            </w:r>
          </w:p>
        </w:tc>
        <w:tc>
          <w:tcPr>
            <w:tcW w:type="dxa" w:w="1368"/>
            <w:shd w:val="clear" w:fill="F6F5F2"/>
            <w:tcBorders>
              <w:top w:val="single" w:sz="10" w:color="101010"/>
              <w:bottom w:val="single" w:sz="5" w:color="6B6A63"/>
            </w:tcBorders>
          </w:tcPr>
          <w:p>
            <w:pPr>
              <w:spacing w:before="32" w:after="32"/>
              <w:jc w:val="right"/>
            </w:pPr>
            <w:r/>
            <w:r>
              <w:rPr>
                <w:rFonts w:ascii="Calibri" w:hAnsi="Calibri"/>
                <w:b/>
                <w:i w:val="0"/>
                <w:color w:val="3D3C38"/>
                <w:sz w:val="15"/>
              </w:rPr>
              <w:t>Social-led</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Gov-led</w:t>
            </w:r>
          </w:p>
        </w:tc>
        <w:tc>
          <w:tcPr>
            <w:tcW w:type="dxa" w:w="1512"/>
            <w:shd w:val="clear" w:fill="F6F5F2"/>
            <w:tcBorders>
              <w:top w:val="single" w:sz="10" w:color="101010"/>
              <w:bottom w:val="single" w:sz="5" w:color="6B6A63"/>
            </w:tcBorders>
          </w:tcPr>
          <w:p>
            <w:pPr>
              <w:spacing w:before="32" w:after="32"/>
              <w:jc w:val="right"/>
            </w:pPr>
            <w:r/>
            <w:r>
              <w:rPr>
                <w:rFonts w:ascii="Calibri" w:hAnsi="Calibri"/>
                <w:b/>
                <w:i w:val="0"/>
                <w:color w:val="3D3C38"/>
                <w:sz w:val="15"/>
              </w:rPr>
              <w:t>Finance-led</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Spread (places)</w:t>
            </w:r>
          </w:p>
        </w:tc>
      </w:tr>
      <w:tr>
        <w:tc>
          <w:tcPr>
            <w:tcW w:type="dxa" w:w="1152"/>
            <w:tcBorders>
              <w:bottom w:val="single" w:sz="3" w:color="DEDCD6"/>
            </w:tcBorders>
          </w:tcPr>
          <w:p>
            <w:pPr>
              <w:spacing w:before="32" w:after="32"/>
              <w:jc w:val="left"/>
            </w:pPr>
            <w:r/>
            <w:r>
              <w:rPr>
                <w:rFonts w:ascii="Calibri" w:hAnsi="Calibri"/>
                <w:b w:val="0"/>
                <w:i w:val="0"/>
                <w:color w:val="101010"/>
                <w:sz w:val="16"/>
              </w:rPr>
              <w:t>WMB</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59</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224"/>
            <w:tcBorders>
              <w:bottom w:val="single" w:sz="3" w:color="DEDCD6"/>
            </w:tcBorders>
          </w:tcPr>
          <w:p>
            <w:pPr>
              <w:spacing w:before="32" w:after="32"/>
              <w:jc w:val="right"/>
            </w:pPr>
            <w:r/>
            <w:r>
              <w:rPr>
                <w:rFonts w:ascii="Calibri" w:hAnsi="Calibri"/>
                <w:b w:val="0"/>
                <w:i w:val="0"/>
                <w:color w:val="101010"/>
                <w:sz w:val="16"/>
              </w:rPr>
              <w:t>35</w:t>
            </w:r>
          </w:p>
        </w:tc>
        <w:tc>
          <w:tcPr>
            <w:tcW w:type="dxa" w:w="1512"/>
            <w:tcBorders>
              <w:bottom w:val="single" w:sz="3" w:color="DEDCD6"/>
            </w:tcBorders>
          </w:tcPr>
          <w:p>
            <w:pPr>
              <w:spacing w:before="32" w:after="32"/>
              <w:jc w:val="right"/>
            </w:pPr>
            <w:r/>
            <w:r>
              <w:rPr>
                <w:rFonts w:ascii="Calibri" w:hAnsi="Calibri"/>
                <w:b w:val="0"/>
                <w:i w:val="0"/>
                <w:color w:val="101010"/>
                <w:sz w:val="16"/>
              </w:rPr>
              <w:t>24</w:t>
            </w:r>
          </w:p>
        </w:tc>
        <w:tc>
          <w:tcPr>
            <w:tcW w:type="dxa" w:w="1584"/>
            <w:tcBorders>
              <w:bottom w:val="single" w:sz="3" w:color="DEDCD6"/>
            </w:tcBorders>
          </w:tcPr>
          <w:p>
            <w:pPr>
              <w:spacing w:before="32" w:after="32"/>
              <w:jc w:val="right"/>
            </w:pPr>
            <w:r/>
            <w:r>
              <w:rPr>
                <w:rFonts w:ascii="Calibri" w:hAnsi="Calibri"/>
                <w:b/>
                <w:i w:val="0"/>
                <w:color w:val="101010"/>
                <w:sz w:val="16"/>
              </w:rPr>
              <w:t>6.0</w:t>
            </w:r>
          </w:p>
        </w:tc>
      </w:tr>
      <w:tr>
        <w:tc>
          <w:tcPr>
            <w:tcW w:type="dxa" w:w="1152"/>
            <w:tcBorders>
              <w:bottom w:val="single" w:sz="3" w:color="DEDCD6"/>
            </w:tcBorders>
          </w:tcPr>
          <w:p>
            <w:pPr>
              <w:spacing w:before="32" w:after="32"/>
              <w:jc w:val="left"/>
            </w:pPr>
            <w:r/>
            <w:r>
              <w:rPr>
                <w:rFonts w:ascii="Calibri" w:hAnsi="Calibri"/>
                <w:b w:val="0"/>
                <w:i w:val="0"/>
                <w:color w:val="101010"/>
                <w:sz w:val="16"/>
              </w:rPr>
              <w:t>KMI</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24</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HAL</w:t>
            </w:r>
          </w:p>
        </w:tc>
        <w:tc>
          <w:tcPr>
            <w:tcW w:type="dxa" w:w="1080"/>
            <w:tcBorders>
              <w:bottom w:val="single" w:sz="3" w:color="DEDCD6"/>
            </w:tcBorders>
          </w:tcPr>
          <w:p>
            <w:pPr>
              <w:spacing w:before="32" w:after="32"/>
              <w:jc w:val="right"/>
            </w:pPr>
            <w:r/>
            <w:r>
              <w:rPr>
                <w:rFonts w:ascii="Calibri" w:hAnsi="Calibri"/>
                <w:b w:val="0"/>
                <w:i w:val="0"/>
                <w:color w:val="101010"/>
                <w:sz w:val="16"/>
              </w:rPr>
              <w:t>12</w:t>
            </w:r>
          </w:p>
        </w:tc>
        <w:tc>
          <w:tcPr>
            <w:tcW w:type="dxa" w:w="1224"/>
            <w:tcBorders>
              <w:bottom w:val="single" w:sz="3" w:color="DEDCD6"/>
            </w:tcBorders>
          </w:tcPr>
          <w:p>
            <w:pPr>
              <w:spacing w:before="32" w:after="32"/>
              <w:jc w:val="right"/>
            </w:pPr>
            <w:r/>
            <w:r>
              <w:rPr>
                <w:rFonts w:ascii="Calibri" w:hAnsi="Calibri"/>
                <w:b w:val="0"/>
                <w:i w:val="0"/>
                <w:color w:val="101010"/>
                <w:sz w:val="16"/>
              </w:rPr>
              <w:t>6</w:t>
            </w:r>
          </w:p>
        </w:tc>
        <w:tc>
          <w:tcPr>
            <w:tcW w:type="dxa" w:w="1368"/>
            <w:tcBorders>
              <w:bottom w:val="single" w:sz="3" w:color="DEDCD6"/>
            </w:tcBorders>
          </w:tcPr>
          <w:p>
            <w:pPr>
              <w:spacing w:before="32" w:after="32"/>
              <w:jc w:val="right"/>
            </w:pPr>
            <w:r/>
            <w:r>
              <w:rPr>
                <w:rFonts w:ascii="Calibri" w:hAnsi="Calibri"/>
                <w:b w:val="0"/>
                <w:i w:val="0"/>
                <w:color w:val="101010"/>
                <w:sz w:val="16"/>
              </w:rPr>
              <w:t>18</w:t>
            </w:r>
          </w:p>
        </w:tc>
        <w:tc>
          <w:tcPr>
            <w:tcW w:type="dxa" w:w="1224"/>
            <w:tcBorders>
              <w:bottom w:val="single" w:sz="3" w:color="DEDCD6"/>
            </w:tcBorders>
          </w:tcPr>
          <w:p>
            <w:pPr>
              <w:spacing w:before="32" w:after="32"/>
              <w:jc w:val="right"/>
            </w:pPr>
            <w:r/>
            <w:r>
              <w:rPr>
                <w:rFonts w:ascii="Calibri" w:hAnsi="Calibri"/>
                <w:b w:val="0"/>
                <w:i w:val="0"/>
                <w:color w:val="101010"/>
                <w:sz w:val="16"/>
              </w:rPr>
              <w:t>24</w:t>
            </w:r>
          </w:p>
        </w:tc>
        <w:tc>
          <w:tcPr>
            <w:tcW w:type="dxa" w:w="1512"/>
            <w:tcBorders>
              <w:bottom w:val="single" w:sz="3" w:color="DEDCD6"/>
            </w:tcBorders>
          </w:tcPr>
          <w:p>
            <w:pPr>
              <w:spacing w:before="32" w:after="32"/>
              <w:jc w:val="right"/>
            </w:pPr>
            <w:r/>
            <w:r>
              <w:rPr>
                <w:rFonts w:ascii="Calibri" w:hAnsi="Calibri"/>
                <w:b w:val="0"/>
                <w:i w:val="0"/>
                <w:color w:val="101010"/>
                <w:sz w:val="16"/>
              </w:rPr>
              <w:t>29</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TRGP</w:t>
            </w:r>
          </w:p>
        </w:tc>
        <w:tc>
          <w:tcPr>
            <w:tcW w:type="dxa" w:w="1080"/>
            <w:tcBorders>
              <w:bottom w:val="single" w:sz="3" w:color="DEDCD6"/>
            </w:tcBorders>
          </w:tcPr>
          <w:p>
            <w:pPr>
              <w:spacing w:before="32" w:after="32"/>
              <w:jc w:val="right"/>
            </w:pPr>
            <w:r/>
            <w:r>
              <w:rPr>
                <w:rFonts w:ascii="Calibri" w:hAnsi="Calibri"/>
                <w:b w:val="0"/>
                <w:i w:val="0"/>
                <w:color w:val="101010"/>
                <w:sz w:val="16"/>
              </w:rPr>
              <w:t>35</w:t>
            </w:r>
          </w:p>
        </w:tc>
        <w:tc>
          <w:tcPr>
            <w:tcW w:type="dxa" w:w="1224"/>
            <w:tcBorders>
              <w:bottom w:val="single" w:sz="3" w:color="DEDCD6"/>
            </w:tcBorders>
          </w:tcPr>
          <w:p>
            <w:pPr>
              <w:spacing w:before="32" w:after="32"/>
              <w:jc w:val="right"/>
            </w:pPr>
            <w:r/>
            <w:r>
              <w:rPr>
                <w:rFonts w:ascii="Calibri" w:hAnsi="Calibri"/>
                <w:b w:val="0"/>
                <w:i w:val="0"/>
                <w:color w:val="101010"/>
                <w:sz w:val="16"/>
              </w:rPr>
              <w:t>24</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35</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PSX</w:t>
            </w:r>
          </w:p>
        </w:tc>
        <w:tc>
          <w:tcPr>
            <w:tcW w:type="dxa" w:w="1080"/>
            <w:tcBorders>
              <w:bottom w:val="single" w:sz="3" w:color="DEDCD6"/>
            </w:tcBorders>
          </w:tcPr>
          <w:p>
            <w:pPr>
              <w:spacing w:before="32" w:after="32"/>
              <w:jc w:val="right"/>
            </w:pPr>
            <w:r/>
            <w:r>
              <w:rPr>
                <w:rFonts w:ascii="Calibri" w:hAnsi="Calibri"/>
                <w:b w:val="0"/>
                <w:i w:val="0"/>
                <w:color w:val="101010"/>
                <w:sz w:val="16"/>
              </w:rPr>
              <w:t>41</w:t>
            </w:r>
          </w:p>
        </w:tc>
        <w:tc>
          <w:tcPr>
            <w:tcW w:type="dxa" w:w="1224"/>
            <w:tcBorders>
              <w:bottom w:val="single" w:sz="3" w:color="DEDCD6"/>
            </w:tcBorders>
          </w:tcPr>
          <w:p>
            <w:pPr>
              <w:spacing w:before="32" w:after="32"/>
              <w:jc w:val="right"/>
            </w:pPr>
            <w:r/>
            <w:r>
              <w:rPr>
                <w:rFonts w:ascii="Calibri" w:hAnsi="Calibri"/>
                <w:b w:val="0"/>
                <w:i w:val="0"/>
                <w:color w:val="101010"/>
                <w:sz w:val="16"/>
              </w:rPr>
              <w:t>29</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224"/>
            <w:tcBorders>
              <w:bottom w:val="single" w:sz="3" w:color="DEDCD6"/>
            </w:tcBorders>
          </w:tcPr>
          <w:p>
            <w:pPr>
              <w:spacing w:before="32" w:after="32"/>
              <w:jc w:val="right"/>
            </w:pPr>
            <w:r/>
            <w:r>
              <w:rPr>
                <w:rFonts w:ascii="Calibri" w:hAnsi="Calibri"/>
                <w:b w:val="0"/>
                <w:i w:val="0"/>
                <w:color w:val="101010"/>
                <w:sz w:val="16"/>
              </w:rPr>
              <w:t>47</w:t>
            </w:r>
          </w:p>
        </w:tc>
        <w:tc>
          <w:tcPr>
            <w:tcW w:type="dxa" w:w="1512"/>
            <w:tcBorders>
              <w:bottom w:val="single" w:sz="3" w:color="DEDCD6"/>
            </w:tcBorders>
          </w:tcPr>
          <w:p>
            <w:pPr>
              <w:spacing w:before="32" w:after="32"/>
              <w:jc w:val="right"/>
            </w:pPr>
            <w:r/>
            <w:r>
              <w:rPr>
                <w:rFonts w:ascii="Calibri" w:hAnsi="Calibri"/>
                <w:b w:val="0"/>
                <w:i w:val="0"/>
                <w:color w:val="101010"/>
                <w:sz w:val="16"/>
              </w:rPr>
              <w:t>41</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3" w:color="DEDCD6"/>
            </w:tcBorders>
          </w:tcPr>
          <w:p>
            <w:pPr>
              <w:spacing w:before="32" w:after="32"/>
              <w:jc w:val="left"/>
            </w:pPr>
            <w:r/>
            <w:r>
              <w:rPr>
                <w:rFonts w:ascii="Calibri" w:hAnsi="Calibri"/>
                <w:b w:val="0"/>
                <w:i w:val="0"/>
                <w:color w:val="101010"/>
                <w:sz w:val="16"/>
              </w:rPr>
              <w:t>XOM</w:t>
            </w:r>
          </w:p>
        </w:tc>
        <w:tc>
          <w:tcPr>
            <w:tcW w:type="dxa" w:w="1080"/>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368"/>
            <w:tcBorders>
              <w:bottom w:val="single" w:sz="3" w:color="DEDCD6"/>
            </w:tcBorders>
          </w:tcPr>
          <w:p>
            <w:pPr>
              <w:spacing w:before="32" w:after="32"/>
              <w:jc w:val="right"/>
            </w:pPr>
            <w:r/>
            <w:r>
              <w:rPr>
                <w:rFonts w:ascii="Calibri" w:hAnsi="Calibri"/>
                <w:b w:val="0"/>
                <w:i w:val="0"/>
                <w:color w:val="101010"/>
                <w:sz w:val="16"/>
              </w:rPr>
              <w:t>47</w:t>
            </w:r>
          </w:p>
        </w:tc>
        <w:tc>
          <w:tcPr>
            <w:tcW w:type="dxa" w:w="1224"/>
            <w:tcBorders>
              <w:bottom w:val="single" w:sz="3" w:color="DEDCD6"/>
            </w:tcBorders>
          </w:tcPr>
          <w:p>
            <w:pPr>
              <w:spacing w:before="32" w:after="32"/>
              <w:jc w:val="right"/>
            </w:pPr>
            <w:r/>
            <w:r>
              <w:rPr>
                <w:rFonts w:ascii="Calibri" w:hAnsi="Calibri"/>
                <w:b w:val="0"/>
                <w:i w:val="0"/>
                <w:color w:val="101010"/>
                <w:sz w:val="16"/>
              </w:rPr>
              <w:t>41</w:t>
            </w:r>
          </w:p>
        </w:tc>
        <w:tc>
          <w:tcPr>
            <w:tcW w:type="dxa" w:w="1512"/>
            <w:tcBorders>
              <w:bottom w:val="single" w:sz="3" w:color="DEDCD6"/>
            </w:tcBorders>
          </w:tcPr>
          <w:p>
            <w:pPr>
              <w:spacing w:before="32" w:after="32"/>
              <w:jc w:val="right"/>
            </w:pPr>
            <w:r/>
            <w:r>
              <w:rPr>
                <w:rFonts w:ascii="Calibri" w:hAnsi="Calibri"/>
                <w:b w:val="0"/>
                <w:i w:val="0"/>
                <w:color w:val="101010"/>
                <w:sz w:val="16"/>
              </w:rPr>
              <w:t>65</w:t>
            </w:r>
          </w:p>
        </w:tc>
        <w:tc>
          <w:tcPr>
            <w:tcW w:type="dxa" w:w="1584"/>
            <w:tcBorders>
              <w:bottom w:val="single" w:sz="3" w:color="DEDCD6"/>
            </w:tcBorders>
          </w:tcPr>
          <w:p>
            <w:pPr>
              <w:spacing w:before="32" w:after="32"/>
              <w:jc w:val="right"/>
            </w:pPr>
            <w:r/>
            <w:r>
              <w:rPr>
                <w:rFonts w:ascii="Calibri" w:hAnsi="Calibri"/>
                <w:b w:val="0"/>
                <w:i w:val="0"/>
                <w:color w:val="101010"/>
                <w:sz w:val="16"/>
              </w:rPr>
              <w:t>4.0</w:t>
            </w:r>
          </w:p>
        </w:tc>
      </w:tr>
      <w:tr>
        <w:tc>
          <w:tcPr>
            <w:tcW w:type="dxa" w:w="1152"/>
            <w:tcBorders>
              <w:bottom w:val="single" w:sz="10" w:color="101010"/>
            </w:tcBorders>
          </w:tcPr>
          <w:p>
            <w:pPr>
              <w:spacing w:before="32" w:after="32"/>
              <w:jc w:val="left"/>
            </w:pPr>
            <w:r/>
            <w:r>
              <w:rPr>
                <w:rFonts w:ascii="Calibri" w:hAnsi="Calibri"/>
                <w:b/>
                <w:i w:val="0"/>
                <w:color w:val="101010"/>
                <w:sz w:val="16"/>
              </w:rPr>
              <w:t>Median, all 18</w:t>
            </w:r>
          </w:p>
        </w:tc>
        <w:tc>
          <w:tcPr>
            <w:tcW w:type="dxa" w:w="1080"/>
            <w:tcBorders>
              <w:bottom w:val="single" w:sz="10" w:color="101010"/>
            </w:tcBorders>
          </w:tcPr>
          <w:p>
            <w:pPr>
              <w:spacing w:before="32" w:after="32"/>
              <w:jc w:val="right"/>
            </w:pPr>
            <w:r/>
          </w:p>
        </w:tc>
        <w:tc>
          <w:tcPr>
            <w:tcW w:type="dxa" w:w="1224"/>
            <w:tcBorders>
              <w:bottom w:val="single" w:sz="10" w:color="101010"/>
            </w:tcBorders>
          </w:tcPr>
          <w:p>
            <w:pPr>
              <w:spacing w:before="32" w:after="32"/>
              <w:jc w:val="right"/>
            </w:pPr>
            <w:r/>
          </w:p>
        </w:tc>
        <w:tc>
          <w:tcPr>
            <w:tcW w:type="dxa" w:w="1368"/>
            <w:tcBorders>
              <w:bottom w:val="single" w:sz="10" w:color="101010"/>
            </w:tcBorders>
          </w:tcPr>
          <w:p>
            <w:pPr>
              <w:spacing w:before="32" w:after="32"/>
              <w:jc w:val="right"/>
            </w:pPr>
            <w:r/>
          </w:p>
        </w:tc>
        <w:tc>
          <w:tcPr>
            <w:tcW w:type="dxa" w:w="1224"/>
            <w:tcBorders>
              <w:bottom w:val="single" w:sz="10" w:color="101010"/>
            </w:tcBorders>
          </w:tcPr>
          <w:p>
            <w:pPr>
              <w:spacing w:before="32" w:after="32"/>
              <w:jc w:val="right"/>
            </w:pPr>
            <w:r/>
          </w:p>
        </w:tc>
        <w:tc>
          <w:tcPr>
            <w:tcW w:type="dxa" w:w="1512"/>
            <w:tcBorders>
              <w:bottom w:val="single" w:sz="10" w:color="101010"/>
            </w:tcBorders>
          </w:tcPr>
          <w:p>
            <w:pPr>
              <w:spacing w:before="32" w:after="32"/>
              <w:jc w:val="right"/>
            </w:pPr>
            <w:r/>
          </w:p>
        </w:tc>
        <w:tc>
          <w:tcPr>
            <w:tcW w:type="dxa" w:w="1584"/>
            <w:tcBorders>
              <w:bottom w:val="single" w:sz="10" w:color="101010"/>
            </w:tcBorders>
          </w:tcPr>
          <w:p>
            <w:pPr>
              <w:spacing w:before="32" w:after="32"/>
              <w:jc w:val="right"/>
            </w:pPr>
            <w:r/>
            <w:r>
              <w:rPr>
                <w:rFonts w:ascii="Calibri" w:hAnsi="Calibri"/>
                <w:b/>
                <w:i w:val="0"/>
                <w:color w:val="101010"/>
                <w:sz w:val="16"/>
              </w:rPr>
              <w:t>3.0</w:t>
            </w:r>
          </w:p>
        </w:tc>
      </w:tr>
    </w:tbl>
    <w:p>
      <w:pPr>
        <w:spacing w:before="0" w:after="160"/>
        <w:jc w:val="both"/>
      </w:pPr>
      <w:r>
        <w:rPr>
          <w:rFonts w:ascii="Calibri" w:hAnsi="Calibri"/>
          <w:b w:val="0"/>
          <w:i/>
          <w:color w:val="6B6A63"/>
          <w:sz w:val="15"/>
        </w:rPr>
        <w:t>Weights move the median company 3.0 places and the most weight-sensitive 6.0 comparable to the 3.0 places of method contestation within Question A. Weights are not negligible, and a framework that fixes them silently is hiding a live choice.</w:t>
      </w:r>
    </w:p>
    <w:p>
      <w:r>
        <w:br w:type="page"/>
      </w:r>
    </w:p>
    <w:p>
      <w:pPr>
        <w:spacing w:before="300" w:after="60"/>
        <w:pBdr>
          <w:bottom w:val="single" w:sz="10" w:color="101010" w:space="3"/>
        </w:pBdr>
        <w:keepNext/>
      </w:pPr>
      <w:r>
        <w:rPr>
          <w:rFonts w:ascii="Calibri" w:hAnsi="Calibri"/>
          <w:b/>
          <w:color w:val="101010"/>
          <w:sz w:val="28"/>
        </w:rPr>
        <w:t>6. Risks to this analysis, and what we did about them</w:t>
      </w:r>
    </w:p>
    <w:p>
      <w:pPr>
        <w:spacing w:before="0" w:after="120"/>
        <w:jc w:val="both"/>
      </w:pPr>
      <w:r>
        <w:rPr>
          <w:rFonts w:ascii="Calibri" w:hAnsi="Calibri"/>
          <w:b w:val="0"/>
          <w:i w:val="0"/>
          <w:color w:val="101010"/>
          <w:sz w:val="19"/>
        </w:rPr>
        <w:t>Listing a risk is not addressing it. Of the nine below, four are closed by rerunning the pipeline, three are quantified and bounded, and two remain open. We say which is which.</w:t>
      </w:r>
    </w:p>
    <w:p>
      <w:pPr>
        <w:spacing w:before="220" w:after="40"/>
        <w:keepNext/>
      </w:pPr>
      <w:r>
        <w:rPr>
          <w:rFonts w:ascii="Calibri" w:hAnsi="Calibri"/>
          <w:b/>
          <w:color w:val="C04A12"/>
          <w:sz w:val="16"/>
        </w:rPr>
        <w:t>Exhibit 13</w:t>
      </w:r>
      <w:r>
        <w:rPr>
          <w:rFonts w:ascii="Calibri" w:hAnsi="Calibri"/>
          <w:b/>
          <w:color w:val="101010"/>
          <w:sz w:val="19"/>
        </w:rPr>
        <w:t xml:space="preserve">   Risk register, with the test we ran</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403"/>
            <w:shd w:val="clear" w:fill="F6F5F2"/>
            <w:tcBorders>
              <w:top w:val="single" w:sz="10" w:color="101010"/>
              <w:bottom w:val="single" w:sz="5" w:color="6B6A63"/>
            </w:tcBorders>
          </w:tcPr>
          <w:p>
            <w:pPr>
              <w:spacing w:before="32" w:after="32"/>
              <w:jc w:val="center"/>
            </w:pPr>
            <w:r/>
            <w:r>
              <w:rPr>
                <w:rFonts w:ascii="Calibri" w:hAnsi="Calibri"/>
                <w:b/>
                <w:i w:val="0"/>
                <w:color w:val="3D3C38"/>
                <w:sz w:val="14"/>
              </w:rPr>
              <w:t>#</w:t>
            </w:r>
          </w:p>
        </w:tc>
        <w:tc>
          <w:tcPr>
            <w:tcW w:type="dxa" w:w="2880"/>
            <w:shd w:val="clear" w:fill="F6F5F2"/>
            <w:tcBorders>
              <w:top w:val="single" w:sz="10" w:color="101010"/>
              <w:bottom w:val="single" w:sz="5" w:color="6B6A63"/>
            </w:tcBorders>
          </w:tcPr>
          <w:p>
            <w:pPr>
              <w:spacing w:before="32" w:after="32"/>
              <w:jc w:val="left"/>
            </w:pPr>
            <w:r/>
            <w:r>
              <w:rPr>
                <w:rFonts w:ascii="Calibri" w:hAnsi="Calibri"/>
                <w:b/>
                <w:i w:val="0"/>
                <w:color w:val="3D3C38"/>
                <w:sz w:val="14"/>
              </w:rPr>
              <w:t>Risk</w:t>
            </w:r>
          </w:p>
        </w:tc>
        <w:tc>
          <w:tcPr>
            <w:tcW w:type="dxa" w:w="1037"/>
            <w:shd w:val="clear" w:fill="F6F5F2"/>
            <w:tcBorders>
              <w:top w:val="single" w:sz="10" w:color="101010"/>
              <w:bottom w:val="single" w:sz="5" w:color="6B6A63"/>
            </w:tcBorders>
          </w:tcPr>
          <w:p>
            <w:pPr>
              <w:spacing w:before="32" w:after="32"/>
              <w:jc w:val="center"/>
            </w:pPr>
            <w:r/>
            <w:r>
              <w:rPr>
                <w:rFonts w:ascii="Calibri" w:hAnsi="Calibri"/>
                <w:b/>
                <w:i w:val="0"/>
                <w:color w:val="3D3C38"/>
                <w:sz w:val="14"/>
              </w:rPr>
              <w:t>Status</w:t>
            </w:r>
          </w:p>
        </w:tc>
        <w:tc>
          <w:tcPr>
            <w:tcW w:type="dxa" w:w="5544"/>
            <w:shd w:val="clear" w:fill="F6F5F2"/>
            <w:tcBorders>
              <w:top w:val="single" w:sz="10" w:color="101010"/>
              <w:bottom w:val="single" w:sz="5" w:color="6B6A63"/>
            </w:tcBorders>
          </w:tcPr>
          <w:p>
            <w:pPr>
              <w:spacing w:before="32" w:after="32"/>
              <w:jc w:val="left"/>
            </w:pPr>
            <w:r/>
            <w:r>
              <w:rPr>
                <w:rFonts w:ascii="Calibri" w:hAnsi="Calibri"/>
                <w:b/>
                <w:i w:val="0"/>
                <w:color w:val="3D3C38"/>
                <w:sz w:val="14"/>
              </w:rPr>
              <w:t>Test and result</w:t>
            </w:r>
          </w:p>
        </w:tc>
      </w:tr>
      <w:tr>
        <w:tc>
          <w:tcPr>
            <w:tcW w:type="dxa" w:w="403"/>
            <w:tcBorders>
              <w:bottom w:val="single" w:sz="3" w:color="DEDCD6"/>
            </w:tcBorders>
          </w:tcPr>
          <w:p>
            <w:pPr>
              <w:spacing w:before="32" w:after="32"/>
              <w:jc w:val="center"/>
            </w:pPr>
            <w:r/>
            <w:r>
              <w:rPr>
                <w:rFonts w:ascii="Calibri" w:hAnsi="Calibri"/>
                <w:b w:val="0"/>
                <w:i w:val="0"/>
                <w:color w:val="101010"/>
                <w:sz w:val="15"/>
              </w:rPr>
              <w:t>1</w:t>
            </w:r>
          </w:p>
        </w:tc>
        <w:tc>
          <w:tcPr>
            <w:tcW w:type="dxa" w:w="2880"/>
            <w:tcBorders>
              <w:bottom w:val="single" w:sz="3" w:color="DEDCD6"/>
            </w:tcBorders>
          </w:tcPr>
          <w:p>
            <w:pPr>
              <w:spacing w:before="32" w:after="32"/>
              <w:jc w:val="left"/>
            </w:pPr>
            <w:r/>
            <w:r>
              <w:rPr>
                <w:rFonts w:ascii="Calibri" w:hAnsi="Calibri"/>
                <w:b w:val="0"/>
                <w:i w:val="0"/>
                <w:color w:val="101010"/>
                <w:sz w:val="15"/>
              </w:rPr>
              <w:t>The denominator is EBITDA, single-year and cyclical. Revenue was available and we did not use it.</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Reran the whole grid with CY2023 revenue from SEC XBRL frames, free and government, for 16 of 18. </w:t>
            </w:r>
            <w:r>
              <w:rPr>
                <w:rFonts w:ascii="Calibri" w:hAnsi="Calibri"/>
                <w:b/>
                <w:i w:val="0"/>
                <w:color w:val="101010"/>
                <w:sz w:val="15"/>
              </w:rPr>
              <w:t>Median rank shift: 0.0 places. Maximum: 1.0 (CTRA).</w:t>
            </w:r>
            <w:r>
              <w:rPr>
                <w:rFonts w:ascii="Calibri" w:hAnsi="Calibri"/>
                <w:b w:val="0"/>
                <w:i w:val="0"/>
                <w:color w:val="101010"/>
                <w:sz w:val="15"/>
              </w:rPr>
              <w:t xml:space="preserve"> Our weakest input choice does not change the answer.</w:t>
            </w:r>
          </w:p>
        </w:tc>
      </w:tr>
      <w:tr>
        <w:tc>
          <w:tcPr>
            <w:tcW w:type="dxa" w:w="403"/>
            <w:tcBorders>
              <w:bottom w:val="single" w:sz="3" w:color="DEDCD6"/>
            </w:tcBorders>
          </w:tcPr>
          <w:p>
            <w:pPr>
              <w:spacing w:before="32" w:after="32"/>
              <w:jc w:val="center"/>
            </w:pPr>
            <w:r/>
            <w:r>
              <w:rPr>
                <w:rFonts w:ascii="Calibri" w:hAnsi="Calibri"/>
                <w:b w:val="0"/>
                <w:i w:val="0"/>
                <w:color w:val="101010"/>
                <w:sz w:val="15"/>
              </w:rPr>
              <w:t>2</w:t>
            </w:r>
          </w:p>
        </w:tc>
        <w:tc>
          <w:tcPr>
            <w:tcW w:type="dxa" w:w="2880"/>
            <w:tcBorders>
              <w:bottom w:val="single" w:sz="3" w:color="DEDCD6"/>
            </w:tcBorders>
          </w:tcPr>
          <w:p>
            <w:pPr>
              <w:spacing w:before="32" w:after="32"/>
              <w:jc w:val="left"/>
            </w:pPr>
            <w:r/>
            <w:r>
              <w:rPr>
                <w:rFonts w:ascii="Calibri" w:hAnsi="Calibri"/>
                <w:b w:val="0"/>
                <w:i w:val="0"/>
                <w:color w:val="101010"/>
                <w:sz w:val="15"/>
              </w:rPr>
              <w:t>17,496 cells are not independent.</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648 grade paths collapse to </w:t>
            </w:r>
            <w:r>
              <w:rPr>
                <w:rFonts w:ascii="Calibri" w:hAnsi="Calibri"/>
                <w:b/>
                <w:i w:val="0"/>
                <w:color w:val="101010"/>
                <w:sz w:val="15"/>
              </w:rPr>
              <w:t>606 distinct</w:t>
            </w:r>
            <w:r>
              <w:rPr>
                <w:rFonts w:ascii="Calibri" w:hAnsi="Calibri"/>
                <w:b w:val="0"/>
                <w:i w:val="0"/>
                <w:color w:val="101010"/>
                <w:sz w:val="15"/>
              </w:rPr>
              <w:t xml:space="preserve">; Kish effective N is </w:t>
            </w:r>
            <w:r>
              <w:rPr>
                <w:rFonts w:ascii="Calibri" w:hAnsi="Calibri"/>
                <w:b/>
                <w:i w:val="0"/>
                <w:color w:val="101010"/>
                <w:sz w:val="15"/>
              </w:rPr>
              <w:t>574</w:t>
            </w:r>
            <w:r>
              <w:rPr>
                <w:rFonts w:ascii="Calibri" w:hAnsi="Calibri"/>
                <w:b w:val="0"/>
                <w:i w:val="0"/>
                <w:color w:val="101010"/>
                <w:sz w:val="15"/>
              </w:rPr>
              <w:t>, so the effective grid is 16,362 not 17,496, a 6.5% inflation. Results are quoted on distinct cells.</w:t>
            </w:r>
          </w:p>
        </w:tc>
      </w:tr>
      <w:tr>
        <w:tc>
          <w:tcPr>
            <w:tcW w:type="dxa" w:w="403"/>
            <w:tcBorders>
              <w:bottom w:val="single" w:sz="3" w:color="DEDCD6"/>
            </w:tcBorders>
          </w:tcPr>
          <w:p>
            <w:pPr>
              <w:spacing w:before="32" w:after="32"/>
              <w:jc w:val="center"/>
            </w:pPr>
            <w:r/>
            <w:r>
              <w:rPr>
                <w:rFonts w:ascii="Calibri" w:hAnsi="Calibri"/>
                <w:b w:val="0"/>
                <w:i w:val="0"/>
                <w:color w:val="101010"/>
                <w:sz w:val="15"/>
              </w:rPr>
              <w:t>3</w:t>
            </w:r>
          </w:p>
        </w:tc>
        <w:tc>
          <w:tcPr>
            <w:tcW w:type="dxa" w:w="2880"/>
            <w:tcBorders>
              <w:bottom w:val="single" w:sz="3" w:color="DEDCD6"/>
            </w:tcBorders>
          </w:tcPr>
          <w:p>
            <w:pPr>
              <w:spacing w:before="32" w:after="32"/>
              <w:jc w:val="left"/>
            </w:pPr>
            <w:r/>
            <w:r>
              <w:rPr>
                <w:rFonts w:ascii="Calibri" w:hAnsi="Calibri"/>
                <w:b w:val="0"/>
                <w:i w:val="0"/>
                <w:color w:val="101010"/>
                <w:sz w:val="15"/>
              </w:rPr>
              <w:t>Reserves are double-counted: embedded carbon scores as harm, reserve life as resilience.</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Dropped reserve life and reran. </w:t>
            </w:r>
            <w:r>
              <w:rPr>
                <w:rFonts w:ascii="Calibri" w:hAnsi="Calibri"/>
                <w:b/>
                <w:i w:val="0"/>
                <w:color w:val="101010"/>
                <w:sz w:val="15"/>
              </w:rPr>
              <w:t>Median shift 0.0 places</w:t>
            </w:r>
            <w:r>
              <w:rPr>
                <w:rFonts w:ascii="Calibri" w:hAnsi="Calibri"/>
                <w:b w:val="0"/>
                <w:i w:val="0"/>
                <w:color w:val="101010"/>
                <w:sz w:val="15"/>
              </w:rPr>
              <w:t>; only OXY moves, by 1.0. The double-count is real in principle and immaterial in this sample.</w:t>
            </w:r>
          </w:p>
        </w:tc>
      </w:tr>
      <w:tr>
        <w:tc>
          <w:tcPr>
            <w:tcW w:type="dxa" w:w="403"/>
            <w:tcBorders>
              <w:bottom w:val="single" w:sz="3" w:color="DEDCD6"/>
            </w:tcBorders>
          </w:tcPr>
          <w:p>
            <w:pPr>
              <w:spacing w:before="32" w:after="32"/>
              <w:jc w:val="center"/>
            </w:pPr>
            <w:r/>
            <w:r>
              <w:rPr>
                <w:rFonts w:ascii="Calibri" w:hAnsi="Calibri"/>
                <w:b w:val="0"/>
                <w:i w:val="0"/>
                <w:color w:val="101010"/>
                <w:sz w:val="15"/>
              </w:rPr>
              <w:t>4</w:t>
            </w:r>
          </w:p>
        </w:tc>
        <w:tc>
          <w:tcPr>
            <w:tcW w:type="dxa" w:w="2880"/>
            <w:tcBorders>
              <w:bottom w:val="single" w:sz="3" w:color="DEDCD6"/>
            </w:tcBorders>
          </w:tcPr>
          <w:p>
            <w:pPr>
              <w:spacing w:before="32" w:after="32"/>
              <w:jc w:val="left"/>
            </w:pPr>
            <w:r/>
            <w:r>
              <w:rPr>
                <w:rFonts w:ascii="Calibri" w:hAnsi="Calibri"/>
                <w:b w:val="0"/>
                <w:i w:val="0"/>
                <w:color w:val="101010"/>
                <w:sz w:val="15"/>
              </w:rPr>
              <w:t>The settled count depends on the 95% cut-off.</w:t>
            </w:r>
          </w:p>
        </w:tc>
        <w:tc>
          <w:tcPr>
            <w:tcW w:type="dxa" w:w="1037"/>
            <w:tcBorders>
              <w:bottom w:val="single" w:sz="3" w:color="DEDCD6"/>
            </w:tcBorders>
          </w:tcPr>
          <w:p>
            <w:pPr>
              <w:spacing w:before="32" w:after="32"/>
              <w:jc w:val="center"/>
            </w:pPr>
            <w:r/>
            <w:r>
              <w:rPr>
                <w:rFonts w:ascii="Calibri" w:hAnsi="Calibri"/>
                <w:b/>
                <w:i w:val="0"/>
                <w:color w:val="101010"/>
                <w:sz w:val="15"/>
              </w:rPr>
              <w:t>CLOSED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Settled pairs by threshold: 7 at P&gt;0.999, 12 at 0.99, </w:t>
            </w:r>
            <w:r>
              <w:rPr>
                <w:rFonts w:ascii="Calibri" w:hAnsi="Calibri"/>
                <w:b/>
                <w:i w:val="0"/>
                <w:color w:val="101010"/>
                <w:sz w:val="15"/>
              </w:rPr>
              <w:t>33 at 0.95</w:t>
            </w:r>
            <w:r>
              <w:rPr>
                <w:rFonts w:ascii="Calibri" w:hAnsi="Calibri"/>
                <w:b w:val="0"/>
                <w:i w:val="0"/>
                <w:color w:val="101010"/>
                <w:sz w:val="15"/>
              </w:rPr>
              <w:t xml:space="preserve">, 51 at 0.90, 79 at 0.80. Monotone and well-behaved; no cliff at our chosen cut-off. Note also that rank percentile assigns 0 and 100 in </w:t>
            </w:r>
            <w:r>
              <w:rPr>
                <w:rFonts w:ascii="Calibri" w:hAnsi="Calibri"/>
                <w:b/>
                <w:i w:val="0"/>
                <w:color w:val="101010"/>
                <w:sz w:val="15"/>
              </w:rPr>
              <w:t>every</w:t>
            </w:r>
            <w:r>
              <w:rPr>
                <w:rFonts w:ascii="Calibri" w:hAnsi="Calibri"/>
                <w:b w:val="0"/>
                <w:i w:val="0"/>
                <w:color w:val="101010"/>
                <w:sz w:val="15"/>
              </w:rPr>
              <w:t xml:space="preserve"> specification by construction, so extreme ranks are structural rather than a rare tail, and any argument dismissing them as outliers is wrong.</w:t>
            </w:r>
          </w:p>
        </w:tc>
      </w:tr>
      <w:tr>
        <w:tc>
          <w:tcPr>
            <w:tcW w:type="dxa" w:w="403"/>
            <w:tcBorders>
              <w:bottom w:val="single" w:sz="3" w:color="DEDCD6"/>
            </w:tcBorders>
          </w:tcPr>
          <w:p>
            <w:pPr>
              <w:spacing w:before="32" w:after="32"/>
              <w:jc w:val="center"/>
            </w:pPr>
            <w:r/>
            <w:r>
              <w:rPr>
                <w:rFonts w:ascii="Calibri" w:hAnsi="Calibri"/>
                <w:b w:val="0"/>
                <w:i w:val="0"/>
                <w:color w:val="101010"/>
                <w:sz w:val="15"/>
              </w:rPr>
              <w:t>5</w:t>
            </w:r>
          </w:p>
        </w:tc>
        <w:tc>
          <w:tcPr>
            <w:tcW w:type="dxa" w:w="2880"/>
            <w:tcBorders>
              <w:bottom w:val="single" w:sz="3" w:color="DEDCD6"/>
            </w:tcBorders>
          </w:tcPr>
          <w:p>
            <w:pPr>
              <w:spacing w:before="32" w:after="32"/>
              <w:jc w:val="left"/>
            </w:pPr>
            <w:r/>
            <w:r>
              <w:rPr>
                <w:rFonts w:ascii="Calibri" w:hAnsi="Calibri"/>
                <w:b w:val="0"/>
                <w:i w:val="0"/>
                <w:color w:val="101010"/>
                <w:sz w:val="15"/>
              </w:rPr>
              <w:t>Contestation is partly thin data and small groups.</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 xml:space="preserve">Rank correlation between coverage and contestation is </w:t>
            </w:r>
            <w:r>
              <w:rPr>
                <w:rFonts w:ascii="Calibri" w:hAnsi="Calibri"/>
                <w:b/>
                <w:i w:val="0"/>
                <w:color w:val="101010"/>
                <w:sz w:val="15"/>
              </w:rPr>
              <w:t>−0.38</w:t>
            </w:r>
            <w:r>
              <w:rPr>
                <w:rFonts w:ascii="Calibri" w:hAnsi="Calibri"/>
                <w:b w:val="0"/>
                <w:i w:val="0"/>
                <w:color w:val="101010"/>
                <w:sz w:val="15"/>
              </w:rPr>
              <w:t>. Mean IQR by group size: 2 members 6.0, 3 members 7.7, 7 members 7.0. Not monotone, so group size explains part of the pattern but not its direction.</w:t>
            </w:r>
          </w:p>
        </w:tc>
      </w:tr>
      <w:tr>
        <w:tc>
          <w:tcPr>
            <w:tcW w:type="dxa" w:w="403"/>
            <w:tcBorders>
              <w:bottom w:val="single" w:sz="3" w:color="DEDCD6"/>
            </w:tcBorders>
          </w:tcPr>
          <w:p>
            <w:pPr>
              <w:spacing w:before="32" w:after="32"/>
              <w:jc w:val="center"/>
            </w:pPr>
            <w:r/>
            <w:r>
              <w:rPr>
                <w:rFonts w:ascii="Calibri" w:hAnsi="Calibri"/>
                <w:b w:val="0"/>
                <w:i w:val="0"/>
                <w:color w:val="101010"/>
                <w:sz w:val="15"/>
              </w:rPr>
              <w:t>6</w:t>
            </w:r>
          </w:p>
        </w:tc>
        <w:tc>
          <w:tcPr>
            <w:tcW w:type="dxa" w:w="2880"/>
            <w:tcBorders>
              <w:bottom w:val="single" w:sz="3" w:color="DEDCD6"/>
            </w:tcBorders>
          </w:tcPr>
          <w:p>
            <w:pPr>
              <w:spacing w:before="32" w:after="32"/>
              <w:jc w:val="left"/>
            </w:pPr>
            <w:r/>
            <w:r>
              <w:rPr>
                <w:rFonts w:ascii="Calibri" w:hAnsi="Calibri"/>
                <w:b w:val="0"/>
                <w:i w:val="0"/>
                <w:color w:val="101010"/>
                <w:sz w:val="15"/>
              </w:rPr>
              <w:t>N = 18 quantises every statistic.</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A rank percentile takes 18 values 5.88 points apart. All headline figures are in rank places for that reason. The fix is a larger universe, not a different statistic.</w:t>
            </w:r>
          </w:p>
        </w:tc>
      </w:tr>
      <w:tr>
        <w:tc>
          <w:tcPr>
            <w:tcW w:type="dxa" w:w="403"/>
            <w:tcBorders>
              <w:bottom w:val="single" w:sz="3" w:color="DEDCD6"/>
            </w:tcBorders>
          </w:tcPr>
          <w:p>
            <w:pPr>
              <w:spacing w:before="32" w:after="32"/>
              <w:jc w:val="center"/>
            </w:pPr>
            <w:r/>
            <w:r>
              <w:rPr>
                <w:rFonts w:ascii="Calibri" w:hAnsi="Calibri"/>
                <w:b w:val="0"/>
                <w:i w:val="0"/>
                <w:color w:val="101010"/>
                <w:sz w:val="15"/>
              </w:rPr>
              <w:t>7</w:t>
            </w:r>
          </w:p>
        </w:tc>
        <w:tc>
          <w:tcPr>
            <w:tcW w:type="dxa" w:w="2880"/>
            <w:tcBorders>
              <w:bottom w:val="single" w:sz="3" w:color="DEDCD6"/>
            </w:tcBorders>
          </w:tcPr>
          <w:p>
            <w:pPr>
              <w:spacing w:before="32" w:after="32"/>
              <w:jc w:val="left"/>
            </w:pPr>
            <w:r/>
            <w:r>
              <w:rPr>
                <w:rFonts w:ascii="Calibri" w:hAnsi="Calibri"/>
                <w:b w:val="0"/>
                <w:i w:val="0"/>
                <w:color w:val="101010"/>
                <w:sz w:val="15"/>
              </w:rPr>
              <w:t>Governance dominates by field count, 78 of 138.</w:t>
            </w:r>
          </w:p>
        </w:tc>
        <w:tc>
          <w:tcPr>
            <w:tcW w:type="dxa" w:w="1037"/>
            <w:tcBorders>
              <w:bottom w:val="single" w:sz="3" w:color="DEDCD6"/>
            </w:tcBorders>
          </w:tcPr>
          <w:p>
            <w:pPr>
              <w:spacing w:before="32" w:after="32"/>
              <w:jc w:val="center"/>
            </w:pPr>
            <w:r/>
            <w:r>
              <w:rPr>
                <w:rFonts w:ascii="Calibri" w:hAnsi="Calibri"/>
                <w:b/>
                <w:i w:val="0"/>
                <w:color w:val="101010"/>
                <w:sz w:val="15"/>
              </w:rPr>
              <w:t>BOUNDED</w:t>
            </w:r>
          </w:p>
        </w:tc>
        <w:tc>
          <w:tcPr>
            <w:tcW w:type="dxa" w:w="5544"/>
            <w:tcBorders>
              <w:bottom w:val="single" w:sz="3" w:color="DEDCD6"/>
            </w:tcBorders>
          </w:tcPr>
          <w:p>
            <w:pPr>
              <w:spacing w:before="32" w:after="32"/>
              <w:jc w:val="left"/>
            </w:pPr>
            <w:r/>
            <w:r>
              <w:rPr>
                <w:rFonts w:ascii="Calibri" w:hAnsi="Calibri"/>
                <w:b w:val="0"/>
                <w:i w:val="0"/>
                <w:color w:val="101010"/>
                <w:sz w:val="15"/>
              </w:rPr>
              <w:t>The G pillar is stable across specifications because it is densely reported, so the contestation we measure is mostly environmental and social. A property of the disclosure regime, not of the companies.</w:t>
            </w:r>
          </w:p>
        </w:tc>
      </w:tr>
      <w:tr>
        <w:tc>
          <w:tcPr>
            <w:tcW w:type="dxa" w:w="403"/>
            <w:tcBorders>
              <w:bottom w:val="single" w:sz="3" w:color="DEDCD6"/>
            </w:tcBorders>
          </w:tcPr>
          <w:p>
            <w:pPr>
              <w:spacing w:before="32" w:after="32"/>
              <w:jc w:val="center"/>
            </w:pPr>
            <w:r/>
            <w:r>
              <w:rPr>
                <w:rFonts w:ascii="Calibri" w:hAnsi="Calibri"/>
                <w:b w:val="0"/>
                <w:i w:val="0"/>
                <w:color w:val="101010"/>
                <w:sz w:val="15"/>
              </w:rPr>
              <w:t>8</w:t>
            </w:r>
          </w:p>
        </w:tc>
        <w:tc>
          <w:tcPr>
            <w:tcW w:type="dxa" w:w="2880"/>
            <w:tcBorders>
              <w:bottom w:val="single" w:sz="3" w:color="DEDCD6"/>
            </w:tcBorders>
          </w:tcPr>
          <w:p>
            <w:pPr>
              <w:spacing w:before="32" w:after="32"/>
              <w:jc w:val="left"/>
            </w:pPr>
            <w:r/>
            <w:r>
              <w:rPr>
                <w:rFonts w:ascii="Calibri" w:hAnsi="Calibri"/>
                <w:b w:val="0"/>
                <w:i w:val="0"/>
                <w:color w:val="101010"/>
                <w:sz w:val="15"/>
              </w:rPr>
              <w:t>Nothing is benchmarked against a real published rating.</w:t>
            </w:r>
          </w:p>
        </w:tc>
        <w:tc>
          <w:tcPr>
            <w:tcW w:type="dxa" w:w="1037"/>
            <w:tcBorders>
              <w:bottom w:val="single" w:sz="3" w:color="DEDCD6"/>
            </w:tcBorders>
          </w:tcPr>
          <w:p>
            <w:pPr>
              <w:spacing w:before="32" w:after="32"/>
              <w:jc w:val="center"/>
            </w:pPr>
            <w:r/>
            <w:r>
              <w:rPr>
                <w:rFonts w:ascii="Calibri" w:hAnsi="Calibri"/>
                <w:b/>
                <w:i w:val="0"/>
                <w:color w:val="101010"/>
                <w:sz w:val="15"/>
              </w:rPr>
              <w:t>OPEN</w:t>
            </w:r>
          </w:p>
        </w:tc>
        <w:tc>
          <w:tcPr>
            <w:tcW w:type="dxa" w:w="5544"/>
            <w:tcBorders>
              <w:bottom w:val="single" w:sz="3" w:color="DEDCD6"/>
            </w:tcBorders>
          </w:tcPr>
          <w:p>
            <w:pPr>
              <w:spacing w:before="32" w:after="32"/>
              <w:jc w:val="left"/>
            </w:pPr>
            <w:r/>
            <w:r>
              <w:rPr>
                <w:rFonts w:ascii="Calibri" w:hAnsi="Calibri"/>
                <w:b w:val="0"/>
                <w:i w:val="0"/>
                <w:color w:val="101010"/>
                <w:sz w:val="15"/>
              </w:rPr>
              <w:t>We had a Terminal and did not place Bloomberg's own ESG score inside our distribution. Highest-value missing test and first on the roadmap.</w:t>
            </w:r>
          </w:p>
        </w:tc>
      </w:tr>
      <w:tr>
        <w:tc>
          <w:tcPr>
            <w:tcW w:type="dxa" w:w="403"/>
            <w:tcBorders>
              <w:bottom w:val="single" w:sz="10" w:color="101010"/>
            </w:tcBorders>
          </w:tcPr>
          <w:p>
            <w:pPr>
              <w:spacing w:before="32" w:after="32"/>
              <w:jc w:val="center"/>
            </w:pPr>
            <w:r/>
            <w:r>
              <w:rPr>
                <w:rFonts w:ascii="Calibri" w:hAnsi="Calibri"/>
                <w:b w:val="0"/>
                <w:i w:val="0"/>
                <w:color w:val="101010"/>
                <w:sz w:val="15"/>
              </w:rPr>
              <w:t>9</w:t>
            </w:r>
          </w:p>
        </w:tc>
        <w:tc>
          <w:tcPr>
            <w:tcW w:type="dxa" w:w="2880"/>
            <w:tcBorders>
              <w:bottom w:val="single" w:sz="10" w:color="101010"/>
            </w:tcBorders>
          </w:tcPr>
          <w:p>
            <w:pPr>
              <w:spacing w:before="32" w:after="32"/>
              <w:jc w:val="left"/>
            </w:pPr>
            <w:r/>
            <w:r>
              <w:rPr>
                <w:rFonts w:ascii="Calibri" w:hAnsi="Calibri"/>
                <w:b w:val="0"/>
                <w:i w:val="0"/>
                <w:color w:val="101010"/>
                <w:sz w:val="15"/>
              </w:rPr>
              <w:t>Scope 3, controversies and transition capex are absent.</w:t>
            </w:r>
          </w:p>
        </w:tc>
        <w:tc>
          <w:tcPr>
            <w:tcW w:type="dxa" w:w="1037"/>
            <w:tcBorders>
              <w:bottom w:val="single" w:sz="10" w:color="101010"/>
            </w:tcBorders>
          </w:tcPr>
          <w:p>
            <w:pPr>
              <w:spacing w:before="32" w:after="32"/>
              <w:jc w:val="center"/>
            </w:pPr>
            <w:r/>
            <w:r>
              <w:rPr>
                <w:rFonts w:ascii="Calibri" w:hAnsi="Calibri"/>
                <w:b/>
                <w:i w:val="0"/>
                <w:color w:val="101010"/>
                <w:sz w:val="15"/>
              </w:rPr>
              <w:t>OPEN</w:t>
            </w:r>
          </w:p>
        </w:tc>
        <w:tc>
          <w:tcPr>
            <w:tcW w:type="dxa" w:w="5544"/>
            <w:tcBorders>
              <w:bottom w:val="single" w:sz="10" w:color="101010"/>
            </w:tcBorders>
          </w:tcPr>
          <w:p>
            <w:pPr>
              <w:spacing w:before="32" w:after="32"/>
              <w:jc w:val="left"/>
            </w:pPr>
            <w:r/>
            <w:r>
              <w:rPr>
                <w:rFonts w:ascii="Calibri" w:hAnsi="Calibri"/>
                <w:b w:val="0"/>
                <w:i w:val="0"/>
                <w:color w:val="101010"/>
                <w:sz w:val="15"/>
              </w:rPr>
              <w:t>Scope 3 is not in the export; controversies are a declared scope boundary; transition capex was not delivered. For an oil and gas universe these are the three most material omissions.</w:t>
            </w:r>
          </w:p>
        </w:tc>
      </w:tr>
    </w:tbl>
    <w:p>
      <w:pPr>
        <w:spacing w:before="0" w:after="160"/>
        <w:jc w:val="both"/>
      </w:pPr>
      <w:r>
        <w:rPr>
          <w:rFonts w:ascii="Calibri" w:hAnsi="Calibri"/>
          <w:b w:val="0"/>
          <w:i/>
          <w:color w:val="6B6A63"/>
          <w:sz w:val="15"/>
        </w:rPr>
        <w:t>Every CLOSED row was tested by rerunning the pipeline, not by argument. Code paths are in ETHack/model/.</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The denominator result is the one to notice.</w:t>
            </w:r>
            <w:r>
              <w:rPr>
                <w:rFonts w:ascii="Calibri" w:hAnsi="Calibri"/>
                <w:b w:val="0"/>
                <w:i w:val="0"/>
                <w:color w:val="101010"/>
                <w:sz w:val="20"/>
              </w:rPr>
              <w:t xml:space="preserve"> Our weakest defensible choice, reran against the obvious alternative, moves the median company </w:t>
            </w:r>
            <w:r>
              <w:rPr>
                <w:rFonts w:ascii="Calibri" w:hAnsi="Calibri"/>
                <w:b/>
                <w:i w:val="0"/>
                <w:color w:val="101010"/>
                <w:sz w:val="20"/>
              </w:rPr>
              <w:t>zero places</w:t>
            </w:r>
            <w:r>
              <w:rPr>
                <w:rFonts w:ascii="Calibri" w:hAnsi="Calibri"/>
                <w:b w:val="0"/>
                <w:i w:val="0"/>
                <w:color w:val="101010"/>
                <w:sz w:val="20"/>
              </w:rPr>
              <w:t>. A framework whose conclusions survive its own worst input choice is worth more than one that was never tested.</w:t>
            </w:r>
          </w:p>
        </w:tc>
      </w:tr>
    </w:tbl>
    <w:p>
      <w:pPr>
        <w:spacing w:after="60"/>
      </w:pPr>
    </w:p>
    <w:p>
      <w:pPr>
        <w:spacing w:before="300" w:after="60"/>
        <w:pBdr>
          <w:bottom w:val="single" w:sz="10" w:color="101010" w:space="3"/>
        </w:pBdr>
        <w:keepNext/>
      </w:pPr>
      <w:r>
        <w:rPr>
          <w:rFonts w:ascii="Calibri" w:hAnsi="Calibri"/>
          <w:b/>
          <w:color w:val="101010"/>
          <w:sz w:val="28"/>
        </w:rPr>
        <w:t>7. What this is, and what it is not</w:t>
      </w:r>
    </w:p>
    <w:p>
      <w:pPr>
        <w:spacing w:before="220" w:after="40"/>
        <w:keepNext/>
      </w:pPr>
      <w:r>
        <w:rPr>
          <w:rFonts w:ascii="Calibri" w:hAnsi="Calibri"/>
          <w:b/>
          <w:color w:val="C04A12"/>
          <w:sz w:val="21"/>
        </w:rPr>
        <w:t>7.1 A framework, and a superset of a rating</w:t>
      </w:r>
    </w:p>
    <w:p>
      <w:pPr>
        <w:spacing w:before="0" w:after="100"/>
        <w:jc w:val="both"/>
      </w:pPr>
      <w:r>
        <w:rPr>
          <w:rFonts w:ascii="Calibri" w:hAnsi="Calibri"/>
          <w:b w:val="0"/>
          <w:i w:val="0"/>
          <w:color w:val="101010"/>
          <w:sz w:val="19"/>
        </w:rPr>
        <w:t xml:space="preserve">Per company the output is a </w:t>
      </w:r>
      <w:r>
        <w:rPr>
          <w:rFonts w:ascii="Calibri" w:hAnsi="Calibri"/>
          <w:b/>
          <w:i w:val="0"/>
          <w:color w:val="101010"/>
          <w:sz w:val="19"/>
        </w:rPr>
        <w:t>consensus score</w:t>
      </w:r>
      <w:r>
        <w:rPr>
          <w:rFonts w:ascii="Calibri" w:hAnsi="Calibri"/>
          <w:b w:val="0"/>
          <w:i w:val="0"/>
          <w:color w:val="101010"/>
          <w:sz w:val="19"/>
        </w:rPr>
        <w:t xml:space="preserve"> the number the brief asked for, and a </w:t>
      </w:r>
      <w:r>
        <w:rPr>
          <w:rFonts w:ascii="Calibri" w:hAnsi="Calibri"/>
          <w:b/>
          <w:i w:val="0"/>
          <w:color w:val="101010"/>
          <w:sz w:val="19"/>
        </w:rPr>
        <w:t>contestation figure</w:t>
      </w:r>
      <w:r>
        <w:rPr>
          <w:rFonts w:ascii="Calibri" w:hAnsi="Calibri"/>
          <w:b w:val="0"/>
          <w:i w:val="0"/>
          <w:color w:val="101010"/>
          <w:sz w:val="19"/>
        </w:rPr>
        <w:t>, which nobody else provides. We do publish a score, and we rank the companies. What we add is how much of that rank is a choice, which choice decides it, and what would settle it.</w:t>
      </w:r>
    </w:p>
    <w:p>
      <w:pPr>
        <w:spacing w:before="220" w:after="40"/>
        <w:keepNext/>
      </w:pPr>
      <w:r>
        <w:rPr>
          <w:rFonts w:ascii="Calibri" w:hAnsi="Calibri"/>
          <w:b/>
          <w:color w:val="C04A12"/>
          <w:sz w:val="21"/>
        </w:rPr>
        <w:t>7.2 What is genuinely new, stated more modestly</w:t>
      </w:r>
    </w:p>
    <w:p>
      <w:pPr>
        <w:spacing w:before="0" w:after="100"/>
        <w:jc w:val="both"/>
      </w:pPr>
      <w:r>
        <w:rPr>
          <w:rFonts w:ascii="Calibri" w:hAnsi="Calibri"/>
          <w:b w:val="0"/>
          <w:i w:val="0"/>
          <w:color w:val="101010"/>
          <w:sz w:val="19"/>
        </w:rPr>
        <w:t xml:space="preserve">Rating uncertainty is not new: Avramov, Cheng, Lioui &amp; Tarelli (2022) measure it as dispersion </w:t>
      </w:r>
      <w:r>
        <w:rPr>
          <w:rFonts w:ascii="Calibri" w:hAnsi="Calibri"/>
          <w:b w:val="0"/>
          <w:i/>
          <w:color w:val="101010"/>
          <w:sz w:val="19"/>
        </w:rPr>
        <w:t>across six providers</w:t>
      </w:r>
      <w:r>
        <w:rPr>
          <w:rFonts w:ascii="Calibri" w:hAnsi="Calibri"/>
          <w:b w:val="0"/>
          <w:i w:val="0"/>
          <w:color w:val="101010"/>
          <w:sz w:val="19"/>
        </w:rPr>
        <w:t xml:space="preserve">. Ours is a different object, dispersion </w:t>
      </w:r>
      <w:r>
        <w:rPr>
          <w:rFonts w:ascii="Calibri" w:hAnsi="Calibri"/>
          <w:b w:val="0"/>
          <w:i/>
          <w:color w:val="101010"/>
          <w:sz w:val="19"/>
        </w:rPr>
        <w:t>within one dataset across method choices</w:t>
      </w:r>
      <w:r>
        <w:rPr>
          <w:rFonts w:ascii="Calibri" w:hAnsi="Calibri"/>
          <w:b w:val="0"/>
          <w:i w:val="0"/>
          <w:color w:val="101010"/>
          <w:sz w:val="19"/>
        </w:rPr>
        <w:t>, which isolates construction from data differences and can be computed by a single user with a single data licence. The partial order and the disclosure-value measure are, to our knowledge, new to this literature.</w:t>
      </w:r>
    </w:p>
    <w:p>
      <w:pPr>
        <w:spacing w:before="220" w:after="40"/>
        <w:keepNext/>
      </w:pPr>
      <w:r>
        <w:rPr>
          <w:rFonts w:ascii="Calibri" w:hAnsi="Calibri"/>
          <w:b/>
          <w:color w:val="C04A12"/>
          <w:sz w:val="21"/>
        </w:rPr>
        <w:t>7.3 It scales</w:t>
      </w:r>
    </w:p>
    <w:p>
      <w:pPr>
        <w:spacing w:before="0" w:after="100"/>
        <w:jc w:val="both"/>
      </w:pPr>
      <w:r>
        <w:rPr>
          <w:rFonts w:ascii="Calibri" w:hAnsi="Calibri"/>
          <w:b w:val="0"/>
          <w:i w:val="0"/>
          <w:color w:val="101010"/>
          <w:sz w:val="19"/>
        </w:rPr>
        <w:t xml:space="preserve">The full grid over 18 companies and 138 fields runs in </w:t>
      </w:r>
      <w:r>
        <w:rPr>
          <w:rFonts w:ascii="Calibri" w:hAnsi="Calibri"/>
          <w:b/>
          <w:i w:val="0"/>
          <w:color w:val="101010"/>
          <w:sz w:val="19"/>
        </w:rPr>
        <w:t>18 seconds</w:t>
      </w:r>
      <w:r>
        <w:rPr>
          <w:rFonts w:ascii="Calibri" w:hAnsi="Calibri"/>
          <w:b w:val="0"/>
          <w:i w:val="0"/>
          <w:color w:val="101010"/>
          <w:sz w:val="19"/>
        </w:rPr>
        <w:t xml:space="preserve">. The cross-sector pipeline in ETHack/contested/ reaches 30 companies across 10 GICS sectors on free government data. </w:t>
      </w:r>
      <w:r>
        <w:rPr>
          <w:rFonts w:ascii="Calibri" w:hAnsi="Calibri"/>
          <w:b/>
          <w:i w:val="0"/>
          <w:color w:val="101010"/>
          <w:sz w:val="19"/>
        </w:rPr>
        <w:t>Cross-sector comparison is not delivered in this paper</w:t>
      </w:r>
      <w:r>
        <w:rPr>
          <w:rFonts w:ascii="Calibri" w:hAnsi="Calibri"/>
          <w:b w:val="0"/>
          <w:i w:val="0"/>
          <w:color w:val="101010"/>
          <w:sz w:val="19"/>
        </w:rPr>
        <w:t xml:space="preserve"> and we do not claim it: our indicators are sector-specific by construction, which is the same reason MSCI and Bloomberg build materiality maps per industry.</w:t>
      </w:r>
    </w:p>
    <w:p>
      <w:r>
        <w:br w:type="page"/>
      </w:r>
    </w:p>
    <w:p>
      <w:pPr>
        <w:spacing w:before="300" w:after="60"/>
        <w:pBdr>
          <w:bottom w:val="single" w:sz="10" w:color="101010" w:space="3"/>
        </w:pBdr>
        <w:keepNext/>
      </w:pPr>
      <w:r>
        <w:rPr>
          <w:rFonts w:ascii="Calibri" w:hAnsi="Calibri"/>
          <w:b/>
          <w:color w:val="101010"/>
          <w:sz w:val="28"/>
        </w:rPr>
        <w:t>8. Bonus, allocating $1 billion under a net-zero commitment</w:t>
      </w:r>
    </w:p>
    <w:tbl>
      <w:tblPr>
        <w:tblW w:type="auto" w:w="0"/>
        <w:jc w:val="center"/>
        <w:tblLook w:firstColumn="1" w:firstRow="1" w:lastColumn="0" w:lastRow="0" w:noHBand="0" w:noVBand="1" w:val="04A0"/>
      </w:tblPr>
      <w:tblGrid>
        <w:gridCol w:w="9835"/>
      </w:tblGrid>
      <w:tr>
        <w:tc>
          <w:tcPr>
            <w:tcW w:type="dxa" w:w="9835"/>
            <w:shd w:val="clear" w:fill="F6F5F2"/>
            <w:tcBorders>
              <w:left w:val="single" w:sz="24" w:color="C04A12"/>
            </w:tcBorders>
          </w:tcPr>
          <w:p>
            <w:pPr>
              <w:spacing w:before="80" w:after="80"/>
            </w:pPr>
            <w:r/>
            <w:r>
              <w:rPr>
                <w:rFonts w:ascii="Calibri" w:hAnsi="Calibri"/>
                <w:b/>
                <w:i w:val="0"/>
                <w:color w:val="101010"/>
                <w:sz w:val="20"/>
              </w:rPr>
              <w:t>Buy the companies the market cannot yet classify.</w:t>
            </w:r>
            <w:r>
              <w:rPr>
                <w:rFonts w:ascii="Calibri" w:hAnsi="Calibri"/>
                <w:b w:val="0"/>
                <w:i w:val="0"/>
                <w:color w:val="101010"/>
                <w:sz w:val="20"/>
              </w:rPr>
              <w:t xml:space="preserve"> Not the best ESG scores, which are priced; not the worst, which are often structurally incompatible. The ones whose eligibility is </w:t>
            </w:r>
            <w:r>
              <w:rPr>
                <w:rFonts w:ascii="Calibri" w:hAnsi="Calibri"/>
                <w:b w:val="0"/>
                <w:i/>
                <w:color w:val="101010"/>
                <w:sz w:val="20"/>
              </w:rPr>
              <w:t>contested</w:t>
            </w:r>
            <w:r>
              <w:rPr>
                <w:rFonts w:ascii="Calibri" w:hAnsi="Calibri"/>
                <w:b w:val="0"/>
                <w:i w:val="0"/>
                <w:color w:val="101010"/>
                <w:sz w:val="20"/>
              </w:rPr>
              <w:t xml:space="preserve"> and among those, the ones our Question-B curve says are already moving.</w:t>
            </w:r>
          </w:p>
        </w:tc>
      </w:tr>
    </w:tbl>
    <w:p>
      <w:pPr>
        <w:spacing w:after="60"/>
      </w:pPr>
    </w:p>
    <w:p>
      <w:pPr>
        <w:spacing w:before="220" w:after="40"/>
        <w:keepNext/>
      </w:pPr>
      <w:r>
        <w:rPr>
          <w:rFonts w:ascii="Calibri" w:hAnsi="Calibri"/>
          <w:b/>
          <w:color w:val="C04A12"/>
          <w:sz w:val="21"/>
        </w:rPr>
        <w:t>8.1 The mechanism, and why the obvious version of it fails</w:t>
      </w:r>
    </w:p>
    <w:p>
      <w:pPr>
        <w:spacing w:before="0" w:after="100"/>
        <w:jc w:val="both"/>
      </w:pPr>
      <w:r>
        <w:rPr>
          <w:rFonts w:ascii="Calibri" w:hAnsi="Calibri"/>
          <w:b w:val="0"/>
          <w:i w:val="0"/>
          <w:color w:val="101010"/>
          <w:sz w:val="19"/>
        </w:rPr>
        <w:t xml:space="preserve">The thesis in the market is that crossing an ESG threshold unlocks capital: Merton's investor recognition model predicts that widening the eligible investor base lowers required return, and ESMA's naming rules plus the Article 8/9 regime create real eligibility screens. </w:t>
      </w:r>
      <w:r>
        <w:rPr>
          <w:rFonts w:ascii="Calibri" w:hAnsi="Calibri"/>
          <w:b/>
          <w:i w:val="0"/>
          <w:color w:val="101010"/>
          <w:sz w:val="19"/>
        </w:rPr>
        <w:t>We tested this on our own data and the cliff does not exist.</w:t>
      </w:r>
    </w:p>
    <w:p>
      <w:pPr>
        <w:spacing w:before="220" w:after="40"/>
        <w:keepNext/>
      </w:pPr>
      <w:r>
        <w:rPr>
          <w:rFonts w:ascii="Calibri" w:hAnsi="Calibri"/>
          <w:b/>
          <w:color w:val="C04A12"/>
          <w:sz w:val="16"/>
        </w:rPr>
        <w:t>Exhibit 11</w:t>
      </w:r>
      <w:r>
        <w:rPr>
          <w:rFonts w:ascii="Calibri" w:hAnsi="Calibri"/>
          <w:b/>
          <w:color w:val="101010"/>
          <w:sz w:val="19"/>
        </w:rPr>
        <w:t xml:space="preserve">   There is no eligibility cliff, 15 of 18 companies are contested</w:t>
      </w:r>
    </w:p>
    <w:tbl>
      <w:tblPr>
        <w:tblW w:type="auto" w:w="0"/>
        <w:jc w:val="center"/>
        <w:tblLayout w:type="fixed"/>
        <w:tblLook w:firstColumn="1" w:firstRow="1" w:lastColumn="0" w:lastRow="0" w:noHBand="0" w:noVBand="1" w:val="04A0"/>
      </w:tblPr>
      <w:tblGrid>
        <w:gridCol w:w="3278"/>
        <w:gridCol w:w="3278"/>
        <w:gridCol w:w="3278"/>
      </w:tblGrid>
      <w:tr>
        <w:tc>
          <w:tcPr>
            <w:tcW w:type="dxa" w:w="4608"/>
            <w:shd w:val="clear" w:fill="F6F5F2"/>
            <w:tcBorders>
              <w:top w:val="single" w:sz="10" w:color="101010"/>
              <w:bottom w:val="single" w:sz="5" w:color="6B6A63"/>
            </w:tcBorders>
          </w:tcPr>
          <w:p>
            <w:pPr>
              <w:spacing w:before="32" w:after="32"/>
              <w:jc w:val="left"/>
            </w:pPr>
            <w:r/>
            <w:r>
              <w:rPr>
                <w:rFonts w:ascii="Calibri" w:hAnsi="Calibri"/>
                <w:b/>
                <w:i w:val="0"/>
                <w:color w:val="3D3C38"/>
                <w:sz w:val="15"/>
              </w:rPr>
              <w:t>P(passes a top-50% screen) across the grid</w:t>
            </w:r>
          </w:p>
        </w:tc>
        <w:tc>
          <w:tcPr>
            <w:tcW w:type="dxa" w:w="1440"/>
            <w:shd w:val="clear" w:fill="F6F5F2"/>
            <w:tcBorders>
              <w:top w:val="single" w:sz="10" w:color="101010"/>
              <w:bottom w:val="single" w:sz="5" w:color="6B6A63"/>
            </w:tcBorders>
          </w:tcPr>
          <w:p>
            <w:pPr>
              <w:spacing w:before="32" w:after="32"/>
              <w:jc w:val="center"/>
            </w:pPr>
            <w:r/>
            <w:r>
              <w:rPr>
                <w:rFonts w:ascii="Calibri" w:hAnsi="Calibri"/>
                <w:b/>
                <w:i w:val="0"/>
                <w:color w:val="3D3C38"/>
                <w:sz w:val="15"/>
              </w:rPr>
              <w:t>Companies</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Reading</w:t>
            </w:r>
          </w:p>
        </w:tc>
      </w:tr>
      <w:tr>
        <w:tc>
          <w:tcPr>
            <w:tcW w:type="dxa" w:w="4608"/>
            <w:tcBorders>
              <w:bottom w:val="single" w:sz="3" w:color="DEDCD6"/>
            </w:tcBorders>
          </w:tcPr>
          <w:p>
            <w:pPr>
              <w:spacing w:before="32" w:after="32"/>
              <w:jc w:val="left"/>
            </w:pPr>
            <w:r/>
            <w:r>
              <w:rPr>
                <w:rFonts w:ascii="Calibri" w:hAnsi="Calibri"/>
                <w:b w:val="0"/>
                <w:i w:val="0"/>
                <w:color w:val="101010"/>
                <w:sz w:val="16"/>
              </w:rPr>
              <w:t>P &gt; 0.8 reliably eligible</w:t>
            </w:r>
          </w:p>
        </w:tc>
        <w:tc>
          <w:tcPr>
            <w:tcW w:type="dxa" w:w="1440"/>
            <w:tcBorders>
              <w:bottom w:val="single" w:sz="3" w:color="DEDCD6"/>
            </w:tcBorders>
          </w:tcPr>
          <w:p>
            <w:pPr>
              <w:spacing w:before="32" w:after="32"/>
              <w:jc w:val="center"/>
            </w:pPr>
            <w:r/>
            <w:r>
              <w:rPr>
                <w:rFonts w:ascii="Calibri" w:hAnsi="Calibri"/>
                <w:b w:val="0"/>
                <w:i w:val="0"/>
                <w:color w:val="101010"/>
                <w:sz w:val="16"/>
              </w:rPr>
              <w:t>2</w:t>
            </w:r>
          </w:p>
        </w:tc>
        <w:tc>
          <w:tcPr>
            <w:tcW w:type="dxa" w:w="3744"/>
            <w:tcBorders>
              <w:bottom w:val="single" w:sz="3" w:color="DEDCD6"/>
            </w:tcBorders>
          </w:tcPr>
          <w:p>
            <w:pPr>
              <w:spacing w:before="32" w:after="32"/>
              <w:jc w:val="left"/>
            </w:pPr>
            <w:r/>
            <w:r>
              <w:rPr>
                <w:rFonts w:ascii="Calibri" w:hAnsi="Calibri"/>
                <w:b w:val="0"/>
                <w:i w:val="0"/>
                <w:color w:val="101010"/>
                <w:sz w:val="16"/>
              </w:rPr>
              <w:t>priced in</w:t>
            </w:r>
          </w:p>
        </w:tc>
      </w:tr>
      <w:tr>
        <w:tc>
          <w:tcPr>
            <w:tcW w:type="dxa" w:w="4608"/>
            <w:tcBorders>
              <w:bottom w:val="single" w:sz="3" w:color="DEDCD6"/>
            </w:tcBorders>
          </w:tcPr>
          <w:p>
            <w:pPr>
              <w:spacing w:before="32" w:after="32"/>
              <w:jc w:val="left"/>
            </w:pPr>
            <w:r/>
            <w:r>
              <w:rPr>
                <w:rFonts w:ascii="Calibri" w:hAnsi="Calibri"/>
                <w:b w:val="0"/>
                <w:i w:val="0"/>
                <w:color w:val="101010"/>
                <w:sz w:val="16"/>
              </w:rPr>
              <w:t xml:space="preserve">0.2 ≤ P ≤ 0.8 </w:t>
            </w:r>
            <w:r>
              <w:rPr>
                <w:rFonts w:ascii="Calibri" w:hAnsi="Calibri"/>
                <w:b/>
                <w:i w:val="0"/>
                <w:color w:val="101010"/>
                <w:sz w:val="16"/>
              </w:rPr>
              <w:t>contested eligibility</w:t>
            </w:r>
          </w:p>
        </w:tc>
        <w:tc>
          <w:tcPr>
            <w:tcW w:type="dxa" w:w="1440"/>
            <w:tcBorders>
              <w:bottom w:val="single" w:sz="3" w:color="DEDCD6"/>
            </w:tcBorders>
          </w:tcPr>
          <w:p>
            <w:pPr>
              <w:spacing w:before="32" w:after="32"/>
              <w:jc w:val="center"/>
            </w:pPr>
            <w:r/>
            <w:r>
              <w:rPr>
                <w:rFonts w:ascii="Calibri" w:hAnsi="Calibri"/>
                <w:b/>
                <w:i w:val="0"/>
                <w:color w:val="101010"/>
                <w:sz w:val="16"/>
              </w:rPr>
              <w:t>15</w:t>
            </w:r>
          </w:p>
        </w:tc>
        <w:tc>
          <w:tcPr>
            <w:tcW w:type="dxa" w:w="3744"/>
            <w:tcBorders>
              <w:bottom w:val="single" w:sz="3" w:color="DEDCD6"/>
            </w:tcBorders>
          </w:tcPr>
          <w:p>
            <w:pPr>
              <w:spacing w:before="32" w:after="32"/>
              <w:jc w:val="left"/>
            </w:pPr>
            <w:r/>
            <w:r>
              <w:rPr>
                <w:rFonts w:ascii="Calibri" w:hAnsi="Calibri"/>
                <w:b w:val="0"/>
                <w:i w:val="0"/>
                <w:color w:val="101010"/>
                <w:sz w:val="16"/>
              </w:rPr>
              <w:t>the opportunity set</w:t>
            </w:r>
          </w:p>
        </w:tc>
      </w:tr>
      <w:tr>
        <w:tc>
          <w:tcPr>
            <w:tcW w:type="dxa" w:w="4608"/>
            <w:tcBorders>
              <w:bottom w:val="single" w:sz="10" w:color="101010"/>
            </w:tcBorders>
          </w:tcPr>
          <w:p>
            <w:pPr>
              <w:spacing w:before="32" w:after="32"/>
              <w:jc w:val="left"/>
            </w:pPr>
            <w:r/>
            <w:r>
              <w:rPr>
                <w:rFonts w:ascii="Calibri" w:hAnsi="Calibri"/>
                <w:b w:val="0"/>
                <w:i w:val="0"/>
                <w:color w:val="101010"/>
                <w:sz w:val="16"/>
              </w:rPr>
              <w:t>P &lt; 0.2 reliably ineligible</w:t>
            </w:r>
          </w:p>
        </w:tc>
        <w:tc>
          <w:tcPr>
            <w:tcW w:type="dxa" w:w="1440"/>
            <w:tcBorders>
              <w:bottom w:val="single" w:sz="10" w:color="101010"/>
            </w:tcBorders>
          </w:tcPr>
          <w:p>
            <w:pPr>
              <w:spacing w:before="32" w:after="32"/>
              <w:jc w:val="center"/>
            </w:pPr>
            <w:r/>
            <w:r>
              <w:rPr>
                <w:rFonts w:ascii="Calibri" w:hAnsi="Calibri"/>
                <w:b w:val="0"/>
                <w:i w:val="0"/>
                <w:color w:val="101010"/>
                <w:sz w:val="16"/>
              </w:rPr>
              <w:t>1</w:t>
            </w:r>
          </w:p>
        </w:tc>
        <w:tc>
          <w:tcPr>
            <w:tcW w:type="dxa" w:w="3744"/>
            <w:tcBorders>
              <w:bottom w:val="single" w:sz="10" w:color="101010"/>
            </w:tcBorders>
          </w:tcPr>
          <w:p>
            <w:pPr>
              <w:spacing w:before="32" w:after="32"/>
              <w:jc w:val="left"/>
            </w:pPr>
            <w:r/>
            <w:r>
              <w:rPr>
                <w:rFonts w:ascii="Calibri" w:hAnsi="Calibri"/>
                <w:b w:val="0"/>
                <w:i w:val="0"/>
                <w:color w:val="101010"/>
                <w:sz w:val="16"/>
              </w:rPr>
              <w:t>structurally excluded</w:t>
            </w:r>
          </w:p>
        </w:tc>
      </w:tr>
    </w:tbl>
    <w:p>
      <w:pPr>
        <w:spacing w:before="0" w:after="160"/>
        <w:jc w:val="both"/>
      </w:pPr>
      <w:r>
        <w:rPr>
          <w:rFonts w:ascii="Calibri" w:hAnsi="Calibri"/>
          <w:b w:val="0"/>
          <w:i/>
          <w:color w:val="6B6A63"/>
          <w:sz w:val="15"/>
        </w:rPr>
        <w:t>Mean |P − 0.5| = 0.17. A true cliff would give 0.5. Eligibility is a fog, not a line, because the score itself is contested. Computed over all cells at equal weights.</w:t>
      </w:r>
    </w:p>
    <w:p>
      <w:pPr>
        <w:spacing w:before="0" w:after="100"/>
        <w:jc w:val="both"/>
      </w:pPr>
      <w:r>
        <w:rPr>
          <w:rFonts w:ascii="Calibri" w:hAnsi="Calibri"/>
          <w:b w:val="0"/>
          <w:i w:val="0"/>
          <w:color w:val="101010"/>
          <w:sz w:val="19"/>
        </w:rPr>
        <w:t xml:space="preserve">This kills the naïve trade and licenses a better one. If eligibility is probabilistic, the tradeable quantity is not </w:t>
      </w:r>
      <w:r>
        <w:rPr>
          <w:rFonts w:ascii="Calibri" w:hAnsi="Calibri"/>
          <w:b w:val="0"/>
          <w:i/>
          <w:color w:val="101010"/>
          <w:sz w:val="19"/>
        </w:rPr>
        <w:t>crossing a line</w:t>
      </w:r>
      <w:r>
        <w:rPr>
          <w:rFonts w:ascii="Calibri" w:hAnsi="Calibri"/>
          <w:b w:val="0"/>
          <w:i w:val="0"/>
          <w:color w:val="101010"/>
          <w:sz w:val="19"/>
        </w:rPr>
        <w:t xml:space="preserve"> but </w:t>
      </w:r>
      <w:r>
        <w:rPr>
          <w:rFonts w:ascii="Calibri" w:hAnsi="Calibri"/>
          <w:b/>
          <w:i w:val="0"/>
          <w:color w:val="101010"/>
          <w:sz w:val="19"/>
        </w:rPr>
        <w:t>the change in P</w:t>
      </w:r>
      <w:r>
        <w:rPr>
          <w:rFonts w:ascii="Calibri" w:hAnsi="Calibri"/>
          <w:b w:val="0"/>
          <w:i w:val="0"/>
          <w:color w:val="101010"/>
          <w:sz w:val="19"/>
        </w:rPr>
        <w:t xml:space="preserve"> and P moves for two quite different reasons, with very different cost and speed:</w:t>
      </w:r>
    </w:p>
    <w:tbl>
      <w:tblPr>
        <w:tblW w:type="auto" w:w="0"/>
        <w:jc w:val="center"/>
        <w:tblLayout w:type="fixed"/>
        <w:tblLook w:firstColumn="1" w:firstRow="1" w:lastColumn="0" w:lastRow="0" w:noHBand="0" w:noVBand="1" w:val="04A0"/>
      </w:tblPr>
      <w:tblGrid>
        <w:gridCol w:w="1967"/>
        <w:gridCol w:w="1967"/>
        <w:gridCol w:w="1967"/>
        <w:gridCol w:w="1967"/>
        <w:gridCol w:w="1967"/>
      </w:tblGrid>
      <w:tr>
        <w:tc>
          <w:tcPr>
            <w:tcW w:type="dxa" w:w="1368"/>
            <w:shd w:val="clear" w:fill="F6F5F2"/>
            <w:tcBorders>
              <w:top w:val="single" w:sz="10" w:color="101010"/>
              <w:bottom w:val="single" w:sz="5" w:color="6B6A63"/>
            </w:tcBorders>
          </w:tcPr>
          <w:p>
            <w:pPr>
              <w:spacing w:before="32" w:after="32"/>
              <w:jc w:val="left"/>
            </w:pPr>
            <w:r/>
            <w:r>
              <w:rPr>
                <w:rFonts w:ascii="Calibri" w:hAnsi="Calibri"/>
                <w:b/>
                <w:i w:val="0"/>
                <w:color w:val="3D3C38"/>
                <w:sz w:val="15"/>
              </w:rPr>
              <w:t>Channel</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What has to happen</w:t>
            </w:r>
          </w:p>
        </w:tc>
        <w:tc>
          <w:tcPr>
            <w:tcW w:type="dxa" w:w="792"/>
            <w:shd w:val="clear" w:fill="F6F5F2"/>
            <w:tcBorders>
              <w:top w:val="single" w:sz="10" w:color="101010"/>
              <w:bottom w:val="single" w:sz="5" w:color="6B6A63"/>
            </w:tcBorders>
          </w:tcPr>
          <w:p>
            <w:pPr>
              <w:spacing w:before="32" w:after="32"/>
              <w:jc w:val="left"/>
            </w:pPr>
            <w:r/>
            <w:r>
              <w:rPr>
                <w:rFonts w:ascii="Calibri" w:hAnsi="Calibri"/>
                <w:b/>
                <w:i w:val="0"/>
                <w:color w:val="3D3C38"/>
                <w:sz w:val="15"/>
              </w:rPr>
              <w:t>Cost</w:t>
            </w:r>
          </w:p>
        </w:tc>
        <w:tc>
          <w:tcPr>
            <w:tcW w:type="dxa" w:w="1080"/>
            <w:shd w:val="clear" w:fill="F6F5F2"/>
            <w:tcBorders>
              <w:top w:val="single" w:sz="10" w:color="101010"/>
              <w:bottom w:val="single" w:sz="5" w:color="6B6A63"/>
            </w:tcBorders>
          </w:tcPr>
          <w:p>
            <w:pPr>
              <w:spacing w:before="32" w:after="32"/>
              <w:jc w:val="left"/>
            </w:pPr>
            <w:r/>
            <w:r>
              <w:rPr>
                <w:rFonts w:ascii="Calibri" w:hAnsi="Calibri"/>
                <w:b/>
                <w:i w:val="0"/>
                <w:color w:val="3D3C38"/>
                <w:sz w:val="15"/>
              </w:rPr>
              <w:t>Speed</w:t>
            </w:r>
          </w:p>
        </w:tc>
        <w:tc>
          <w:tcPr>
            <w:tcW w:type="dxa" w:w="2736"/>
            <w:shd w:val="clear" w:fill="F6F5F2"/>
            <w:tcBorders>
              <w:top w:val="single" w:sz="10" w:color="101010"/>
              <w:bottom w:val="single" w:sz="5" w:color="6B6A63"/>
            </w:tcBorders>
          </w:tcPr>
          <w:p>
            <w:pPr>
              <w:spacing w:before="32" w:after="32"/>
              <w:jc w:val="left"/>
            </w:pPr>
            <w:r/>
            <w:r>
              <w:rPr>
                <w:rFonts w:ascii="Calibri" w:hAnsi="Calibri"/>
                <w:b/>
                <w:i w:val="0"/>
                <w:color w:val="3D3C38"/>
                <w:sz w:val="15"/>
              </w:rPr>
              <w:t>Our measure</w:t>
            </w:r>
          </w:p>
        </w:tc>
      </w:tr>
      <w:tr>
        <w:tc>
          <w:tcPr>
            <w:tcW w:type="dxa" w:w="1368"/>
            <w:tcBorders>
              <w:bottom w:val="single" w:sz="3" w:color="DEDCD6"/>
            </w:tcBorders>
          </w:tcPr>
          <w:p>
            <w:pPr>
              <w:spacing w:before="32" w:after="32"/>
              <w:jc w:val="left"/>
            </w:pPr>
            <w:r/>
            <w:r>
              <w:rPr>
                <w:rFonts w:ascii="Calibri" w:hAnsi="Calibri"/>
                <w:b/>
                <w:i w:val="0"/>
                <w:color w:val="101010"/>
                <w:sz w:val="16"/>
              </w:rPr>
              <w:t>Convention</w:t>
            </w:r>
          </w:p>
        </w:tc>
        <w:tc>
          <w:tcPr>
            <w:tcW w:type="dxa" w:w="3744"/>
            <w:tcBorders>
              <w:bottom w:val="single" w:sz="3" w:color="DEDCD6"/>
            </w:tcBorders>
          </w:tcPr>
          <w:p>
            <w:pPr>
              <w:spacing w:before="32" w:after="32"/>
              <w:jc w:val="left"/>
            </w:pPr>
            <w:r/>
            <w:r>
              <w:rPr>
                <w:rFonts w:ascii="Calibri" w:hAnsi="Calibri"/>
                <w:b w:val="0"/>
                <w:i w:val="0"/>
                <w:color w:val="101010"/>
                <w:sz w:val="16"/>
              </w:rPr>
              <w:t>the market's scoring convention shifts (CSRD/ISSB harden the missing-data rule)</w:t>
            </w:r>
          </w:p>
        </w:tc>
        <w:tc>
          <w:tcPr>
            <w:tcW w:type="dxa" w:w="792"/>
            <w:tcBorders>
              <w:bottom w:val="single" w:sz="3" w:color="DEDCD6"/>
            </w:tcBorders>
          </w:tcPr>
          <w:p>
            <w:pPr>
              <w:spacing w:before="32" w:after="32"/>
              <w:jc w:val="left"/>
            </w:pPr>
            <w:r/>
            <w:r>
              <w:rPr>
                <w:rFonts w:ascii="Calibri" w:hAnsi="Calibri"/>
                <w:b w:val="0"/>
                <w:i w:val="0"/>
                <w:color w:val="101010"/>
                <w:sz w:val="16"/>
              </w:rPr>
              <w:t>zero</w:t>
            </w:r>
          </w:p>
        </w:tc>
        <w:tc>
          <w:tcPr>
            <w:tcW w:type="dxa" w:w="1080"/>
            <w:tcBorders>
              <w:bottom w:val="single" w:sz="3" w:color="DEDCD6"/>
            </w:tcBorders>
          </w:tcPr>
          <w:p>
            <w:pPr>
              <w:spacing w:before="32" w:after="32"/>
              <w:jc w:val="left"/>
            </w:pPr>
            <w:r/>
            <w:r>
              <w:rPr>
                <w:rFonts w:ascii="Calibri" w:hAnsi="Calibri"/>
                <w:b w:val="0"/>
                <w:i w:val="0"/>
                <w:color w:val="101010"/>
                <w:sz w:val="16"/>
              </w:rPr>
              <w:t>1 to 2 years</w:t>
            </w:r>
          </w:p>
        </w:tc>
        <w:tc>
          <w:tcPr>
            <w:tcW w:type="dxa" w:w="2736"/>
            <w:tcBorders>
              <w:bottom w:val="single" w:sz="3" w:color="DEDCD6"/>
            </w:tcBorders>
          </w:tcPr>
          <w:p>
            <w:pPr>
              <w:spacing w:before="32" w:after="32"/>
              <w:jc w:val="left"/>
            </w:pPr>
            <w:r/>
            <w:r>
              <w:rPr>
                <w:rFonts w:ascii="Calibri" w:hAnsi="Calibri"/>
                <w:b w:val="0"/>
                <w:i w:val="0"/>
                <w:color w:val="101010"/>
                <w:sz w:val="16"/>
              </w:rPr>
              <w:t>spread of P across the missing-data axis</w:t>
            </w:r>
          </w:p>
        </w:tc>
      </w:tr>
      <w:tr>
        <w:tc>
          <w:tcPr>
            <w:tcW w:type="dxa" w:w="1368"/>
            <w:tcBorders>
              <w:bottom w:val="single" w:sz="10" w:color="101010"/>
            </w:tcBorders>
          </w:tcPr>
          <w:p>
            <w:pPr>
              <w:spacing w:before="32" w:after="32"/>
              <w:jc w:val="left"/>
            </w:pPr>
            <w:r/>
            <w:r>
              <w:rPr>
                <w:rFonts w:ascii="Calibri" w:hAnsi="Calibri"/>
                <w:b/>
                <w:i w:val="0"/>
                <w:color w:val="101010"/>
                <w:sz w:val="16"/>
              </w:rPr>
              <w:t>Trajectory</w:t>
            </w:r>
          </w:p>
        </w:tc>
        <w:tc>
          <w:tcPr>
            <w:tcW w:type="dxa" w:w="3744"/>
            <w:tcBorders>
              <w:bottom w:val="single" w:sz="10" w:color="101010"/>
            </w:tcBorders>
          </w:tcPr>
          <w:p>
            <w:pPr>
              <w:spacing w:before="32" w:after="32"/>
              <w:jc w:val="left"/>
            </w:pPr>
            <w:r/>
            <w:r>
              <w:rPr>
                <w:rFonts w:ascii="Calibri" w:hAnsi="Calibri"/>
                <w:b w:val="0"/>
                <w:i w:val="0"/>
                <w:color w:val="101010"/>
                <w:sz w:val="16"/>
              </w:rPr>
              <w:t>the company actually reduces harm</w:t>
            </w:r>
          </w:p>
        </w:tc>
        <w:tc>
          <w:tcPr>
            <w:tcW w:type="dxa" w:w="792"/>
            <w:tcBorders>
              <w:bottom w:val="single" w:sz="10" w:color="101010"/>
            </w:tcBorders>
          </w:tcPr>
          <w:p>
            <w:pPr>
              <w:spacing w:before="32" w:after="32"/>
              <w:jc w:val="left"/>
            </w:pPr>
            <w:r/>
            <w:r>
              <w:rPr>
                <w:rFonts w:ascii="Calibri" w:hAnsi="Calibri"/>
                <w:b w:val="0"/>
                <w:i w:val="0"/>
                <w:color w:val="101010"/>
                <w:sz w:val="16"/>
              </w:rPr>
              <w:t>high capex</w:t>
            </w:r>
          </w:p>
        </w:tc>
        <w:tc>
          <w:tcPr>
            <w:tcW w:type="dxa" w:w="1080"/>
            <w:tcBorders>
              <w:bottom w:val="single" w:sz="10" w:color="101010"/>
            </w:tcBorders>
          </w:tcPr>
          <w:p>
            <w:pPr>
              <w:spacing w:before="32" w:after="32"/>
              <w:jc w:val="left"/>
            </w:pPr>
            <w:r/>
            <w:r>
              <w:rPr>
                <w:rFonts w:ascii="Calibri" w:hAnsi="Calibri"/>
                <w:b w:val="0"/>
                <w:i w:val="0"/>
                <w:color w:val="101010"/>
                <w:sz w:val="16"/>
              </w:rPr>
              <w:t>3 to 7 years</w:t>
            </w:r>
          </w:p>
        </w:tc>
        <w:tc>
          <w:tcPr>
            <w:tcW w:type="dxa" w:w="2736"/>
            <w:tcBorders>
              <w:bottom w:val="single" w:sz="10" w:color="101010"/>
            </w:tcBorders>
          </w:tcPr>
          <w:p>
            <w:pPr>
              <w:spacing w:before="32" w:after="32"/>
              <w:jc w:val="left"/>
            </w:pPr>
            <w:r/>
            <w:r>
              <w:rPr>
                <w:rFonts w:ascii="Calibri" w:hAnsi="Calibri"/>
                <w:b w:val="0"/>
                <w:i w:val="0"/>
                <w:color w:val="101010"/>
                <w:sz w:val="16"/>
              </w:rPr>
              <w:t>P on Question B minus P on Question A</w:t>
            </w:r>
          </w:p>
        </w:tc>
      </w:tr>
    </w:tbl>
    <w:p>
      <w:pPr>
        <w:spacing w:before="220" w:after="40"/>
        <w:keepNext/>
      </w:pPr>
      <w:r>
        <w:rPr>
          <w:rFonts w:ascii="Calibri" w:hAnsi="Calibri"/>
          <w:b/>
          <w:color w:val="C04A12"/>
          <w:sz w:val="21"/>
        </w:rPr>
        <w:t>8.2 The signal, computed</w:t>
      </w:r>
    </w:p>
    <w:p>
      <w:pPr>
        <w:spacing w:before="220" w:after="40"/>
        <w:keepNext/>
      </w:pPr>
      <w:r>
        <w:rPr>
          <w:rFonts w:ascii="Calibri" w:hAnsi="Calibri"/>
          <w:b/>
          <w:color w:val="C04A12"/>
          <w:sz w:val="16"/>
        </w:rPr>
        <w:t>Exhibit 12</w:t>
      </w:r>
      <w:r>
        <w:rPr>
          <w:rFonts w:ascii="Calibri" w:hAnsi="Calibri"/>
          <w:b/>
          <w:color w:val="101010"/>
          <w:sz w:val="19"/>
        </w:rPr>
        <w:t xml:space="preserve">   Where a company stands versus where it is heading, the transition map</w:t>
      </w:r>
    </w:p>
    <w:p>
      <w:pPr>
        <w:spacing w:before="60" w:after="40"/>
        <w:jc w:val="center"/>
      </w:pPr>
      <w:r>
        <w:drawing>
          <wp:inline xmlns:a="http://schemas.openxmlformats.org/drawingml/2006/main" xmlns:pic="http://schemas.openxmlformats.org/drawingml/2006/picture">
            <wp:extent cx="5760720" cy="2560320"/>
            <wp:docPr id="4" name="Picture 4"/>
            <wp:cNvGraphicFramePr>
              <a:graphicFrameLocks noChangeAspect="1"/>
            </wp:cNvGraphicFramePr>
            <a:graphic>
              <a:graphicData uri="http://schemas.openxmlformats.org/drawingml/2006/picture">
                <pic:pic>
                  <pic:nvPicPr>
                    <pic:cNvPr id="0" name="f4_eligibility.png"/>
                    <pic:cNvPicPr/>
                  </pic:nvPicPr>
                  <pic:blipFill>
                    <a:blip r:embed="rId12"/>
                    <a:stretch>
                      <a:fillRect/>
                    </a:stretch>
                  </pic:blipFill>
                  <pic:spPr>
                    <a:xfrm>
                      <a:off x="0" y="0"/>
                      <a:ext cx="5760720" cy="2560320"/>
                    </a:xfrm>
                    <a:prstGeom prst="rect"/>
                  </pic:spPr>
                </pic:pic>
              </a:graphicData>
            </a:graphic>
          </wp:inline>
        </w:drawing>
      </w:r>
    </w:p>
    <w:p>
      <w:pPr>
        <w:spacing w:before="0" w:after="160"/>
        <w:jc w:val="both"/>
      </w:pPr>
      <w:r>
        <w:rPr>
          <w:rFonts w:ascii="Calibri" w:hAnsi="Calibri"/>
          <w:b w:val="0"/>
          <w:i/>
          <w:color w:val="6B6A63"/>
          <w:sz w:val="15"/>
        </w:rPr>
        <w:t>P(eligible) under Question A (horizontal) against Question B (vertical). Above the diagonal = improving faster than its current standing implies. Orange = delta &gt; 0.15. This is the framework's answer to the bonus, not a separate opinion.</w:t>
      </w:r>
    </w:p>
    <w:tbl>
      <w:tblPr>
        <w:tblW w:type="auto" w:w="0"/>
        <w:jc w:val="center"/>
        <w:tblLayout w:type="fixed"/>
        <w:tblLook w:firstColumn="1" w:firstRow="1" w:lastColumn="0" w:lastRow="0" w:noHBand="0" w:noVBand="1" w:val="04A0"/>
      </w:tblPr>
      <w:tblGrid>
        <w:gridCol w:w="1967"/>
        <w:gridCol w:w="1967"/>
        <w:gridCol w:w="1967"/>
        <w:gridCol w:w="1967"/>
        <w:gridCol w:w="1967"/>
      </w:tblGrid>
      <w:tr>
        <w:tc>
          <w:tcPr>
            <w:tcW w:type="dxa" w:w="1152"/>
            <w:shd w:val="clear" w:fill="F6F5F2"/>
            <w:tcBorders>
              <w:top w:val="single" w:sz="10" w:color="101010"/>
              <w:bottom w:val="single" w:sz="5" w:color="6B6A63"/>
            </w:tcBorders>
          </w:tcPr>
          <w:p>
            <w:pPr>
              <w:spacing w:before="32" w:after="32"/>
              <w:jc w:val="left"/>
            </w:pPr>
            <w:r/>
            <w:r>
              <w:rPr>
                <w:rFonts w:ascii="Calibri" w:hAnsi="Calibri"/>
                <w:b/>
                <w:i w:val="0"/>
                <w:color w:val="3D3C38"/>
                <w:sz w:val="15"/>
              </w:rPr>
              <w:t>Ticker</w:t>
            </w:r>
          </w:p>
        </w:tc>
        <w:tc>
          <w:tcPr>
            <w:tcW w:type="dxa" w:w="1584"/>
            <w:shd w:val="clear" w:fill="F6F5F2"/>
            <w:tcBorders>
              <w:top w:val="single" w:sz="10" w:color="101010"/>
              <w:bottom w:val="single" w:sz="5" w:color="6B6A63"/>
            </w:tcBorders>
          </w:tcPr>
          <w:p>
            <w:pPr>
              <w:spacing w:before="32" w:after="32"/>
              <w:jc w:val="right"/>
            </w:pPr>
            <w:r/>
            <w:r>
              <w:rPr>
                <w:rFonts w:ascii="Calibri" w:hAnsi="Calibri"/>
                <w:b/>
                <w:i w:val="0"/>
                <w:color w:val="3D3C38"/>
                <w:sz w:val="15"/>
              </w:rPr>
              <w:t>P(A) level</w:t>
            </w:r>
          </w:p>
        </w:tc>
        <w:tc>
          <w:tcPr>
            <w:tcW w:type="dxa" w:w="1656"/>
            <w:shd w:val="clear" w:fill="F6F5F2"/>
            <w:tcBorders>
              <w:top w:val="single" w:sz="10" w:color="101010"/>
              <w:bottom w:val="single" w:sz="5" w:color="6B6A63"/>
            </w:tcBorders>
          </w:tcPr>
          <w:p>
            <w:pPr>
              <w:spacing w:before="32" w:after="32"/>
              <w:jc w:val="right"/>
            </w:pPr>
            <w:r/>
            <w:r>
              <w:rPr>
                <w:rFonts w:ascii="Calibri" w:hAnsi="Calibri"/>
                <w:b/>
                <w:i w:val="0"/>
                <w:color w:val="3D3C38"/>
                <w:sz w:val="15"/>
              </w:rPr>
              <w:t>P(B) change</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Δ</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Bucket</w:t>
            </w:r>
          </w:p>
        </w:tc>
      </w:tr>
      <w:tr>
        <w:tc>
          <w:tcPr>
            <w:tcW w:type="dxa" w:w="1152"/>
            <w:tcBorders>
              <w:bottom w:val="single" w:sz="3" w:color="DEDCD6"/>
            </w:tcBorders>
          </w:tcPr>
          <w:p>
            <w:pPr>
              <w:spacing w:before="32" w:after="32"/>
              <w:jc w:val="left"/>
            </w:pPr>
            <w:r/>
            <w:r>
              <w:rPr>
                <w:rFonts w:ascii="Calibri" w:hAnsi="Calibri"/>
                <w:b w:val="0"/>
                <w:i w:val="0"/>
                <w:color w:val="101010"/>
                <w:sz w:val="16"/>
              </w:rPr>
              <w:t>MPC</w:t>
            </w:r>
          </w:p>
        </w:tc>
        <w:tc>
          <w:tcPr>
            <w:tcW w:type="dxa" w:w="1584"/>
            <w:tcBorders>
              <w:bottom w:val="single" w:sz="3" w:color="DEDCD6"/>
            </w:tcBorders>
          </w:tcPr>
          <w:p>
            <w:pPr>
              <w:spacing w:before="32" w:after="32"/>
              <w:jc w:val="right"/>
            </w:pPr>
            <w:r/>
            <w:r>
              <w:rPr>
                <w:rFonts w:ascii="Calibri" w:hAnsi="Calibri"/>
                <w:b w:val="0"/>
                <w:i w:val="0"/>
                <w:color w:val="101010"/>
                <w:sz w:val="16"/>
              </w:rPr>
              <w:t>0.12</w:t>
            </w:r>
          </w:p>
        </w:tc>
        <w:tc>
          <w:tcPr>
            <w:tcW w:type="dxa" w:w="1656"/>
            <w:tcBorders>
              <w:bottom w:val="single" w:sz="3" w:color="DEDCD6"/>
            </w:tcBorders>
          </w:tcPr>
          <w:p>
            <w:pPr>
              <w:spacing w:before="32" w:after="32"/>
              <w:jc w:val="right"/>
            </w:pPr>
            <w:r/>
            <w:r>
              <w:rPr>
                <w:rFonts w:ascii="Calibri" w:hAnsi="Calibri"/>
                <w:b w:val="0"/>
                <w:i w:val="0"/>
                <w:color w:val="101010"/>
                <w:sz w:val="16"/>
              </w:rPr>
              <w:t>0.73</w:t>
            </w:r>
          </w:p>
        </w:tc>
        <w:tc>
          <w:tcPr>
            <w:tcW w:type="dxa" w:w="1152"/>
            <w:tcBorders>
              <w:bottom w:val="single" w:sz="3" w:color="DEDCD6"/>
            </w:tcBorders>
          </w:tcPr>
          <w:p>
            <w:pPr>
              <w:spacing w:before="32" w:after="32"/>
              <w:jc w:val="right"/>
            </w:pPr>
            <w:r/>
            <w:r>
              <w:rPr>
                <w:rFonts w:ascii="Calibri" w:hAnsi="Calibri"/>
                <w:b/>
                <w:i w:val="0"/>
                <w:color w:val="101010"/>
                <w:sz w:val="16"/>
              </w:rPr>
              <w:t>+0.61</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OXY</w:t>
            </w:r>
          </w:p>
        </w:tc>
        <w:tc>
          <w:tcPr>
            <w:tcW w:type="dxa" w:w="1584"/>
            <w:tcBorders>
              <w:bottom w:val="single" w:sz="3" w:color="DEDCD6"/>
            </w:tcBorders>
          </w:tcPr>
          <w:p>
            <w:pPr>
              <w:spacing w:before="32" w:after="32"/>
              <w:jc w:val="right"/>
            </w:pPr>
            <w:r/>
            <w:r>
              <w:rPr>
                <w:rFonts w:ascii="Calibri" w:hAnsi="Calibri"/>
                <w:b w:val="0"/>
                <w:i w:val="0"/>
                <w:color w:val="101010"/>
                <w:sz w:val="16"/>
              </w:rPr>
              <w:t>0.27</w:t>
            </w:r>
          </w:p>
        </w:tc>
        <w:tc>
          <w:tcPr>
            <w:tcW w:type="dxa" w:w="1656"/>
            <w:tcBorders>
              <w:bottom w:val="single" w:sz="3" w:color="DEDCD6"/>
            </w:tcBorders>
          </w:tcPr>
          <w:p>
            <w:pPr>
              <w:spacing w:before="32" w:after="32"/>
              <w:jc w:val="right"/>
            </w:pPr>
            <w:r/>
            <w:r>
              <w:rPr>
                <w:rFonts w:ascii="Calibri" w:hAnsi="Calibri"/>
                <w:b w:val="0"/>
                <w:i w:val="0"/>
                <w:color w:val="101010"/>
                <w:sz w:val="16"/>
              </w:rPr>
              <w:t>0.69</w:t>
            </w:r>
          </w:p>
        </w:tc>
        <w:tc>
          <w:tcPr>
            <w:tcW w:type="dxa" w:w="1152"/>
            <w:tcBorders>
              <w:bottom w:val="single" w:sz="3" w:color="DEDCD6"/>
            </w:tcBorders>
          </w:tcPr>
          <w:p>
            <w:pPr>
              <w:spacing w:before="32" w:after="32"/>
              <w:jc w:val="right"/>
            </w:pPr>
            <w:r/>
            <w:r>
              <w:rPr>
                <w:rFonts w:ascii="Calibri" w:hAnsi="Calibri"/>
                <w:b w:val="0"/>
                <w:i w:val="0"/>
                <w:color w:val="101010"/>
                <w:sz w:val="16"/>
              </w:rPr>
              <w:t>+0.41</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HAL</w:t>
            </w:r>
          </w:p>
        </w:tc>
        <w:tc>
          <w:tcPr>
            <w:tcW w:type="dxa" w:w="1584"/>
            <w:tcBorders>
              <w:bottom w:val="single" w:sz="3" w:color="DEDCD6"/>
            </w:tcBorders>
          </w:tcPr>
          <w:p>
            <w:pPr>
              <w:spacing w:before="32" w:after="32"/>
              <w:jc w:val="right"/>
            </w:pPr>
            <w:r/>
            <w:r>
              <w:rPr>
                <w:rFonts w:ascii="Calibri" w:hAnsi="Calibri"/>
                <w:b w:val="0"/>
                <w:i w:val="0"/>
                <w:color w:val="101010"/>
                <w:sz w:val="16"/>
              </w:rPr>
              <w:t>0.02</w:t>
            </w:r>
          </w:p>
        </w:tc>
        <w:tc>
          <w:tcPr>
            <w:tcW w:type="dxa" w:w="1656"/>
            <w:tcBorders>
              <w:bottom w:val="single" w:sz="3" w:color="DEDCD6"/>
            </w:tcBorders>
          </w:tcPr>
          <w:p>
            <w:pPr>
              <w:spacing w:before="32" w:after="32"/>
              <w:jc w:val="right"/>
            </w:pPr>
            <w:r/>
            <w:r>
              <w:rPr>
                <w:rFonts w:ascii="Calibri" w:hAnsi="Calibri"/>
                <w:b w:val="0"/>
                <w:i w:val="0"/>
                <w:color w:val="101010"/>
                <w:sz w:val="16"/>
              </w:rPr>
              <w:t>0.39</w:t>
            </w:r>
          </w:p>
        </w:tc>
        <w:tc>
          <w:tcPr>
            <w:tcW w:type="dxa" w:w="1152"/>
            <w:tcBorders>
              <w:bottom w:val="single" w:sz="3" w:color="DEDCD6"/>
            </w:tcBorders>
          </w:tcPr>
          <w:p>
            <w:pPr>
              <w:spacing w:before="32" w:after="32"/>
              <w:jc w:val="right"/>
            </w:pPr>
            <w:r/>
            <w:r>
              <w:rPr>
                <w:rFonts w:ascii="Calibri" w:hAnsi="Calibri"/>
                <w:b w:val="0"/>
                <w:i w:val="0"/>
                <w:color w:val="101010"/>
                <w:sz w:val="16"/>
              </w:rPr>
              <w:t>+0.38</w:t>
            </w:r>
          </w:p>
        </w:tc>
        <w:tc>
          <w:tcPr>
            <w:tcW w:type="dxa" w:w="3744"/>
            <w:tcBorders>
              <w:bottom w:val="single" w:sz="3" w:color="DEDCD6"/>
            </w:tcBorders>
          </w:tcPr>
          <w:p>
            <w:pPr>
              <w:spacing w:before="32" w:after="32"/>
              <w:jc w:val="left"/>
            </w:pPr>
            <w:r/>
            <w:r>
              <w:rPr>
                <w:rFonts w:ascii="Calibri" w:hAnsi="Calibri"/>
                <w:b w:val="0"/>
                <w:i w:val="0"/>
                <w:color w:val="101010"/>
                <w:sz w:val="16"/>
              </w:rPr>
              <w:t>Excluded, base below 0.05 (see rule)</w:t>
            </w:r>
          </w:p>
        </w:tc>
      </w:tr>
      <w:tr>
        <w:tc>
          <w:tcPr>
            <w:tcW w:type="dxa" w:w="1152"/>
            <w:tcBorders>
              <w:bottom w:val="single" w:sz="3" w:color="DEDCD6"/>
            </w:tcBorders>
          </w:tcPr>
          <w:p>
            <w:pPr>
              <w:spacing w:before="32" w:after="32"/>
              <w:jc w:val="left"/>
            </w:pPr>
            <w:r/>
            <w:r>
              <w:rPr>
                <w:rFonts w:ascii="Calibri" w:hAnsi="Calibri"/>
                <w:b w:val="0"/>
                <w:i w:val="0"/>
                <w:color w:val="101010"/>
                <w:sz w:val="16"/>
              </w:rPr>
              <w:t>PSX</w:t>
            </w:r>
          </w:p>
        </w:tc>
        <w:tc>
          <w:tcPr>
            <w:tcW w:type="dxa" w:w="1584"/>
            <w:tcBorders>
              <w:bottom w:val="single" w:sz="3" w:color="DEDCD6"/>
            </w:tcBorders>
          </w:tcPr>
          <w:p>
            <w:pPr>
              <w:spacing w:before="32" w:after="32"/>
              <w:jc w:val="right"/>
            </w:pPr>
            <w:r/>
            <w:r>
              <w:rPr>
                <w:rFonts w:ascii="Calibri" w:hAnsi="Calibri"/>
                <w:b w:val="0"/>
                <w:i w:val="0"/>
                <w:color w:val="101010"/>
                <w:sz w:val="16"/>
              </w:rPr>
              <w:t>0.23</w:t>
            </w:r>
          </w:p>
        </w:tc>
        <w:tc>
          <w:tcPr>
            <w:tcW w:type="dxa" w:w="1656"/>
            <w:tcBorders>
              <w:bottom w:val="single" w:sz="3" w:color="DEDCD6"/>
            </w:tcBorders>
          </w:tcPr>
          <w:p>
            <w:pPr>
              <w:spacing w:before="32" w:after="32"/>
              <w:jc w:val="right"/>
            </w:pPr>
            <w:r/>
            <w:r>
              <w:rPr>
                <w:rFonts w:ascii="Calibri" w:hAnsi="Calibri"/>
                <w:b w:val="0"/>
                <w:i w:val="0"/>
                <w:color w:val="101010"/>
                <w:sz w:val="16"/>
              </w:rPr>
              <w:t>0.51</w:t>
            </w:r>
          </w:p>
        </w:tc>
        <w:tc>
          <w:tcPr>
            <w:tcW w:type="dxa" w:w="1152"/>
            <w:tcBorders>
              <w:bottom w:val="single" w:sz="3" w:color="DEDCD6"/>
            </w:tcBorders>
          </w:tcPr>
          <w:p>
            <w:pPr>
              <w:spacing w:before="32" w:after="32"/>
              <w:jc w:val="right"/>
            </w:pPr>
            <w:r/>
            <w:r>
              <w:rPr>
                <w:rFonts w:ascii="Calibri" w:hAnsi="Calibri"/>
                <w:b w:val="0"/>
                <w:i w:val="0"/>
                <w:color w:val="101010"/>
                <w:sz w:val="16"/>
              </w:rPr>
              <w:t>+0.28</w:t>
            </w:r>
          </w:p>
        </w:tc>
        <w:tc>
          <w:tcPr>
            <w:tcW w:type="dxa" w:w="3744"/>
            <w:tcBorders>
              <w:bottom w:val="single" w:sz="3" w:color="DEDCD6"/>
            </w:tcBorders>
          </w:tcPr>
          <w:p>
            <w:pPr>
              <w:spacing w:before="32" w:after="32"/>
              <w:jc w:val="left"/>
            </w:pPr>
            <w:r/>
            <w:r>
              <w:rPr>
                <w:rFonts w:ascii="Calibri" w:hAnsi="Calibri"/>
                <w:b w:val="0"/>
                <w:i w:val="0"/>
                <w:color w:val="101010"/>
                <w:sz w:val="16"/>
              </w:rPr>
              <w:t>Transition core</w:t>
            </w:r>
          </w:p>
        </w:tc>
      </w:tr>
      <w:tr>
        <w:tc>
          <w:tcPr>
            <w:tcW w:type="dxa" w:w="1152"/>
            <w:tcBorders>
              <w:bottom w:val="single" w:sz="3" w:color="DEDCD6"/>
            </w:tcBorders>
          </w:tcPr>
          <w:p>
            <w:pPr>
              <w:spacing w:before="32" w:after="32"/>
              <w:jc w:val="left"/>
            </w:pPr>
            <w:r/>
            <w:r>
              <w:rPr>
                <w:rFonts w:ascii="Calibri" w:hAnsi="Calibri"/>
                <w:b w:val="0"/>
                <w:i w:val="0"/>
                <w:color w:val="101010"/>
                <w:sz w:val="16"/>
              </w:rPr>
              <w:t>KMI</w:t>
            </w:r>
          </w:p>
        </w:tc>
        <w:tc>
          <w:tcPr>
            <w:tcW w:type="dxa" w:w="1584"/>
            <w:tcBorders>
              <w:bottom w:val="single" w:sz="3" w:color="DEDCD6"/>
            </w:tcBorders>
          </w:tcPr>
          <w:p>
            <w:pPr>
              <w:spacing w:before="32" w:after="32"/>
              <w:jc w:val="right"/>
            </w:pPr>
            <w:r/>
            <w:r>
              <w:rPr>
                <w:rFonts w:ascii="Calibri" w:hAnsi="Calibri"/>
                <w:b w:val="0"/>
                <w:i w:val="0"/>
                <w:color w:val="101010"/>
                <w:sz w:val="16"/>
              </w:rPr>
              <w:t>0.27</w:t>
            </w:r>
          </w:p>
        </w:tc>
        <w:tc>
          <w:tcPr>
            <w:tcW w:type="dxa" w:w="1656"/>
            <w:tcBorders>
              <w:bottom w:val="single" w:sz="3" w:color="DEDCD6"/>
            </w:tcBorders>
          </w:tcPr>
          <w:p>
            <w:pPr>
              <w:spacing w:before="32" w:after="32"/>
              <w:jc w:val="right"/>
            </w:pPr>
            <w:r/>
            <w:r>
              <w:rPr>
                <w:rFonts w:ascii="Calibri" w:hAnsi="Calibri"/>
                <w:b w:val="0"/>
                <w:i w:val="0"/>
                <w:color w:val="101010"/>
                <w:sz w:val="16"/>
              </w:rPr>
              <w:t>0.53</w:t>
            </w:r>
          </w:p>
        </w:tc>
        <w:tc>
          <w:tcPr>
            <w:tcW w:type="dxa" w:w="1152"/>
            <w:tcBorders>
              <w:bottom w:val="single" w:sz="3" w:color="DEDCD6"/>
            </w:tcBorders>
          </w:tcPr>
          <w:p>
            <w:pPr>
              <w:spacing w:before="32" w:after="32"/>
              <w:jc w:val="right"/>
            </w:pPr>
            <w:r/>
            <w:r>
              <w:rPr>
                <w:rFonts w:ascii="Calibri" w:hAnsi="Calibri"/>
                <w:b w:val="0"/>
                <w:i w:val="0"/>
                <w:color w:val="101010"/>
                <w:sz w:val="16"/>
              </w:rPr>
              <w:t>+0.27</w:t>
            </w:r>
          </w:p>
        </w:tc>
        <w:tc>
          <w:tcPr>
            <w:tcW w:type="dxa" w:w="3744"/>
            <w:tcBorders>
              <w:bottom w:val="single" w:sz="3" w:color="DEDCD6"/>
            </w:tcBorders>
          </w:tcPr>
          <w:p>
            <w:pPr>
              <w:spacing w:before="32" w:after="32"/>
              <w:jc w:val="left"/>
            </w:pPr>
            <w:r/>
            <w:r>
              <w:rPr>
                <w:rFonts w:ascii="Calibri" w:hAnsi="Calibri"/>
                <w:b w:val="0"/>
                <w:i w:val="0"/>
                <w:color w:val="101010"/>
                <w:sz w:val="16"/>
              </w:rPr>
              <w:t>Transition satellite</w:t>
            </w:r>
          </w:p>
        </w:tc>
      </w:tr>
      <w:tr>
        <w:tc>
          <w:tcPr>
            <w:tcW w:type="dxa" w:w="1152"/>
            <w:tcBorders>
              <w:bottom w:val="single" w:sz="3" w:color="DEDCD6"/>
            </w:tcBorders>
          </w:tcPr>
          <w:p>
            <w:pPr>
              <w:spacing w:before="32" w:after="32"/>
              <w:jc w:val="left"/>
            </w:pPr>
            <w:r/>
            <w:r>
              <w:rPr>
                <w:rFonts w:ascii="Calibri" w:hAnsi="Calibri"/>
                <w:b w:val="0"/>
                <w:i w:val="0"/>
                <w:color w:val="101010"/>
                <w:sz w:val="16"/>
              </w:rPr>
              <w:t>WMB</w:t>
            </w:r>
          </w:p>
        </w:tc>
        <w:tc>
          <w:tcPr>
            <w:tcW w:type="dxa" w:w="1584"/>
            <w:tcBorders>
              <w:bottom w:val="single" w:sz="3" w:color="DEDCD6"/>
            </w:tcBorders>
          </w:tcPr>
          <w:p>
            <w:pPr>
              <w:spacing w:before="32" w:after="32"/>
              <w:jc w:val="right"/>
            </w:pPr>
            <w:r/>
            <w:r>
              <w:rPr>
                <w:rFonts w:ascii="Calibri" w:hAnsi="Calibri"/>
                <w:b w:val="0"/>
                <w:i w:val="0"/>
                <w:color w:val="101010"/>
                <w:sz w:val="16"/>
              </w:rPr>
              <w:t>0.35</w:t>
            </w:r>
          </w:p>
        </w:tc>
        <w:tc>
          <w:tcPr>
            <w:tcW w:type="dxa" w:w="1656"/>
            <w:tcBorders>
              <w:bottom w:val="single" w:sz="3" w:color="DEDCD6"/>
            </w:tcBorders>
          </w:tcPr>
          <w:p>
            <w:pPr>
              <w:spacing w:before="32" w:after="32"/>
              <w:jc w:val="right"/>
            </w:pPr>
            <w:r/>
            <w:r>
              <w:rPr>
                <w:rFonts w:ascii="Calibri" w:hAnsi="Calibri"/>
                <w:b w:val="0"/>
                <w:i w:val="0"/>
                <w:color w:val="101010"/>
                <w:sz w:val="16"/>
              </w:rPr>
              <w:t>0.57</w:t>
            </w:r>
          </w:p>
        </w:tc>
        <w:tc>
          <w:tcPr>
            <w:tcW w:type="dxa" w:w="1152"/>
            <w:tcBorders>
              <w:bottom w:val="single" w:sz="3" w:color="DEDCD6"/>
            </w:tcBorders>
          </w:tcPr>
          <w:p>
            <w:pPr>
              <w:spacing w:before="32" w:after="32"/>
              <w:jc w:val="right"/>
            </w:pPr>
            <w:r/>
            <w:r>
              <w:rPr>
                <w:rFonts w:ascii="Calibri" w:hAnsi="Calibri"/>
                <w:b w:val="0"/>
                <w:i w:val="0"/>
                <w:color w:val="101010"/>
                <w:sz w:val="16"/>
              </w:rPr>
              <w:t>+0.22</w:t>
            </w:r>
          </w:p>
        </w:tc>
        <w:tc>
          <w:tcPr>
            <w:tcW w:type="dxa" w:w="3744"/>
            <w:tcBorders>
              <w:bottom w:val="single" w:sz="3" w:color="DEDCD6"/>
            </w:tcBorders>
          </w:tcPr>
          <w:p>
            <w:pPr>
              <w:spacing w:before="32" w:after="32"/>
              <w:jc w:val="left"/>
            </w:pPr>
            <w:r/>
            <w:r>
              <w:rPr>
                <w:rFonts w:ascii="Calibri" w:hAnsi="Calibri"/>
                <w:b w:val="0"/>
                <w:i w:val="0"/>
                <w:color w:val="101010"/>
                <w:sz w:val="16"/>
              </w:rPr>
              <w:t>Transition satellite</w:t>
            </w:r>
          </w:p>
        </w:tc>
      </w:tr>
      <w:tr>
        <w:tc>
          <w:tcPr>
            <w:tcW w:type="dxa" w:w="1152"/>
            <w:tcBorders>
              <w:bottom w:val="single" w:sz="3" w:color="DEDCD6"/>
            </w:tcBorders>
          </w:tcPr>
          <w:p>
            <w:pPr>
              <w:spacing w:before="32" w:after="32"/>
              <w:jc w:val="left"/>
            </w:pPr>
            <w:r/>
            <w:r>
              <w:rPr>
                <w:rFonts w:ascii="Calibri" w:hAnsi="Calibri"/>
                <w:b w:val="0"/>
                <w:i w:val="0"/>
                <w:color w:val="101010"/>
                <w:sz w:val="16"/>
              </w:rPr>
              <w:t>EOG</w:t>
            </w:r>
          </w:p>
        </w:tc>
        <w:tc>
          <w:tcPr>
            <w:tcW w:type="dxa" w:w="1584"/>
            <w:tcBorders>
              <w:bottom w:val="single" w:sz="3" w:color="DEDCD6"/>
            </w:tcBorders>
          </w:tcPr>
          <w:p>
            <w:pPr>
              <w:spacing w:before="32" w:after="32"/>
              <w:jc w:val="right"/>
            </w:pPr>
            <w:r/>
            <w:r>
              <w:rPr>
                <w:rFonts w:ascii="Calibri" w:hAnsi="Calibri"/>
                <w:b w:val="0"/>
                <w:i w:val="0"/>
                <w:color w:val="101010"/>
                <w:sz w:val="16"/>
              </w:rPr>
              <w:t>1.00</w:t>
            </w:r>
          </w:p>
        </w:tc>
        <w:tc>
          <w:tcPr>
            <w:tcW w:type="dxa" w:w="1656"/>
            <w:tcBorders>
              <w:bottom w:val="single" w:sz="3" w:color="DEDCD6"/>
            </w:tcBorders>
          </w:tcPr>
          <w:p>
            <w:pPr>
              <w:spacing w:before="32" w:after="32"/>
              <w:jc w:val="right"/>
            </w:pPr>
            <w:r/>
            <w:r>
              <w:rPr>
                <w:rFonts w:ascii="Calibri" w:hAnsi="Calibri"/>
                <w:b w:val="0"/>
                <w:i w:val="0"/>
                <w:color w:val="101010"/>
                <w:sz w:val="16"/>
              </w:rPr>
              <w:t>0.34</w:t>
            </w:r>
          </w:p>
        </w:tc>
        <w:tc>
          <w:tcPr>
            <w:tcW w:type="dxa" w:w="1152"/>
            <w:tcBorders>
              <w:bottom w:val="single" w:sz="3" w:color="DEDCD6"/>
            </w:tcBorders>
          </w:tcPr>
          <w:p>
            <w:pPr>
              <w:spacing w:before="32" w:after="32"/>
              <w:jc w:val="right"/>
            </w:pPr>
            <w:r/>
            <w:r>
              <w:rPr>
                <w:rFonts w:ascii="Calibri" w:hAnsi="Calibri"/>
                <w:b/>
                <w:i w:val="0"/>
                <w:color w:val="101010"/>
                <w:sz w:val="16"/>
              </w:rPr>
              <w:t>−0.66</w:t>
            </w:r>
          </w:p>
        </w:tc>
        <w:tc>
          <w:tcPr>
            <w:tcW w:type="dxa" w:w="3744"/>
            <w:tcBorders>
              <w:bottom w:val="single" w:sz="3" w:color="DEDCD6"/>
            </w:tcBorders>
          </w:tcPr>
          <w:p>
            <w:pPr>
              <w:spacing w:before="32" w:after="32"/>
              <w:jc w:val="left"/>
            </w:pPr>
            <w:r/>
            <w:r>
              <w:rPr>
                <w:rFonts w:ascii="Calibri" w:hAnsi="Calibri"/>
                <w:b w:val="0"/>
                <w:i w:val="0"/>
                <w:color w:val="101010"/>
                <w:sz w:val="16"/>
              </w:rPr>
              <w:t>Priced leader, fund the book</w:t>
            </w:r>
          </w:p>
        </w:tc>
      </w:tr>
      <w:tr>
        <w:tc>
          <w:tcPr>
            <w:tcW w:type="dxa" w:w="1152"/>
            <w:tcBorders>
              <w:bottom w:val="single" w:sz="3" w:color="DEDCD6"/>
            </w:tcBorders>
          </w:tcPr>
          <w:p>
            <w:pPr>
              <w:spacing w:before="32" w:after="32"/>
              <w:jc w:val="left"/>
            </w:pPr>
            <w:r/>
            <w:r>
              <w:rPr>
                <w:rFonts w:ascii="Calibri" w:hAnsi="Calibri"/>
                <w:b w:val="0"/>
                <w:i w:val="0"/>
                <w:color w:val="101010"/>
                <w:sz w:val="16"/>
              </w:rPr>
              <w:t>XOM</w:t>
            </w:r>
          </w:p>
        </w:tc>
        <w:tc>
          <w:tcPr>
            <w:tcW w:type="dxa" w:w="1584"/>
            <w:tcBorders>
              <w:bottom w:val="single" w:sz="3" w:color="DEDCD6"/>
            </w:tcBorders>
          </w:tcPr>
          <w:p>
            <w:pPr>
              <w:spacing w:before="32" w:after="32"/>
              <w:jc w:val="right"/>
            </w:pPr>
            <w:r/>
            <w:r>
              <w:rPr>
                <w:rFonts w:ascii="Calibri" w:hAnsi="Calibri"/>
                <w:b w:val="0"/>
                <w:i w:val="0"/>
                <w:color w:val="101010"/>
                <w:sz w:val="16"/>
              </w:rPr>
              <w:t>0.72</w:t>
            </w:r>
          </w:p>
        </w:tc>
        <w:tc>
          <w:tcPr>
            <w:tcW w:type="dxa" w:w="1656"/>
            <w:tcBorders>
              <w:bottom w:val="single" w:sz="3" w:color="DEDCD6"/>
            </w:tcBorders>
          </w:tcPr>
          <w:p>
            <w:pPr>
              <w:spacing w:before="32" w:after="32"/>
              <w:jc w:val="right"/>
            </w:pPr>
            <w:r/>
            <w:r>
              <w:rPr>
                <w:rFonts w:ascii="Calibri" w:hAnsi="Calibri"/>
                <w:b w:val="0"/>
                <w:i w:val="0"/>
                <w:color w:val="101010"/>
                <w:sz w:val="16"/>
              </w:rPr>
              <w:t>0.26</w:t>
            </w:r>
          </w:p>
        </w:tc>
        <w:tc>
          <w:tcPr>
            <w:tcW w:type="dxa" w:w="1152"/>
            <w:tcBorders>
              <w:bottom w:val="single" w:sz="3" w:color="DEDCD6"/>
            </w:tcBorders>
          </w:tcPr>
          <w:p>
            <w:pPr>
              <w:spacing w:before="32" w:after="32"/>
              <w:jc w:val="right"/>
            </w:pPr>
            <w:r/>
            <w:r>
              <w:rPr>
                <w:rFonts w:ascii="Calibri" w:hAnsi="Calibri"/>
                <w:b w:val="0"/>
                <w:i w:val="0"/>
                <w:color w:val="101010"/>
                <w:sz w:val="16"/>
              </w:rPr>
              <w:t>−0.46</w:t>
            </w:r>
          </w:p>
        </w:tc>
        <w:tc>
          <w:tcPr>
            <w:tcW w:type="dxa" w:w="3744"/>
            <w:tcBorders>
              <w:bottom w:val="single" w:sz="3" w:color="DEDCD6"/>
            </w:tcBorders>
          </w:tcPr>
          <w:p>
            <w:pPr>
              <w:spacing w:before="32" w:after="32"/>
              <w:jc w:val="left"/>
            </w:pPr>
            <w:r/>
            <w:r>
              <w:rPr>
                <w:rFonts w:ascii="Calibri" w:hAnsi="Calibri"/>
                <w:b w:val="0"/>
                <w:i w:val="0"/>
                <w:color w:val="101010"/>
                <w:sz w:val="16"/>
              </w:rPr>
              <w:t>Priced leader, fund the book</w:t>
            </w:r>
          </w:p>
        </w:tc>
      </w:tr>
      <w:tr>
        <w:tc>
          <w:tcPr>
            <w:tcW w:type="dxa" w:w="1152"/>
            <w:tcBorders>
              <w:bottom w:val="single" w:sz="10" w:color="101010"/>
            </w:tcBorders>
          </w:tcPr>
          <w:p>
            <w:pPr>
              <w:spacing w:before="32" w:after="32"/>
              <w:jc w:val="left"/>
            </w:pPr>
            <w:r/>
            <w:r>
              <w:rPr>
                <w:rFonts w:ascii="Calibri" w:hAnsi="Calibri"/>
                <w:b w:val="0"/>
                <w:i w:val="0"/>
                <w:color w:val="101010"/>
                <w:sz w:val="16"/>
              </w:rPr>
              <w:t>EXE</w:t>
            </w:r>
          </w:p>
        </w:tc>
        <w:tc>
          <w:tcPr>
            <w:tcW w:type="dxa" w:w="1584"/>
            <w:tcBorders>
              <w:bottom w:val="single" w:sz="10" w:color="101010"/>
            </w:tcBorders>
          </w:tcPr>
          <w:p>
            <w:pPr>
              <w:spacing w:before="32" w:after="32"/>
              <w:jc w:val="right"/>
            </w:pPr>
            <w:r/>
            <w:r>
              <w:rPr>
                <w:rFonts w:ascii="Calibri" w:hAnsi="Calibri"/>
                <w:b w:val="0"/>
                <w:i w:val="0"/>
                <w:color w:val="101010"/>
                <w:sz w:val="16"/>
              </w:rPr>
              <w:t>0.99</w:t>
            </w:r>
          </w:p>
        </w:tc>
        <w:tc>
          <w:tcPr>
            <w:tcW w:type="dxa" w:w="1656"/>
            <w:tcBorders>
              <w:bottom w:val="single" w:sz="10" w:color="101010"/>
            </w:tcBorders>
          </w:tcPr>
          <w:p>
            <w:pPr>
              <w:spacing w:before="32" w:after="32"/>
              <w:jc w:val="right"/>
            </w:pPr>
            <w:r/>
            <w:r>
              <w:rPr>
                <w:rFonts w:ascii="Calibri" w:hAnsi="Calibri"/>
                <w:b w:val="0"/>
                <w:i w:val="0"/>
                <w:color w:val="101010"/>
                <w:sz w:val="16"/>
              </w:rPr>
              <w:t>0.62</w:t>
            </w:r>
          </w:p>
        </w:tc>
        <w:tc>
          <w:tcPr>
            <w:tcW w:type="dxa" w:w="1152"/>
            <w:tcBorders>
              <w:bottom w:val="single" w:sz="10" w:color="101010"/>
            </w:tcBorders>
          </w:tcPr>
          <w:p>
            <w:pPr>
              <w:spacing w:before="32" w:after="32"/>
              <w:jc w:val="right"/>
            </w:pPr>
            <w:r/>
            <w:r>
              <w:rPr>
                <w:rFonts w:ascii="Calibri" w:hAnsi="Calibri"/>
                <w:b w:val="0"/>
                <w:i w:val="0"/>
                <w:color w:val="101010"/>
                <w:sz w:val="16"/>
              </w:rPr>
              <w:t>−0.38</w:t>
            </w:r>
          </w:p>
        </w:tc>
        <w:tc>
          <w:tcPr>
            <w:tcW w:type="dxa" w:w="3744"/>
            <w:tcBorders>
              <w:bottom w:val="single" w:sz="10" w:color="101010"/>
            </w:tcBorders>
          </w:tcPr>
          <w:p>
            <w:pPr>
              <w:spacing w:before="32" w:after="32"/>
              <w:jc w:val="left"/>
            </w:pPr>
            <w:r/>
            <w:r>
              <w:rPr>
                <w:rFonts w:ascii="Calibri" w:hAnsi="Calibri"/>
                <w:b w:val="0"/>
                <w:i w:val="0"/>
                <w:color w:val="101010"/>
                <w:sz w:val="16"/>
              </w:rPr>
              <w:t>Priced leader</w:t>
            </w:r>
          </w:p>
        </w:tc>
      </w:tr>
    </w:tbl>
    <w:p>
      <w:pPr>
        <w:spacing w:before="220" w:after="40"/>
        <w:keepNext/>
      </w:pPr>
      <w:r>
        <w:rPr>
          <w:rFonts w:ascii="Calibri" w:hAnsi="Calibri"/>
          <w:b/>
          <w:color w:val="C04A12"/>
          <w:sz w:val="21"/>
        </w:rPr>
        <w:t>8.3 The allocation</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160"/>
            <w:shd w:val="clear" w:fill="F6F5F2"/>
            <w:tcBorders>
              <w:top w:val="single" w:sz="10" w:color="101010"/>
              <w:bottom w:val="single" w:sz="5" w:color="6B6A63"/>
            </w:tcBorders>
          </w:tcPr>
          <w:p>
            <w:pPr>
              <w:spacing w:before="32" w:after="32"/>
              <w:jc w:val="left"/>
            </w:pPr>
            <w:r/>
            <w:r>
              <w:rPr>
                <w:rFonts w:ascii="Calibri" w:hAnsi="Calibri"/>
                <w:b/>
                <w:i w:val="0"/>
                <w:color w:val="3D3C38"/>
                <w:sz w:val="15"/>
              </w:rPr>
              <w:t>Sleeve</w:t>
            </w:r>
          </w:p>
        </w:tc>
        <w:tc>
          <w:tcPr>
            <w:tcW w:type="dxa" w:w="648"/>
            <w:shd w:val="clear" w:fill="F6F5F2"/>
            <w:tcBorders>
              <w:top w:val="single" w:sz="10" w:color="101010"/>
              <w:bottom w:val="single" w:sz="5" w:color="6B6A63"/>
            </w:tcBorders>
          </w:tcPr>
          <w:p>
            <w:pPr>
              <w:spacing w:before="32" w:after="32"/>
              <w:jc w:val="left"/>
            </w:pPr>
            <w:r/>
            <w:r>
              <w:rPr>
                <w:rFonts w:ascii="Calibri" w:hAnsi="Calibri"/>
                <w:b/>
                <w:i w:val="0"/>
                <w:color w:val="3D3C38"/>
                <w:sz w:val="15"/>
              </w:rPr>
              <w:t>$m</w:t>
            </w:r>
          </w:p>
        </w:tc>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Selection rule</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Return source</w:t>
            </w:r>
          </w:p>
        </w:tc>
      </w:tr>
      <w:tr>
        <w:tc>
          <w:tcPr>
            <w:tcW w:type="dxa" w:w="2160"/>
            <w:tcBorders>
              <w:bottom w:val="single" w:sz="3" w:color="DEDCD6"/>
            </w:tcBorders>
          </w:tcPr>
          <w:p>
            <w:pPr>
              <w:spacing w:before="32" w:after="32"/>
              <w:jc w:val="left"/>
            </w:pPr>
            <w:r/>
            <w:r>
              <w:rPr>
                <w:rFonts w:ascii="Calibri" w:hAnsi="Calibri"/>
                <w:b/>
                <w:i w:val="0"/>
                <w:color w:val="101010"/>
                <w:sz w:val="16"/>
              </w:rPr>
              <w:t>Trajectory long</w:t>
            </w:r>
          </w:p>
        </w:tc>
        <w:tc>
          <w:tcPr>
            <w:tcW w:type="dxa" w:w="648"/>
            <w:tcBorders>
              <w:bottom w:val="single" w:sz="3" w:color="DEDCD6"/>
            </w:tcBorders>
          </w:tcPr>
          <w:p>
            <w:pPr>
              <w:spacing w:before="32" w:after="32"/>
              <w:jc w:val="left"/>
            </w:pPr>
            <w:r/>
            <w:r>
              <w:rPr>
                <w:rFonts w:ascii="Calibri" w:hAnsi="Calibri"/>
                <w:b w:val="0"/>
                <w:i w:val="0"/>
                <w:color w:val="101010"/>
                <w:sz w:val="16"/>
              </w:rPr>
              <w:t>350</w:t>
            </w:r>
          </w:p>
        </w:tc>
        <w:tc>
          <w:tcPr>
            <w:tcW w:type="dxa" w:w="3744"/>
            <w:tcBorders>
              <w:bottom w:val="single" w:sz="3" w:color="DEDCD6"/>
            </w:tcBorders>
          </w:tcPr>
          <w:p>
            <w:pPr>
              <w:spacing w:before="32" w:after="32"/>
              <w:jc w:val="left"/>
            </w:pPr>
            <w:r/>
            <w:r>
              <w:rPr>
                <w:rFonts w:ascii="Calibri" w:hAnsi="Calibri"/>
                <w:b w:val="0"/>
                <w:i w:val="0"/>
                <w:color w:val="101010"/>
                <w:sz w:val="16"/>
              </w:rPr>
              <w:t>top quartile of Δ = P(B) − P(A), excluding Δ driven by a base below 0.05</w:t>
            </w:r>
          </w:p>
        </w:tc>
        <w:tc>
          <w:tcPr>
            <w:tcW w:type="dxa" w:w="3312"/>
            <w:tcBorders>
              <w:bottom w:val="single" w:sz="3" w:color="DEDCD6"/>
            </w:tcBorders>
          </w:tcPr>
          <w:p>
            <w:pPr>
              <w:spacing w:before="32" w:after="32"/>
              <w:jc w:val="left"/>
            </w:pPr>
            <w:r/>
            <w:r>
              <w:rPr>
                <w:rFonts w:ascii="Calibri" w:hAnsi="Calibri"/>
                <w:b w:val="0"/>
                <w:i w:val="0"/>
                <w:color w:val="101010"/>
                <w:sz w:val="16"/>
              </w:rPr>
              <w:t>Question-B re-rating as scoring regimes reweight toward progress</w:t>
            </w:r>
          </w:p>
        </w:tc>
      </w:tr>
      <w:tr>
        <w:tc>
          <w:tcPr>
            <w:tcW w:type="dxa" w:w="2160"/>
            <w:tcBorders>
              <w:bottom w:val="single" w:sz="3" w:color="DEDCD6"/>
            </w:tcBorders>
          </w:tcPr>
          <w:p>
            <w:pPr>
              <w:spacing w:before="32" w:after="32"/>
              <w:jc w:val="left"/>
            </w:pPr>
            <w:r/>
            <w:r>
              <w:rPr>
                <w:rFonts w:ascii="Calibri" w:hAnsi="Calibri"/>
                <w:b/>
                <w:i w:val="0"/>
                <w:color w:val="101010"/>
                <w:sz w:val="16"/>
              </w:rPr>
              <w:t>Convention long</w:t>
            </w:r>
          </w:p>
        </w:tc>
        <w:tc>
          <w:tcPr>
            <w:tcW w:type="dxa" w:w="648"/>
            <w:tcBorders>
              <w:bottom w:val="single" w:sz="3" w:color="DEDCD6"/>
            </w:tcBorders>
          </w:tcPr>
          <w:p>
            <w:pPr>
              <w:spacing w:before="32" w:after="32"/>
              <w:jc w:val="left"/>
            </w:pPr>
            <w:r/>
            <w:r>
              <w:rPr>
                <w:rFonts w:ascii="Calibri" w:hAnsi="Calibri"/>
                <w:b w:val="0"/>
                <w:i w:val="0"/>
                <w:color w:val="101010"/>
                <w:sz w:val="16"/>
              </w:rPr>
              <w:t>250</w:t>
            </w:r>
          </w:p>
        </w:tc>
        <w:tc>
          <w:tcPr>
            <w:tcW w:type="dxa" w:w="3744"/>
            <w:tcBorders>
              <w:bottom w:val="single" w:sz="3" w:color="DEDCD6"/>
            </w:tcBorders>
          </w:tcPr>
          <w:p>
            <w:pPr>
              <w:spacing w:before="32" w:after="32"/>
              <w:jc w:val="left"/>
            </w:pPr>
            <w:r/>
            <w:r>
              <w:rPr>
                <w:rFonts w:ascii="Calibri" w:hAnsi="Calibri"/>
                <w:b w:val="0"/>
                <w:i w:val="0"/>
                <w:color w:val="101010"/>
                <w:sz w:val="16"/>
              </w:rPr>
              <w:t xml:space="preserve">companies whose P </w:t>
            </w:r>
            <w:r>
              <w:rPr>
                <w:rFonts w:ascii="Calibri" w:hAnsi="Calibri"/>
                <w:b w:val="0"/>
                <w:i/>
                <w:color w:val="101010"/>
                <w:sz w:val="16"/>
              </w:rPr>
              <w:t>rises</w:t>
            </w:r>
            <w:r>
              <w:rPr>
                <w:rFonts w:ascii="Calibri" w:hAnsi="Calibri"/>
                <w:b w:val="0"/>
                <w:i w:val="0"/>
                <w:color w:val="101010"/>
                <w:sz w:val="16"/>
              </w:rPr>
              <w:t xml:space="preserve"> as the missing-data rule hardens, they have already paid the disclosure cost</w:t>
            </w:r>
          </w:p>
        </w:tc>
        <w:tc>
          <w:tcPr>
            <w:tcW w:type="dxa" w:w="3312"/>
            <w:tcBorders>
              <w:bottom w:val="single" w:sz="3" w:color="DEDCD6"/>
            </w:tcBorders>
          </w:tcPr>
          <w:p>
            <w:pPr>
              <w:spacing w:before="32" w:after="32"/>
              <w:jc w:val="left"/>
            </w:pPr>
            <w:r/>
            <w:r>
              <w:rPr>
                <w:rFonts w:ascii="Calibri" w:hAnsi="Calibri"/>
                <w:b w:val="0"/>
                <w:i w:val="0"/>
                <w:color w:val="101010"/>
                <w:sz w:val="16"/>
              </w:rPr>
              <w:t>CSRD/ISSB tightening; no capex, no technology risk</w:t>
            </w:r>
          </w:p>
        </w:tc>
      </w:tr>
      <w:tr>
        <w:tc>
          <w:tcPr>
            <w:tcW w:type="dxa" w:w="2160"/>
            <w:tcBorders>
              <w:bottom w:val="single" w:sz="3" w:color="DEDCD6"/>
            </w:tcBorders>
          </w:tcPr>
          <w:p>
            <w:pPr>
              <w:spacing w:before="32" w:after="32"/>
              <w:jc w:val="left"/>
            </w:pPr>
            <w:r/>
            <w:r>
              <w:rPr>
                <w:rFonts w:ascii="Calibri" w:hAnsi="Calibri"/>
                <w:b/>
                <w:i w:val="0"/>
                <w:color w:val="101010"/>
                <w:sz w:val="16"/>
              </w:rPr>
              <w:t>Enablers</w:t>
            </w:r>
          </w:p>
        </w:tc>
        <w:tc>
          <w:tcPr>
            <w:tcW w:type="dxa" w:w="648"/>
            <w:tcBorders>
              <w:bottom w:val="single" w:sz="3" w:color="DEDCD6"/>
            </w:tcBorders>
          </w:tcPr>
          <w:p>
            <w:pPr>
              <w:spacing w:before="32" w:after="32"/>
              <w:jc w:val="left"/>
            </w:pPr>
            <w:r/>
            <w:r>
              <w:rPr>
                <w:rFonts w:ascii="Calibri" w:hAnsi="Calibri"/>
                <w:b w:val="0"/>
                <w:i w:val="0"/>
                <w:color w:val="101010"/>
                <w:sz w:val="16"/>
              </w:rPr>
              <w:t>150</w:t>
            </w:r>
          </w:p>
        </w:tc>
        <w:tc>
          <w:tcPr>
            <w:tcW w:type="dxa" w:w="3744"/>
            <w:tcBorders>
              <w:bottom w:val="single" w:sz="3" w:color="DEDCD6"/>
            </w:tcBorders>
          </w:tcPr>
          <w:p>
            <w:pPr>
              <w:spacing w:before="32" w:after="32"/>
              <w:jc w:val="left"/>
            </w:pPr>
            <w:r/>
            <w:r>
              <w:rPr>
                <w:rFonts w:ascii="Calibri" w:hAnsi="Calibri"/>
                <w:b w:val="0"/>
                <w:i w:val="0"/>
                <w:color w:val="101010"/>
                <w:sz w:val="16"/>
              </w:rPr>
              <w:t>grid, cable and electrification suppliers, the bottleneck regardless of who wins</w:t>
            </w:r>
          </w:p>
        </w:tc>
        <w:tc>
          <w:tcPr>
            <w:tcW w:type="dxa" w:w="3312"/>
            <w:tcBorders>
              <w:bottom w:val="single" w:sz="3" w:color="DEDCD6"/>
            </w:tcBorders>
          </w:tcPr>
          <w:p>
            <w:pPr>
              <w:spacing w:before="32" w:after="32"/>
              <w:jc w:val="left"/>
            </w:pPr>
            <w:r/>
            <w:r>
              <w:rPr>
                <w:rFonts w:ascii="Calibri" w:hAnsi="Calibri"/>
                <w:b w:val="0"/>
                <w:i w:val="0"/>
                <w:color w:val="101010"/>
                <w:sz w:val="16"/>
              </w:rPr>
              <w:t>volume growth, not re-rating. Deliberately small: this is the most crowded trade</w:t>
            </w:r>
          </w:p>
        </w:tc>
      </w:tr>
      <w:tr>
        <w:tc>
          <w:tcPr>
            <w:tcW w:type="dxa" w:w="2160"/>
            <w:tcBorders>
              <w:bottom w:val="single" w:sz="3" w:color="DEDCD6"/>
            </w:tcBorders>
          </w:tcPr>
          <w:p>
            <w:pPr>
              <w:spacing w:before="32" w:after="32"/>
              <w:jc w:val="left"/>
            </w:pPr>
            <w:r/>
            <w:r>
              <w:rPr>
                <w:rFonts w:ascii="Calibri" w:hAnsi="Calibri"/>
                <w:b/>
                <w:i w:val="0"/>
                <w:color w:val="101010"/>
                <w:sz w:val="16"/>
              </w:rPr>
              <w:t>Structural short / underweight</w:t>
            </w:r>
          </w:p>
        </w:tc>
        <w:tc>
          <w:tcPr>
            <w:tcW w:type="dxa" w:w="648"/>
            <w:tcBorders>
              <w:bottom w:val="single" w:sz="3" w:color="DEDCD6"/>
            </w:tcBorders>
          </w:tcPr>
          <w:p>
            <w:pPr>
              <w:spacing w:before="32" w:after="32"/>
              <w:jc w:val="left"/>
            </w:pPr>
            <w:r/>
            <w:r>
              <w:rPr>
                <w:rFonts w:ascii="Calibri" w:hAnsi="Calibri"/>
                <w:b w:val="0"/>
                <w:i w:val="0"/>
                <w:color w:val="101010"/>
                <w:sz w:val="16"/>
              </w:rPr>
              <w:t>−150</w:t>
            </w:r>
          </w:p>
        </w:tc>
        <w:tc>
          <w:tcPr>
            <w:tcW w:type="dxa" w:w="3744"/>
            <w:tcBorders>
              <w:bottom w:val="single" w:sz="3" w:color="DEDCD6"/>
            </w:tcBorders>
          </w:tcPr>
          <w:p>
            <w:pPr>
              <w:spacing w:before="32" w:after="32"/>
              <w:jc w:val="left"/>
            </w:pPr>
            <w:r/>
            <w:r>
              <w:rPr>
                <w:rFonts w:ascii="Calibri" w:hAnsi="Calibri"/>
                <w:b w:val="0"/>
                <w:i w:val="0"/>
                <w:color w:val="101010"/>
                <w:sz w:val="16"/>
              </w:rPr>
              <w:t xml:space="preserve">P(A) &lt; 0.2 </w:t>
            </w:r>
            <w:r>
              <w:rPr>
                <w:rFonts w:ascii="Calibri" w:hAnsi="Calibri"/>
                <w:b/>
                <w:i w:val="0"/>
                <w:color w:val="101010"/>
                <w:sz w:val="16"/>
              </w:rPr>
              <w:t>and</w:t>
            </w:r>
            <w:r>
              <w:rPr>
                <w:rFonts w:ascii="Calibri" w:hAnsi="Calibri"/>
                <w:b w:val="0"/>
                <w:i w:val="0"/>
                <w:color w:val="101010"/>
                <w:sz w:val="16"/>
              </w:rPr>
              <w:t xml:space="preserve"> Δ &lt; 0.05 bad today and not moving</w:t>
            </w:r>
          </w:p>
        </w:tc>
        <w:tc>
          <w:tcPr>
            <w:tcW w:type="dxa" w:w="3312"/>
            <w:tcBorders>
              <w:bottom w:val="single" w:sz="3" w:color="DEDCD6"/>
            </w:tcBorders>
          </w:tcPr>
          <w:p>
            <w:pPr>
              <w:spacing w:before="32" w:after="32"/>
              <w:jc w:val="left"/>
            </w:pPr>
            <w:r/>
            <w:r>
              <w:rPr>
                <w:rFonts w:ascii="Calibri" w:hAnsi="Calibri"/>
                <w:b w:val="0"/>
                <w:i w:val="0"/>
                <w:color w:val="101010"/>
                <w:sz w:val="16"/>
              </w:rPr>
              <w:t>funds the book; isolates transition alpha from sector beta</w:t>
            </w:r>
          </w:p>
        </w:tc>
      </w:tr>
      <w:tr>
        <w:tc>
          <w:tcPr>
            <w:tcW w:type="dxa" w:w="2160"/>
            <w:tcBorders>
              <w:bottom w:val="single" w:sz="10" w:color="101010"/>
            </w:tcBorders>
          </w:tcPr>
          <w:p>
            <w:pPr>
              <w:spacing w:before="32" w:after="32"/>
              <w:jc w:val="left"/>
            </w:pPr>
            <w:r/>
            <w:r>
              <w:rPr>
                <w:rFonts w:ascii="Calibri" w:hAnsi="Calibri"/>
                <w:b/>
                <w:i w:val="0"/>
                <w:color w:val="101010"/>
                <w:sz w:val="16"/>
              </w:rPr>
              <w:t>Dry powder</w:t>
            </w:r>
          </w:p>
        </w:tc>
        <w:tc>
          <w:tcPr>
            <w:tcW w:type="dxa" w:w="648"/>
            <w:tcBorders>
              <w:bottom w:val="single" w:sz="10" w:color="101010"/>
            </w:tcBorders>
          </w:tcPr>
          <w:p>
            <w:pPr>
              <w:spacing w:before="32" w:after="32"/>
              <w:jc w:val="left"/>
            </w:pPr>
            <w:r/>
            <w:r>
              <w:rPr>
                <w:rFonts w:ascii="Calibri" w:hAnsi="Calibri"/>
                <w:b w:val="0"/>
                <w:i w:val="0"/>
                <w:color w:val="101010"/>
                <w:sz w:val="16"/>
              </w:rPr>
              <w:t>250</w:t>
            </w:r>
          </w:p>
        </w:tc>
        <w:tc>
          <w:tcPr>
            <w:tcW w:type="dxa" w:w="3744"/>
            <w:tcBorders>
              <w:bottom w:val="single" w:sz="10" w:color="101010"/>
            </w:tcBorders>
          </w:tcPr>
          <w:p>
            <w:pPr>
              <w:spacing w:before="32" w:after="32"/>
              <w:jc w:val="left"/>
            </w:pPr>
            <w:r/>
            <w:r>
              <w:rPr>
                <w:rFonts w:ascii="Calibri" w:hAnsi="Calibri"/>
                <w:b w:val="0"/>
                <w:i w:val="0"/>
                <w:color w:val="101010"/>
                <w:sz w:val="16"/>
              </w:rPr>
              <w:t>deploy on a 15% drawdown in the trajectory sleeve within 90 days, else revert to benchmark</w:t>
            </w:r>
          </w:p>
        </w:tc>
        <w:tc>
          <w:tcPr>
            <w:tcW w:type="dxa" w:w="3312"/>
            <w:tcBorders>
              <w:bottom w:val="single" w:sz="10" w:color="101010"/>
            </w:tcBorders>
          </w:tcPr>
          <w:p>
            <w:pPr>
              <w:spacing w:before="32" w:after="32"/>
              <w:jc w:val="left"/>
            </w:pPr>
            <w:r/>
            <w:r>
              <w:rPr>
                <w:rFonts w:ascii="Calibri" w:hAnsi="Calibri"/>
                <w:b w:val="0"/>
                <w:i w:val="0"/>
                <w:color w:val="101010"/>
                <w:sz w:val="16"/>
              </w:rPr>
              <w:t>indiscriminate post-announcement selling</w:t>
            </w:r>
          </w:p>
        </w:tc>
      </w:tr>
    </w:tbl>
    <w:p>
      <w:pPr>
        <w:spacing w:before="0" w:after="100"/>
        <w:jc w:val="both"/>
      </w:pPr>
      <w:r>
        <w:rPr>
          <w:rFonts w:ascii="Calibri" w:hAnsi="Calibri"/>
          <w:b/>
          <w:i w:val="0"/>
          <w:color w:val="101010"/>
          <w:sz w:val="19"/>
        </w:rPr>
        <w:t>Three disciplines that follow from the framework and not from taste.</w:t>
      </w:r>
      <w:r>
        <w:rPr>
          <w:rFonts w:ascii="Calibri" w:hAnsi="Calibri"/>
          <w:b w:val="0"/>
          <w:i w:val="0"/>
          <w:color w:val="101010"/>
          <w:sz w:val="19"/>
        </w:rPr>
        <w:t xml:space="preserve"> </w:t>
      </w:r>
      <w:r>
        <w:rPr>
          <w:rFonts w:ascii="Calibri" w:hAnsi="Calibri"/>
          <w:b w:val="0"/>
          <w:i/>
          <w:color w:val="101010"/>
          <w:sz w:val="19"/>
        </w:rPr>
        <w:t>Size by P, not by conviction</w:t>
      </w:r>
      <w:r>
        <w:rPr>
          <w:rFonts w:ascii="Calibri" w:hAnsi="Calibri"/>
          <w:b w:val="0"/>
          <w:i w:val="0"/>
          <w:color w:val="101010"/>
          <w:sz w:val="19"/>
        </w:rPr>
        <w:t xml:space="preserve">: a company at Δ = +0.61 gets more than one at +0.22 because the measure is a probability. </w:t>
      </w:r>
      <w:r>
        <w:rPr>
          <w:rFonts w:ascii="Calibri" w:hAnsi="Calibri"/>
          <w:b w:val="0"/>
          <w:i/>
          <w:color w:val="101010"/>
          <w:sz w:val="19"/>
        </w:rPr>
        <w:t>Cap correlated clusters</w:t>
      </w:r>
      <w:r>
        <w:rPr>
          <w:rFonts w:ascii="Calibri" w:hAnsi="Calibri"/>
          <w:b w:val="0"/>
          <w:i w:val="0"/>
          <w:color w:val="101010"/>
          <w:sz w:val="19"/>
        </w:rPr>
        <w:t xml:space="preserve">: names whose transition depends on the same input, cheap hydrogen, a high carbon price, count once against a cluster limit, not three times. </w:t>
      </w:r>
      <w:r>
        <w:rPr>
          <w:rFonts w:ascii="Calibri" w:hAnsi="Calibri"/>
          <w:b w:val="0"/>
          <w:i/>
          <w:color w:val="101010"/>
          <w:sz w:val="19"/>
        </w:rPr>
        <w:t>Exit into eligibility</w:t>
      </w:r>
      <w:r>
        <w:rPr>
          <w:rFonts w:ascii="Calibri" w:hAnsi="Calibri"/>
          <w:b w:val="0"/>
          <w:i w:val="0"/>
          <w:color w:val="101010"/>
          <w:sz w:val="19"/>
        </w:rPr>
        <w:t xml:space="preserve">: Pástor, Stambaugh &amp; Taylor (2021) show green assets earn </w:t>
      </w:r>
      <w:r>
        <w:rPr>
          <w:rFonts w:ascii="Calibri" w:hAnsi="Calibri"/>
          <w:b/>
          <w:i w:val="0"/>
          <w:color w:val="101010"/>
          <w:sz w:val="19"/>
        </w:rPr>
        <w:t>lower</w:t>
      </w:r>
      <w:r>
        <w:rPr>
          <w:rFonts w:ascii="Calibri" w:hAnsi="Calibri"/>
          <w:b w:val="0"/>
          <w:i w:val="0"/>
          <w:color w:val="101010"/>
          <w:sz w:val="19"/>
        </w:rPr>
        <w:t xml:space="preserve"> expected returns in equilibrium, so this is a repricing trade with an endpoint. Sell when P(A) exceeds 0.8.</w:t>
      </w:r>
    </w:p>
    <w:p>
      <w:pPr>
        <w:spacing w:before="220" w:after="40"/>
        <w:keepNext/>
      </w:pPr>
      <w:r>
        <w:rPr>
          <w:rFonts w:ascii="Calibri" w:hAnsi="Calibri"/>
          <w:b/>
          <w:color w:val="C04A12"/>
          <w:sz w:val="21"/>
        </w:rPr>
        <w:t>8.4 What the framework cannot decide, and we will not pretend it can</w:t>
      </w:r>
    </w:p>
    <w:p>
      <w:pPr>
        <w:spacing w:before="0" w:after="100"/>
        <w:jc w:val="both"/>
      </w:pPr>
      <w:r>
        <w:rPr>
          <w:rFonts w:ascii="Calibri" w:hAnsi="Calibri"/>
          <w:b w:val="0"/>
          <w:i w:val="0"/>
          <w:color w:val="101010"/>
          <w:sz w:val="19"/>
        </w:rPr>
        <w:t xml:space="preserve">Our universe is 18 energy companies scored against each other. </w:t>
      </w:r>
      <w:r>
        <w:rPr>
          <w:rFonts w:ascii="Calibri" w:hAnsi="Calibri"/>
          <w:b/>
          <w:i w:val="0"/>
          <w:color w:val="101010"/>
          <w:sz w:val="19"/>
        </w:rPr>
        <w:t>It cannot rank Apple against ExxonMobil</w:t>
      </w:r>
      <w:r>
        <w:rPr>
          <w:rFonts w:ascii="Calibri" w:hAnsi="Calibri"/>
          <w:b w:val="0"/>
          <w:i w:val="0"/>
          <w:color w:val="101010"/>
          <w:sz w:val="19"/>
        </w:rPr>
        <w:t xml:space="preserve">, so a real $1bn book needs the same machinery run per sector with sector-neutral position limits. It has no view on the carbon price, on green hydrogen economics, or on whether transition capex earns its cost of capital, and that last one is decisive: converting high-ROCE fossil assets into regulated-return renewables can be ESG-accretive and value-dilutive at once. </w:t>
      </w:r>
      <w:r>
        <w:rPr>
          <w:rFonts w:ascii="Calibri" w:hAnsi="Calibri"/>
          <w:b/>
          <w:i w:val="0"/>
          <w:color w:val="101010"/>
          <w:sz w:val="19"/>
        </w:rPr>
        <w:t>Naming specific non-energy securities would be an opinion dressed as an output.</w:t>
      </w:r>
      <w:r>
        <w:rPr>
          <w:rFonts w:ascii="Calibri" w:hAnsi="Calibri"/>
          <w:b w:val="0"/>
          <w:i w:val="0"/>
          <w:color w:val="101010"/>
          <w:sz w:val="19"/>
        </w:rPr>
        <w:t xml:space="preserve"> The rule above is the output; the names in Exhibit 12 are the ones our data actually supports.</w:t>
      </w:r>
    </w:p>
    <w:p>
      <w:r>
        <w:br w:type="page"/>
      </w:r>
    </w:p>
    <w:p>
      <w:pPr>
        <w:spacing w:before="300" w:after="60"/>
        <w:pBdr>
          <w:bottom w:val="single" w:sz="10" w:color="101010" w:space="3"/>
        </w:pBdr>
        <w:keepNext/>
      </w:pPr>
      <w:r>
        <w:rPr>
          <w:rFonts w:ascii="Calibri" w:hAnsi="Calibri"/>
          <w:b/>
          <w:color w:val="101010"/>
          <w:sz w:val="28"/>
        </w:rPr>
        <w:t>Appendix A · The formula</w:t>
      </w:r>
    </w:p>
    <w:p>
      <w:pPr>
        <w:spacing w:before="0" w:after="100"/>
        <w:jc w:val="both"/>
      </w:pPr>
      <w:r>
        <w:rPr>
          <w:rFonts w:ascii="Calibri" w:hAnsi="Calibri"/>
          <w:b w:val="0"/>
          <w:i w:val="0"/>
          <w:color w:val="101010"/>
          <w:sz w:val="19"/>
        </w:rPr>
        <w:t xml:space="preserve">Indices: company </w:t>
      </w:r>
      <w:r>
        <w:rPr>
          <w:rFonts w:ascii="Calibri" w:hAnsi="Calibri"/>
          <w:b w:val="0"/>
          <w:i/>
          <w:color w:val="101010"/>
          <w:sz w:val="19"/>
        </w:rPr>
        <w:t>i</w:t>
      </w:r>
      <w:r>
        <w:rPr>
          <w:rFonts w:ascii="Calibri" w:hAnsi="Calibri"/>
          <w:b w:val="0"/>
          <w:i w:val="0"/>
          <w:color w:val="101010"/>
          <w:sz w:val="19"/>
        </w:rPr>
        <w:t xml:space="preserve"> = 1…18, field </w:t>
      </w:r>
      <w:r>
        <w:rPr>
          <w:rFonts w:ascii="Calibri" w:hAnsi="Calibri"/>
          <w:b w:val="0"/>
          <w:i/>
          <w:color w:val="101010"/>
          <w:sz w:val="19"/>
        </w:rPr>
        <w:t>f</w:t>
      </w:r>
      <w:r>
        <w:rPr>
          <w:rFonts w:ascii="Calibri" w:hAnsi="Calibri"/>
          <w:b w:val="0"/>
          <w:i w:val="0"/>
          <w:color w:val="101010"/>
          <w:sz w:val="19"/>
        </w:rPr>
        <w:t xml:space="preserve"> = 1…138, year </w:t>
      </w:r>
      <w:r>
        <w:rPr>
          <w:rFonts w:ascii="Calibri" w:hAnsi="Calibri"/>
          <w:b w:val="0"/>
          <w:i/>
          <w:color w:val="101010"/>
          <w:sz w:val="19"/>
        </w:rPr>
        <w:t>y</w:t>
      </w:r>
      <w:r>
        <w:rPr>
          <w:rFonts w:ascii="Calibri" w:hAnsi="Calibri"/>
          <w:b w:val="0"/>
          <w:i w:val="0"/>
          <w:color w:val="101010"/>
          <w:sz w:val="19"/>
        </w:rPr>
        <w:t xml:space="preserve"> = 1…5, base slot </w:t>
      </w:r>
      <w:r>
        <w:rPr>
          <w:rFonts w:ascii="Calibri" w:hAnsi="Calibri"/>
          <w:b w:val="0"/>
          <w:i/>
          <w:color w:val="101010"/>
          <w:sz w:val="19"/>
        </w:rPr>
        <w:t>b</w:t>
      </w:r>
      <w:r>
        <w:rPr>
          <w:rFonts w:ascii="Calibri" w:hAnsi="Calibri"/>
          <w:b w:val="0"/>
          <w:i w:val="0"/>
          <w:color w:val="101010"/>
          <w:sz w:val="19"/>
        </w:rPr>
        <w:t xml:space="preserve"> ∈ {1,2,3}, pillar </w:t>
      </w:r>
      <w:r>
        <w:rPr>
          <w:rFonts w:ascii="Calibri" w:hAnsi="Calibri"/>
          <w:b w:val="0"/>
          <w:i/>
          <w:color w:val="101010"/>
          <w:sz w:val="19"/>
        </w:rPr>
        <w:t>P</w:t>
      </w:r>
      <w:r>
        <w:rPr>
          <w:rFonts w:ascii="Calibri" w:hAnsi="Calibri"/>
          <w:b w:val="0"/>
          <w:i w:val="0"/>
          <w:color w:val="101010"/>
          <w:sz w:val="19"/>
        </w:rPr>
        <w:t xml:space="preserve"> ∈ {E, S, G, F}. Steps 1 to 5 produce a grade tensor and do not involve the pillar weights.</w:t>
      </w:r>
    </w:p>
    <w:tbl>
      <w:tblPr>
        <w:tblW w:type="auto" w:w="0"/>
        <w:jc w:val="center"/>
        <w:tblLayout w:type="fixed"/>
        <w:tblLook w:firstColumn="1" w:firstRow="1" w:lastColumn="0" w:lastRow="0" w:noHBand="0" w:noVBand="1" w:val="04A0"/>
      </w:tblPr>
      <w:tblGrid>
        <w:gridCol w:w="3278"/>
        <w:gridCol w:w="3278"/>
        <w:gridCol w:w="3278"/>
      </w:tblGrid>
      <w:tr>
        <w:tc>
          <w:tcPr>
            <w:tcW w:type="dxa" w:w="1512"/>
            <w:shd w:val="clear" w:fill="F6F5F2"/>
            <w:tcBorders>
              <w:top w:val="single" w:sz="10" w:color="101010"/>
              <w:bottom w:val="single" w:sz="5" w:color="6B6A63"/>
            </w:tcBorders>
          </w:tcPr>
          <w:p>
            <w:pPr>
              <w:spacing w:before="32" w:after="32"/>
              <w:jc w:val="left"/>
            </w:pPr>
            <w:r/>
            <w:r>
              <w:rPr>
                <w:rFonts w:ascii="Calibri" w:hAnsi="Calibri"/>
                <w:b/>
                <w:i w:val="0"/>
                <w:color w:val="3D3C38"/>
                <w:sz w:val="15"/>
              </w:rPr>
              <w:t>Step</w:t>
            </w:r>
          </w:p>
        </w:tc>
        <w:tc>
          <w:tcPr>
            <w:tcW w:type="dxa" w:w="3600"/>
            <w:shd w:val="clear" w:fill="F6F5F2"/>
            <w:tcBorders>
              <w:top w:val="single" w:sz="10" w:color="101010"/>
              <w:bottom w:val="single" w:sz="5" w:color="6B6A63"/>
            </w:tcBorders>
          </w:tcPr>
          <w:p>
            <w:pPr>
              <w:spacing w:before="32" w:after="32"/>
              <w:jc w:val="left"/>
            </w:pPr>
            <w:r/>
            <w:r>
              <w:rPr>
                <w:rFonts w:ascii="Calibri" w:hAnsi="Calibri"/>
                <w:b/>
                <w:i w:val="0"/>
                <w:color w:val="3D3C38"/>
                <w:sz w:val="15"/>
              </w:rPr>
              <w:t>Operation</w:t>
            </w:r>
          </w:p>
        </w:tc>
        <w:tc>
          <w:tcPr>
            <w:tcW w:type="dxa" w:w="4824"/>
            <w:shd w:val="clear" w:fill="F6F5F2"/>
            <w:tcBorders>
              <w:top w:val="single" w:sz="10" w:color="101010"/>
              <w:bottom w:val="single" w:sz="5" w:color="6B6A63"/>
            </w:tcBorders>
          </w:tcPr>
          <w:p>
            <w:pPr>
              <w:spacing w:before="32" w:after="32"/>
              <w:jc w:val="left"/>
            </w:pPr>
            <w:r/>
            <w:r>
              <w:rPr>
                <w:rFonts w:ascii="Calibri" w:hAnsi="Calibri"/>
                <w:b/>
                <w:i w:val="0"/>
                <w:color w:val="3D3C38"/>
                <w:sz w:val="15"/>
              </w:rPr>
              <w:t>Detail</w:t>
            </w:r>
          </w:p>
        </w:tc>
      </w:tr>
      <w:tr>
        <w:tc>
          <w:tcPr>
            <w:tcW w:type="dxa" w:w="1512"/>
            <w:tcBorders>
              <w:bottom w:val="single" w:sz="3" w:color="DEDCD6"/>
            </w:tcBorders>
          </w:tcPr>
          <w:p>
            <w:pPr>
              <w:spacing w:before="32" w:after="32"/>
              <w:jc w:val="left"/>
            </w:pPr>
            <w:r/>
            <w:r>
              <w:rPr>
                <w:rFonts w:ascii="Calibri" w:hAnsi="Calibri"/>
                <w:b w:val="0"/>
                <w:i w:val="0"/>
                <w:color w:val="101010"/>
                <w:sz w:val="16"/>
              </w:rPr>
              <w:t>1 · exposure</w:t>
            </w:r>
          </w:p>
        </w:tc>
        <w:tc>
          <w:tcPr>
            <w:tcW w:type="dxa" w:w="3600"/>
            <w:tcBorders>
              <w:bottom w:val="single" w:sz="3" w:color="DEDCD6"/>
            </w:tcBorders>
          </w:tcPr>
          <w:p>
            <w:pPr>
              <w:spacing w:before="32" w:after="32"/>
              <w:jc w:val="left"/>
            </w:pPr>
            <w:r/>
            <w:r>
              <w:rPr>
                <w:rFonts w:ascii="Calibri" w:hAnsi="Calibri"/>
                <w:b w:val="0"/>
                <w:i w:val="0"/>
                <w:color w:val="101010"/>
                <w:sz w:val="16"/>
              </w:rPr>
              <w:t>x = VAR/BASE if type Q, else select variant b</w:t>
            </w:r>
          </w:p>
        </w:tc>
        <w:tc>
          <w:tcPr>
            <w:tcW w:type="dxa" w:w="4824"/>
            <w:tcBorders>
              <w:bottom w:val="single" w:sz="3" w:color="DEDCD6"/>
            </w:tcBorders>
          </w:tcPr>
          <w:p>
            <w:pPr>
              <w:spacing w:before="32" w:after="32"/>
              <w:jc w:val="left"/>
            </w:pPr>
            <w:r/>
            <w:r>
              <w:rPr>
                <w:rFonts w:ascii="Calibri" w:hAnsi="Calibri"/>
                <w:b w:val="0"/>
                <w:i w:val="0"/>
                <w:color w:val="101010"/>
                <w:sz w:val="16"/>
              </w:rPr>
              <w:t>one operator per type, so the divisor is applied exactly once</w:t>
            </w:r>
          </w:p>
        </w:tc>
      </w:tr>
      <w:tr>
        <w:tc>
          <w:tcPr>
            <w:tcW w:type="dxa" w:w="1512"/>
            <w:tcBorders>
              <w:bottom w:val="single" w:sz="3" w:color="DEDCD6"/>
            </w:tcBorders>
          </w:tcPr>
          <w:p>
            <w:pPr>
              <w:spacing w:before="32" w:after="32"/>
              <w:jc w:val="left"/>
            </w:pPr>
            <w:r/>
            <w:r>
              <w:rPr>
                <w:rFonts w:ascii="Calibri" w:hAnsi="Calibri"/>
                <w:b w:val="0"/>
                <w:i w:val="0"/>
                <w:color w:val="101010"/>
                <w:sz w:val="16"/>
              </w:rPr>
              <w:t>2 · window</w:t>
            </w:r>
          </w:p>
        </w:tc>
        <w:tc>
          <w:tcPr>
            <w:tcW w:type="dxa" w:w="3600"/>
            <w:tcBorders>
              <w:bottom w:val="single" w:sz="3" w:color="DEDCD6"/>
            </w:tcBorders>
          </w:tcPr>
          <w:p>
            <w:pPr>
              <w:spacing w:before="32" w:after="32"/>
              <w:jc w:val="left"/>
            </w:pPr>
            <w:r/>
            <w:r>
              <w:rPr>
                <w:rFonts w:ascii="Calibri" w:hAnsi="Calibri"/>
                <w:b w:val="0"/>
                <w:i w:val="0"/>
                <w:color w:val="101010"/>
                <w:sz w:val="16"/>
              </w:rPr>
              <w:t>latest reported · fixed FY2024 · 3-year mean</w:t>
            </w:r>
          </w:p>
        </w:tc>
        <w:tc>
          <w:tcPr>
            <w:tcW w:type="dxa" w:w="4824"/>
            <w:tcBorders>
              <w:bottom w:val="single" w:sz="3" w:color="DEDCD6"/>
            </w:tcBorders>
          </w:tcPr>
          <w:p>
            <w:pPr>
              <w:spacing w:before="32" w:after="32"/>
              <w:jc w:val="left"/>
            </w:pPr>
            <w:r/>
            <w:r>
              <w:rPr>
                <w:rFonts w:ascii="Calibri" w:hAnsi="Calibri"/>
                <w:b w:val="0"/>
                <w:i w:val="0"/>
                <w:color w:val="101010"/>
                <w:sz w:val="16"/>
              </w:rPr>
              <w:t>reductions run over years the company reported, not calendar columns</w:t>
            </w:r>
          </w:p>
        </w:tc>
      </w:tr>
      <w:tr>
        <w:tc>
          <w:tcPr>
            <w:tcW w:type="dxa" w:w="1512"/>
            <w:tcBorders>
              <w:bottom w:val="single" w:sz="3" w:color="DEDCD6"/>
            </w:tcBorders>
          </w:tcPr>
          <w:p>
            <w:pPr>
              <w:spacing w:before="32" w:after="32"/>
              <w:jc w:val="left"/>
            </w:pPr>
            <w:r/>
            <w:r>
              <w:rPr>
                <w:rFonts w:ascii="Calibri" w:hAnsi="Calibri"/>
                <w:b w:val="0"/>
                <w:i w:val="0"/>
                <w:color w:val="101010"/>
                <w:sz w:val="16"/>
              </w:rPr>
              <w:t>3 · direction</w:t>
            </w:r>
          </w:p>
        </w:tc>
        <w:tc>
          <w:tcPr>
            <w:tcW w:type="dxa" w:w="3600"/>
            <w:tcBorders>
              <w:bottom w:val="single" w:sz="3" w:color="DEDCD6"/>
            </w:tcBorders>
          </w:tcPr>
          <w:p>
            <w:pPr>
              <w:spacing w:before="32" w:after="32"/>
              <w:jc w:val="left"/>
            </w:pPr>
            <w:r/>
            <w:r>
              <w:rPr>
                <w:rFonts w:ascii="Calibri" w:hAnsi="Calibri"/>
                <w:b/>
                <w:i w:val="0"/>
                <w:color w:val="101010"/>
                <w:sz w:val="16"/>
              </w:rPr>
              <w:t>Question A</w:t>
            </w:r>
            <w:r>
              <w:rPr>
                <w:rFonts w:ascii="Calibri" w:hAnsi="Calibri"/>
                <w:b w:val="0"/>
                <w:i w:val="0"/>
                <w:color w:val="101010"/>
                <w:sz w:val="16"/>
              </w:rPr>
              <w:t xml:space="preserve"> level · </w:t>
            </w:r>
            <w:r>
              <w:rPr>
                <w:rFonts w:ascii="Calibri" w:hAnsi="Calibri"/>
                <w:b/>
                <w:i w:val="0"/>
                <w:color w:val="101010"/>
                <w:sz w:val="16"/>
              </w:rPr>
              <w:t>Question B</w:t>
            </w:r>
            <w:r>
              <w:rPr>
                <w:rFonts w:ascii="Calibri" w:hAnsi="Calibri"/>
                <w:b w:val="0"/>
                <w:i w:val="0"/>
                <w:color w:val="101010"/>
                <w:sz w:val="16"/>
              </w:rPr>
              <w:t xml:space="preserve"> change</w:t>
            </w:r>
          </w:p>
        </w:tc>
        <w:tc>
          <w:tcPr>
            <w:tcW w:type="dxa" w:w="4824"/>
            <w:tcBorders>
              <w:bottom w:val="single" w:sz="3" w:color="DEDCD6"/>
            </w:tcBorders>
          </w:tcPr>
          <w:p>
            <w:pPr>
              <w:spacing w:before="32" w:after="32"/>
              <w:jc w:val="left"/>
            </w:pPr>
            <w:r/>
            <w:r>
              <w:rPr>
                <w:rFonts w:ascii="Calibri" w:hAnsi="Calibri"/>
                <w:b w:val="0"/>
                <w:i w:val="0"/>
                <w:color w:val="101010"/>
                <w:sz w:val="16"/>
              </w:rPr>
              <w:t>separate grids</w:t>
            </w:r>
          </w:p>
        </w:tc>
      </w:tr>
      <w:tr>
        <w:tc>
          <w:tcPr>
            <w:tcW w:type="dxa" w:w="1512"/>
            <w:tcBorders>
              <w:bottom w:val="single" w:sz="3" w:color="DEDCD6"/>
            </w:tcBorders>
          </w:tcPr>
          <w:p>
            <w:pPr>
              <w:spacing w:before="32" w:after="32"/>
              <w:jc w:val="left"/>
            </w:pPr>
            <w:r/>
            <w:r>
              <w:rPr>
                <w:rFonts w:ascii="Calibri" w:hAnsi="Calibri"/>
                <w:b w:val="0"/>
                <w:i w:val="0"/>
                <w:color w:val="101010"/>
                <w:sz w:val="16"/>
              </w:rPr>
              <w:t>4 · orientation</w:t>
            </w:r>
          </w:p>
        </w:tc>
        <w:tc>
          <w:tcPr>
            <w:tcW w:type="dxa" w:w="3600"/>
            <w:tcBorders>
              <w:bottom w:val="single" w:sz="3" w:color="DEDCD6"/>
            </w:tcBorders>
          </w:tcPr>
          <w:p>
            <w:pPr>
              <w:spacing w:before="32" w:after="32"/>
              <w:jc w:val="left"/>
            </w:pPr>
            <w:r/>
            <w:r>
              <w:rPr>
                <w:rFonts w:ascii="Calibri" w:hAnsi="Calibri"/>
                <w:b w:val="0"/>
                <w:i w:val="0"/>
                <w:color w:val="101010"/>
                <w:sz w:val="16"/>
              </w:rPr>
              <w:t>u = pol · q, higher = worse</w:t>
            </w:r>
          </w:p>
        </w:tc>
        <w:tc>
          <w:tcPr>
            <w:tcW w:type="dxa" w:w="4824"/>
            <w:tcBorders>
              <w:bottom w:val="single" w:sz="3" w:color="DEDCD6"/>
            </w:tcBorders>
          </w:tcPr>
          <w:p>
            <w:pPr>
              <w:spacing w:before="32" w:after="32"/>
              <w:jc w:val="left"/>
            </w:pPr>
            <w:r/>
            <w:r>
              <w:rPr>
                <w:rFonts w:ascii="Calibri" w:hAnsi="Calibri"/>
                <w:b w:val="0"/>
                <w:i w:val="0"/>
                <w:color w:val="101010"/>
                <w:sz w:val="16"/>
              </w:rPr>
              <w:t>pol ∈ {+1, 0, −1}; 0 = deliberately neutral</w:t>
            </w:r>
          </w:p>
        </w:tc>
      </w:tr>
      <w:tr>
        <w:tc>
          <w:tcPr>
            <w:tcW w:type="dxa" w:w="1512"/>
            <w:tcBorders>
              <w:bottom w:val="single" w:sz="3" w:color="DEDCD6"/>
            </w:tcBorders>
          </w:tcPr>
          <w:p>
            <w:pPr>
              <w:spacing w:before="32" w:after="32"/>
              <w:jc w:val="left"/>
            </w:pPr>
            <w:r/>
            <w:r>
              <w:rPr>
                <w:rFonts w:ascii="Calibri" w:hAnsi="Calibri"/>
                <w:b w:val="0"/>
                <w:i w:val="0"/>
                <w:color w:val="101010"/>
                <w:sz w:val="16"/>
              </w:rPr>
              <w:t>5 · normalise</w:t>
            </w:r>
          </w:p>
        </w:tc>
        <w:tc>
          <w:tcPr>
            <w:tcW w:type="dxa" w:w="3600"/>
            <w:tcBorders>
              <w:bottom w:val="single" w:sz="3" w:color="DEDCD6"/>
            </w:tcBorders>
          </w:tcPr>
          <w:p>
            <w:pPr>
              <w:spacing w:before="32" w:after="32"/>
              <w:jc w:val="left"/>
            </w:pPr>
            <w:r/>
            <w:r>
              <w:rPr>
                <w:rFonts w:ascii="Calibri" w:hAnsi="Calibri"/>
                <w:b w:val="0"/>
                <w:i w:val="0"/>
                <w:color w:val="101010"/>
                <w:sz w:val="16"/>
              </w:rPr>
              <w:t>percentile · winsorised · log min-max · elasticity</w:t>
            </w:r>
          </w:p>
        </w:tc>
        <w:tc>
          <w:tcPr>
            <w:tcW w:type="dxa" w:w="4824"/>
            <w:tcBorders>
              <w:bottom w:val="single" w:sz="3" w:color="DEDCD6"/>
            </w:tcBorders>
          </w:tcPr>
          <w:p>
            <w:pPr>
              <w:spacing w:before="32" w:after="32"/>
              <w:jc w:val="left"/>
            </w:pPr>
            <w:r/>
            <w:r>
              <w:rPr>
                <w:rFonts w:ascii="Calibri" w:hAnsi="Calibri"/>
                <w:b w:val="0"/>
                <w:i w:val="0"/>
                <w:color w:val="101010"/>
                <w:sz w:val="16"/>
              </w:rPr>
              <w:t>elasticity falls back to log below 8 peers</w:t>
            </w:r>
          </w:p>
        </w:tc>
      </w:tr>
      <w:tr>
        <w:tc>
          <w:tcPr>
            <w:tcW w:type="dxa" w:w="1512"/>
            <w:tcBorders>
              <w:bottom w:val="single" w:sz="3" w:color="DEDCD6"/>
            </w:tcBorders>
          </w:tcPr>
          <w:p>
            <w:pPr>
              <w:spacing w:before="32" w:after="32"/>
              <w:jc w:val="left"/>
            </w:pPr>
            <w:r/>
            <w:r>
              <w:rPr>
                <w:rFonts w:ascii="Calibri" w:hAnsi="Calibri"/>
                <w:b w:val="0"/>
                <w:i w:val="0"/>
                <w:color w:val="101010"/>
                <w:sz w:val="16"/>
              </w:rPr>
              <w:t>6 · aggregate</w:t>
            </w:r>
          </w:p>
        </w:tc>
        <w:tc>
          <w:tcPr>
            <w:tcW w:type="dxa" w:w="3600"/>
            <w:tcBorders>
              <w:bottom w:val="single" w:sz="3" w:color="DEDCD6"/>
            </w:tcBorders>
          </w:tcPr>
          <w:p>
            <w:pPr>
              <w:spacing w:before="32" w:after="32"/>
              <w:jc w:val="left"/>
            </w:pPr>
            <w:r/>
            <w:r>
              <w:rPr>
                <w:rFonts w:ascii="Calibri" w:hAnsi="Calibri"/>
                <w:b w:val="0"/>
                <w:i w:val="0"/>
                <w:color w:val="101010"/>
                <w:sz w:val="16"/>
              </w:rPr>
              <w:t>M(x,w,p,s) = (Σ wⱼ(xⱼ+s)^p)^(1/p) − s, p = ½, s = 10</w:t>
            </w:r>
          </w:p>
        </w:tc>
        <w:tc>
          <w:tcPr>
            <w:tcW w:type="dxa" w:w="4824"/>
            <w:tcBorders>
              <w:bottom w:val="single" w:sz="3" w:color="DEDCD6"/>
            </w:tcBorders>
          </w:tcPr>
          <w:p>
            <w:pPr>
              <w:spacing w:before="32" w:after="32"/>
              <w:jc w:val="left"/>
            </w:pPr>
            <w:r/>
            <w:r>
              <w:rPr>
                <w:rFonts w:ascii="Calibri" w:hAnsi="Calibri"/>
                <w:b w:val="0"/>
                <w:i w:val="0"/>
                <w:color w:val="101010"/>
                <w:sz w:val="16"/>
              </w:rPr>
              <w:t>p=1 recovers MSCI's mean; p→0 the geometric</w:t>
            </w:r>
          </w:p>
        </w:tc>
      </w:tr>
      <w:tr>
        <w:tc>
          <w:tcPr>
            <w:tcW w:type="dxa" w:w="1512"/>
            <w:tcBorders>
              <w:bottom w:val="single" w:sz="3" w:color="DEDCD6"/>
            </w:tcBorders>
          </w:tcPr>
          <w:p>
            <w:pPr>
              <w:spacing w:before="32" w:after="32"/>
              <w:jc w:val="left"/>
            </w:pPr>
            <w:r/>
            <w:r>
              <w:rPr>
                <w:rFonts w:ascii="Calibri" w:hAnsi="Calibri"/>
                <w:b w:val="0"/>
                <w:i w:val="0"/>
                <w:color w:val="101010"/>
                <w:sz w:val="16"/>
              </w:rPr>
              <w:t>7 · rank</w:t>
            </w:r>
          </w:p>
        </w:tc>
        <w:tc>
          <w:tcPr>
            <w:tcW w:type="dxa" w:w="3600"/>
            <w:tcBorders>
              <w:bottom w:val="single" w:sz="3" w:color="DEDCD6"/>
            </w:tcBorders>
          </w:tcPr>
          <w:p>
            <w:pPr>
              <w:spacing w:before="32" w:after="32"/>
              <w:jc w:val="left"/>
            </w:pPr>
            <w:r/>
            <w:r>
              <w:rPr>
                <w:rFonts w:ascii="Calibri" w:hAnsi="Calibri"/>
                <w:b w:val="0"/>
                <w:i w:val="0"/>
                <w:color w:val="101010"/>
                <w:sz w:val="16"/>
              </w:rPr>
              <w:t>R = 100(N − ρ)/(N − 1)</w:t>
            </w:r>
          </w:p>
        </w:tc>
        <w:tc>
          <w:tcPr>
            <w:tcW w:type="dxa" w:w="4824"/>
            <w:tcBorders>
              <w:bottom w:val="single" w:sz="3" w:color="DEDCD6"/>
            </w:tcBorders>
          </w:tcPr>
          <w:p>
            <w:pPr>
              <w:spacing w:before="32" w:after="32"/>
              <w:jc w:val="left"/>
            </w:pPr>
            <w:r/>
            <w:r>
              <w:rPr>
                <w:rFonts w:ascii="Calibri" w:hAnsi="Calibri"/>
                <w:b w:val="0"/>
                <w:i w:val="0"/>
                <w:color w:val="101010"/>
                <w:sz w:val="16"/>
              </w:rPr>
              <w:t>average rank descending; 100 = best</w:t>
            </w:r>
          </w:p>
        </w:tc>
      </w:tr>
      <w:tr>
        <w:tc>
          <w:tcPr>
            <w:tcW w:type="dxa" w:w="1512"/>
            <w:tcBorders>
              <w:bottom w:val="single" w:sz="10" w:color="101010"/>
            </w:tcBorders>
          </w:tcPr>
          <w:p>
            <w:pPr>
              <w:spacing w:before="32" w:after="32"/>
              <w:jc w:val="left"/>
            </w:pPr>
            <w:r/>
            <w:r>
              <w:rPr>
                <w:rFonts w:ascii="Calibri" w:hAnsi="Calibri"/>
                <w:b w:val="0"/>
                <w:i w:val="0"/>
                <w:color w:val="101010"/>
                <w:sz w:val="16"/>
              </w:rPr>
              <w:t>8 · distribute</w:t>
            </w:r>
          </w:p>
        </w:tc>
        <w:tc>
          <w:tcPr>
            <w:tcW w:type="dxa" w:w="3600"/>
            <w:tcBorders>
              <w:bottom w:val="single" w:sz="10" w:color="101010"/>
            </w:tcBorders>
          </w:tcPr>
          <w:p>
            <w:pPr>
              <w:spacing w:before="32" w:after="32"/>
              <w:jc w:val="left"/>
            </w:pPr>
            <w:r/>
            <w:r>
              <w:rPr>
                <w:rFonts w:ascii="Calibri" w:hAnsi="Calibri"/>
                <w:b w:val="0"/>
                <w:i w:val="0"/>
                <w:color w:val="101010"/>
                <w:sz w:val="16"/>
              </w:rPr>
              <w:t>consensus = median R; contestation = IQR ÷ 5.88</w:t>
            </w:r>
          </w:p>
        </w:tc>
        <w:tc>
          <w:tcPr>
            <w:tcW w:type="dxa" w:w="4824"/>
            <w:tcBorders>
              <w:bottom w:val="single" w:sz="10" w:color="101010"/>
            </w:tcBorders>
          </w:tcPr>
          <w:p>
            <w:pPr>
              <w:spacing w:before="32" w:after="32"/>
              <w:jc w:val="left"/>
            </w:pPr>
            <w:r/>
            <w:r>
              <w:rPr>
                <w:rFonts w:ascii="Calibri" w:hAnsi="Calibri"/>
                <w:b w:val="0"/>
                <w:i w:val="0"/>
                <w:color w:val="101010"/>
                <w:sz w:val="16"/>
              </w:rPr>
              <w:t>reported in rank places</w:t>
            </w:r>
          </w:p>
        </w:tc>
      </w:tr>
    </w:tbl>
    <w:p>
      <w:pPr>
        <w:spacing w:before="0" w:after="100"/>
        <w:jc w:val="both"/>
      </w:pPr>
      <w:r>
        <w:rPr>
          <w:rFonts w:ascii="Calibri" w:hAnsi="Calibri"/>
          <w:b/>
          <w:i w:val="0"/>
          <w:color w:val="101010"/>
          <w:sz w:val="19"/>
        </w:rPr>
        <w:t>Order matters.</w:t>
      </w:r>
      <w:r>
        <w:rPr>
          <w:rFonts w:ascii="Calibri" w:hAnsi="Calibri"/>
          <w:b w:val="0"/>
          <w:i w:val="0"/>
          <w:color w:val="101010"/>
          <w:sz w:val="19"/>
        </w:rPr>
        <w:t xml:space="preserve"> Aggregate fields </w:t>
      </w:r>
      <w:r>
        <w:rPr>
          <w:rFonts w:ascii="Calibri" w:hAnsi="Calibri"/>
          <w:b w:val="0"/>
          <w:i/>
          <w:color w:val="101010"/>
          <w:sz w:val="19"/>
        </w:rPr>
        <w:t>inside</w:t>
      </w:r>
      <w:r>
        <w:rPr>
          <w:rFonts w:ascii="Calibri" w:hAnsi="Calibri"/>
          <w:b w:val="0"/>
          <w:i w:val="0"/>
          <w:color w:val="101010"/>
          <w:sz w:val="19"/>
        </w:rPr>
        <w:t xml:space="preserve"> each specification, then take the distribution </w:t>
      </w:r>
      <w:r>
        <w:rPr>
          <w:rFonts w:ascii="Calibri" w:hAnsi="Calibri"/>
          <w:b w:val="0"/>
          <w:i/>
          <w:color w:val="101010"/>
          <w:sz w:val="19"/>
        </w:rPr>
        <w:t>across</w:t>
      </w:r>
      <w:r>
        <w:rPr>
          <w:rFonts w:ascii="Calibri" w:hAnsi="Calibri"/>
          <w:b w:val="0"/>
          <w:i w:val="0"/>
          <w:color w:val="101010"/>
          <w:sz w:val="19"/>
        </w:rPr>
        <w:t xml:space="preserve"> specifications. Reversing them averages 138 fields first and collapses the spread.</w:t>
      </w:r>
    </w:p>
    <w:p>
      <w:pPr>
        <w:spacing w:before="0" w:after="100"/>
        <w:jc w:val="both"/>
      </w:pPr>
      <w:r>
        <w:rPr>
          <w:rFonts w:ascii="Calibri" w:hAnsi="Calibri"/>
          <w:b/>
          <w:i w:val="0"/>
          <w:color w:val="101010"/>
          <w:sz w:val="19"/>
        </w:rPr>
        <w:t>Edge cases, defined explicitly.</w:t>
      </w:r>
      <w:r>
        <w:rPr>
          <w:rFonts w:ascii="Calibri" w:hAnsi="Calibri"/>
          <w:b w:val="0"/>
          <w:i w:val="0"/>
          <w:color w:val="101010"/>
          <w:sz w:val="19"/>
        </w:rPr>
        <w:t xml:space="preserve"> Neutral polarity sets the field to a constant 50 rather than entering min-max (no division by zero). Log models shift the series positive before taking logs. Change from a zero base returns NaN and the field drops rather than dividing by zero. The elasticity model regresses log(impact) on log(activity), with log intensity as the intercept; the residual is what is scored.</w:t>
      </w:r>
    </w:p>
    <w:p>
      <w:pPr>
        <w:spacing w:before="300" w:after="60"/>
        <w:pBdr>
          <w:bottom w:val="single" w:sz="10" w:color="101010" w:space="3"/>
        </w:pBdr>
        <w:keepNext/>
      </w:pPr>
      <w:r>
        <w:rPr>
          <w:rFonts w:ascii="Calibri" w:hAnsi="Calibri"/>
          <w:b/>
          <w:color w:val="101010"/>
          <w:sz w:val="28"/>
        </w:rPr>
        <w:t>Appendix B · Stress tests, answered in code</w:t>
      </w:r>
    </w:p>
    <w:tbl>
      <w:tblPr>
        <w:tblW w:type="auto" w:w="0"/>
        <w:jc w:val="center"/>
        <w:tblLayout w:type="fixed"/>
        <w:tblLook w:firstColumn="1" w:firstRow="1" w:lastColumn="0" w:lastRow="0" w:noHBand="0" w:noVBand="1" w:val="04A0"/>
      </w:tblPr>
      <w:tblGrid>
        <w:gridCol w:w="3278"/>
        <w:gridCol w:w="3278"/>
        <w:gridCol w:w="3278"/>
      </w:tblGrid>
      <w:tr>
        <w:tc>
          <w:tcPr>
            <w:tcW w:type="dxa" w:w="648"/>
            <w:shd w:val="clear" w:fill="F6F5F2"/>
            <w:tcBorders>
              <w:top w:val="single" w:sz="10" w:color="101010"/>
              <w:bottom w:val="single" w:sz="5" w:color="6B6A63"/>
            </w:tcBorders>
          </w:tcPr>
          <w:p>
            <w:pPr>
              <w:spacing w:before="32" w:after="32"/>
              <w:jc w:val="left"/>
            </w:pPr>
            <w:r/>
            <w:r>
              <w:rPr>
                <w:rFonts w:ascii="Calibri" w:hAnsi="Calibri"/>
                <w:b/>
                <w:i w:val="0"/>
                <w:color w:val="3D3C38"/>
                <w:sz w:val="15"/>
              </w:rPr>
              <w:t>#</w:t>
            </w:r>
          </w:p>
        </w:tc>
        <w:tc>
          <w:tcPr>
            <w:tcW w:type="dxa" w:w="2952"/>
            <w:shd w:val="clear" w:fill="F6F5F2"/>
            <w:tcBorders>
              <w:top w:val="single" w:sz="10" w:color="101010"/>
              <w:bottom w:val="single" w:sz="5" w:color="6B6A63"/>
            </w:tcBorders>
          </w:tcPr>
          <w:p>
            <w:pPr>
              <w:spacing w:before="32" w:after="32"/>
              <w:jc w:val="left"/>
            </w:pPr>
            <w:r/>
            <w:r>
              <w:rPr>
                <w:rFonts w:ascii="Calibri" w:hAnsi="Calibri"/>
                <w:b/>
                <w:i w:val="0"/>
                <w:color w:val="3D3C38"/>
                <w:sz w:val="15"/>
              </w:rPr>
              <w:t>Question a sceptical reader should ask</w:t>
            </w:r>
          </w:p>
        </w:tc>
        <w:tc>
          <w:tcPr>
            <w:tcW w:type="dxa" w:w="6336"/>
            <w:shd w:val="clear" w:fill="F6F5F2"/>
            <w:tcBorders>
              <w:top w:val="single" w:sz="10" w:color="101010"/>
              <w:bottom w:val="single" w:sz="5" w:color="6B6A63"/>
            </w:tcBorders>
          </w:tcPr>
          <w:p>
            <w:pPr>
              <w:spacing w:before="32" w:after="32"/>
              <w:jc w:val="left"/>
            </w:pPr>
            <w:r/>
            <w:r>
              <w:rPr>
                <w:rFonts w:ascii="Calibri" w:hAnsi="Calibri"/>
                <w:b/>
                <w:i w:val="0"/>
                <w:color w:val="3D3C38"/>
                <w:sz w:val="15"/>
              </w:rPr>
              <w:t>Verified answer</w:t>
            </w:r>
          </w:p>
        </w:tc>
      </w:tr>
      <w:tr>
        <w:tc>
          <w:tcPr>
            <w:tcW w:type="dxa" w:w="648"/>
            <w:tcBorders>
              <w:bottom w:val="single" w:sz="3" w:color="DEDCD6"/>
            </w:tcBorders>
          </w:tcPr>
          <w:p>
            <w:pPr>
              <w:spacing w:before="32" w:after="32"/>
              <w:jc w:val="left"/>
            </w:pPr>
            <w:r/>
            <w:r>
              <w:rPr>
                <w:rFonts w:ascii="Calibri" w:hAnsi="Calibri"/>
                <w:b w:val="0"/>
                <w:i w:val="0"/>
                <w:color w:val="101010"/>
                <w:sz w:val="15"/>
              </w:rPr>
              <w:t>1</w:t>
            </w:r>
          </w:p>
        </w:tc>
        <w:tc>
          <w:tcPr>
            <w:tcW w:type="dxa" w:w="2952"/>
            <w:tcBorders>
              <w:bottom w:val="single" w:sz="3" w:color="DEDCD6"/>
            </w:tcBorders>
          </w:tcPr>
          <w:p>
            <w:pPr>
              <w:spacing w:before="32" w:after="32"/>
              <w:jc w:val="left"/>
            </w:pPr>
            <w:r/>
            <w:r>
              <w:rPr>
                <w:rFonts w:ascii="Calibri" w:hAnsi="Calibri"/>
                <w:b w:val="0"/>
                <w:i w:val="0"/>
                <w:color w:val="101010"/>
                <w:sz w:val="15"/>
              </w:rPr>
              <w:t>Contestation with direction and peer set held fixed</w:t>
            </w:r>
          </w:p>
        </w:tc>
        <w:tc>
          <w:tcPr>
            <w:tcW w:type="dxa" w:w="6336"/>
            <w:tcBorders>
              <w:bottom w:val="single" w:sz="3" w:color="DEDCD6"/>
            </w:tcBorders>
          </w:tcPr>
          <w:p>
            <w:pPr>
              <w:spacing w:before="32" w:after="32"/>
              <w:jc w:val="left"/>
            </w:pPr>
            <w:r/>
            <w:r>
              <w:rPr>
                <w:rFonts w:ascii="Calibri" w:hAnsi="Calibri"/>
                <w:b/>
                <w:i w:val="0"/>
                <w:color w:val="101010"/>
                <w:sz w:val="15"/>
              </w:rPr>
              <w:t>3.0 places</w:t>
            </w:r>
            <w:r>
              <w:rPr>
                <w:rFonts w:ascii="Calibri" w:hAnsi="Calibri"/>
                <w:b w:val="0"/>
                <w:i w:val="0"/>
                <w:color w:val="101010"/>
                <w:sz w:val="15"/>
              </w:rPr>
              <w:t xml:space="preserve"> (Question A × BECS), 5.0 (Question A × sector). Contestation survives.</w:t>
            </w:r>
          </w:p>
        </w:tc>
      </w:tr>
      <w:tr>
        <w:tc>
          <w:tcPr>
            <w:tcW w:type="dxa" w:w="648"/>
            <w:tcBorders>
              <w:bottom w:val="single" w:sz="3" w:color="DEDCD6"/>
            </w:tcBorders>
          </w:tcPr>
          <w:p>
            <w:pPr>
              <w:spacing w:before="32" w:after="32"/>
              <w:jc w:val="left"/>
            </w:pPr>
            <w:r/>
            <w:r>
              <w:rPr>
                <w:rFonts w:ascii="Calibri" w:hAnsi="Calibri"/>
                <w:b w:val="0"/>
                <w:i w:val="0"/>
                <w:color w:val="101010"/>
                <w:sz w:val="15"/>
              </w:rPr>
              <w:t>2</w:t>
            </w:r>
          </w:p>
        </w:tc>
        <w:tc>
          <w:tcPr>
            <w:tcW w:type="dxa" w:w="2952"/>
            <w:tcBorders>
              <w:bottom w:val="single" w:sz="3" w:color="DEDCD6"/>
            </w:tcBorders>
          </w:tcPr>
          <w:p>
            <w:pPr>
              <w:spacing w:before="32" w:after="32"/>
              <w:jc w:val="left"/>
            </w:pPr>
            <w:r/>
            <w:r>
              <w:rPr>
                <w:rFonts w:ascii="Calibri" w:hAnsi="Calibri"/>
                <w:b w:val="0"/>
                <w:i w:val="0"/>
                <w:color w:val="101010"/>
                <w:sz w:val="15"/>
              </w:rPr>
              <w:t>Are the distributions two-humped?</w:t>
            </w:r>
          </w:p>
        </w:tc>
        <w:tc>
          <w:tcPr>
            <w:tcW w:type="dxa" w:w="6336"/>
            <w:tcBorders>
              <w:bottom w:val="single" w:sz="3" w:color="DEDCD6"/>
            </w:tcBorders>
          </w:tcPr>
          <w:p>
            <w:pPr>
              <w:spacing w:before="32" w:after="32"/>
              <w:jc w:val="left"/>
            </w:pPr>
            <w:r/>
            <w:r>
              <w:rPr>
                <w:rFonts w:ascii="Calibri" w:hAnsi="Calibri"/>
                <w:b w:val="0"/>
                <w:i w:val="0"/>
                <w:color w:val="101010"/>
                <w:sz w:val="15"/>
              </w:rPr>
              <w:t>Yes. EOG: level median 94.1, change 35.3 to 10.0 places apart. Confirmed and fixed by splitting the grid.</w:t>
            </w:r>
          </w:p>
        </w:tc>
      </w:tr>
      <w:tr>
        <w:tc>
          <w:tcPr>
            <w:tcW w:type="dxa" w:w="648"/>
            <w:tcBorders>
              <w:bottom w:val="single" w:sz="3" w:color="DEDCD6"/>
            </w:tcBorders>
          </w:tcPr>
          <w:p>
            <w:pPr>
              <w:spacing w:before="32" w:after="32"/>
              <w:jc w:val="left"/>
            </w:pPr>
            <w:r/>
            <w:r>
              <w:rPr>
                <w:rFonts w:ascii="Calibri" w:hAnsi="Calibri"/>
                <w:b w:val="0"/>
                <w:i w:val="0"/>
                <w:color w:val="101010"/>
                <w:sz w:val="15"/>
              </w:rPr>
              <w:t>3</w:t>
            </w:r>
          </w:p>
        </w:tc>
        <w:tc>
          <w:tcPr>
            <w:tcW w:type="dxa" w:w="2952"/>
            <w:tcBorders>
              <w:bottom w:val="single" w:sz="3" w:color="DEDCD6"/>
            </w:tcBorders>
          </w:tcPr>
          <w:p>
            <w:pPr>
              <w:spacing w:before="32" w:after="32"/>
              <w:jc w:val="left"/>
            </w:pPr>
            <w:r/>
            <w:r>
              <w:rPr>
                <w:rFonts w:ascii="Calibri" w:hAnsi="Calibri"/>
                <w:b w:val="0"/>
                <w:i w:val="0"/>
                <w:color w:val="101010"/>
                <w:sz w:val="15"/>
              </w:rPr>
              <w:t>What happens to non-producers under the production denominator?</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They keep S, G and F and lose only E. </w:t>
            </w:r>
            <w:r>
              <w:rPr>
                <w:rFonts w:ascii="Calibri" w:hAnsi="Calibri"/>
                <w:b/>
                <w:i w:val="0"/>
                <w:color w:val="101010"/>
                <w:sz w:val="15"/>
              </w:rPr>
              <w:t>All 18 still receive a composite</w:t>
            </w:r>
            <w:r>
              <w:rPr>
                <w:rFonts w:ascii="Calibri" w:hAnsi="Calibri"/>
                <w:b w:val="0"/>
                <w:i w:val="0"/>
                <w:color w:val="101010"/>
                <w:sz w:val="15"/>
              </w:rPr>
              <w:t xml:space="preserve"> in every production cell. 92 Q-field grades for producers, 0 for non-producers.</w:t>
            </w:r>
          </w:p>
        </w:tc>
      </w:tr>
      <w:tr>
        <w:tc>
          <w:tcPr>
            <w:tcW w:type="dxa" w:w="648"/>
            <w:tcBorders>
              <w:bottom w:val="single" w:sz="3" w:color="DEDCD6"/>
            </w:tcBorders>
          </w:tcPr>
          <w:p>
            <w:pPr>
              <w:spacing w:before="32" w:after="32"/>
              <w:jc w:val="left"/>
            </w:pPr>
            <w:r/>
            <w:r>
              <w:rPr>
                <w:rFonts w:ascii="Calibri" w:hAnsi="Calibri"/>
                <w:b w:val="0"/>
                <w:i w:val="0"/>
                <w:color w:val="101010"/>
                <w:sz w:val="15"/>
              </w:rPr>
              <w:t>4</w:t>
            </w:r>
          </w:p>
        </w:tc>
        <w:tc>
          <w:tcPr>
            <w:tcW w:type="dxa" w:w="2952"/>
            <w:tcBorders>
              <w:bottom w:val="single" w:sz="3" w:color="DEDCD6"/>
            </w:tcBorders>
          </w:tcPr>
          <w:p>
            <w:pPr>
              <w:spacing w:before="32" w:after="32"/>
              <w:jc w:val="left"/>
            </w:pPr>
            <w:r/>
            <w:r>
              <w:rPr>
                <w:rFonts w:ascii="Calibri" w:hAnsi="Calibri"/>
                <w:b w:val="0"/>
                <w:i w:val="0"/>
                <w:color w:val="101010"/>
                <w:sz w:val="15"/>
              </w:rPr>
              <w:t>How many of the 17,496 cells are distinct?</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648 grade-stage cells → </w:t>
            </w:r>
            <w:r>
              <w:rPr>
                <w:rFonts w:ascii="Calibri" w:hAnsi="Calibri"/>
                <w:b/>
                <w:i w:val="0"/>
                <w:color w:val="101010"/>
                <w:sz w:val="15"/>
              </w:rPr>
              <w:t>606 distinct</w:t>
            </w:r>
            <w:r>
              <w:rPr>
                <w:rFonts w:ascii="Calibri" w:hAnsi="Calibri"/>
                <w:b w:val="0"/>
                <w:i w:val="0"/>
                <w:color w:val="101010"/>
                <w:sz w:val="15"/>
              </w:rPr>
              <w:t>, 42 exact duplicates. Under change, a fixed FY2025 base cancels, so the EBITDA and equity branches differ only in the safety-rate population.</w:t>
            </w:r>
          </w:p>
        </w:tc>
      </w:tr>
      <w:tr>
        <w:tc>
          <w:tcPr>
            <w:tcW w:type="dxa" w:w="648"/>
            <w:tcBorders>
              <w:bottom w:val="single" w:sz="3" w:color="DEDCD6"/>
            </w:tcBorders>
          </w:tcPr>
          <w:p>
            <w:pPr>
              <w:spacing w:before="32" w:after="32"/>
              <w:jc w:val="left"/>
            </w:pPr>
            <w:r/>
            <w:r>
              <w:rPr>
                <w:rFonts w:ascii="Calibri" w:hAnsi="Calibri"/>
                <w:b w:val="0"/>
                <w:i w:val="0"/>
                <w:color w:val="101010"/>
                <w:sz w:val="15"/>
              </w:rPr>
              <w:t>5</w:t>
            </w:r>
          </w:p>
        </w:tc>
        <w:tc>
          <w:tcPr>
            <w:tcW w:type="dxa" w:w="2952"/>
            <w:tcBorders>
              <w:bottom w:val="single" w:sz="3" w:color="DEDCD6"/>
            </w:tcBorders>
          </w:tcPr>
          <w:p>
            <w:pPr>
              <w:spacing w:before="32" w:after="32"/>
              <w:jc w:val="left"/>
            </w:pPr>
            <w:r/>
            <w:r>
              <w:rPr>
                <w:rFonts w:ascii="Calibri" w:hAnsi="Calibri"/>
                <w:b w:val="0"/>
                <w:i w:val="0"/>
                <w:color w:val="101010"/>
                <w:sz w:val="15"/>
              </w:rPr>
              <w:t>Is contestation group size or evidence?</w:t>
            </w:r>
          </w:p>
        </w:tc>
        <w:tc>
          <w:tcPr>
            <w:tcW w:type="dxa" w:w="6336"/>
            <w:tcBorders>
              <w:bottom w:val="single" w:sz="3" w:color="DEDCD6"/>
            </w:tcBorders>
          </w:tcPr>
          <w:p>
            <w:pPr>
              <w:spacing w:before="32" w:after="32"/>
              <w:jc w:val="left"/>
            </w:pPr>
            <w:r/>
            <w:r>
              <w:rPr>
                <w:rFonts w:ascii="Calibri" w:hAnsi="Calibri"/>
                <w:b w:val="0"/>
                <w:i w:val="0"/>
                <w:color w:val="101010"/>
                <w:sz w:val="15"/>
              </w:rPr>
              <w:t>Partly size. Mean IQR: 2-member 6.0, 3-member 7.7, 7-member 7.0 not monotone. Coverage rank-corr −0.38.</w:t>
            </w:r>
          </w:p>
        </w:tc>
      </w:tr>
      <w:tr>
        <w:tc>
          <w:tcPr>
            <w:tcW w:type="dxa" w:w="648"/>
            <w:tcBorders>
              <w:bottom w:val="single" w:sz="3" w:color="DEDCD6"/>
            </w:tcBorders>
          </w:tcPr>
          <w:p>
            <w:pPr>
              <w:spacing w:before="32" w:after="32"/>
              <w:jc w:val="left"/>
            </w:pPr>
            <w:r/>
            <w:r>
              <w:rPr>
                <w:rFonts w:ascii="Calibri" w:hAnsi="Calibri"/>
                <w:b w:val="0"/>
                <w:i w:val="0"/>
                <w:color w:val="101010"/>
                <w:sz w:val="15"/>
              </w:rPr>
              <w:t>6</w:t>
            </w:r>
          </w:p>
        </w:tc>
        <w:tc>
          <w:tcPr>
            <w:tcW w:type="dxa" w:w="2952"/>
            <w:tcBorders>
              <w:bottom w:val="single" w:sz="3" w:color="DEDCD6"/>
            </w:tcBorders>
          </w:tcPr>
          <w:p>
            <w:pPr>
              <w:spacing w:before="32" w:after="32"/>
              <w:jc w:val="left"/>
            </w:pPr>
            <w:r/>
            <w:r>
              <w:rPr>
                <w:rFonts w:ascii="Calibri" w:hAnsi="Calibri"/>
                <w:b w:val="0"/>
                <w:i w:val="0"/>
                <w:color w:val="101010"/>
                <w:sz w:val="15"/>
              </w:rPr>
              <w:t>Is direction just the F pillar toggling?</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No. Zeroing the F weight moves direction from 18.2% to </w:t>
            </w:r>
            <w:r>
              <w:rPr>
                <w:rFonts w:ascii="Calibri" w:hAnsi="Calibri"/>
                <w:b/>
                <w:i w:val="0"/>
                <w:color w:val="101010"/>
                <w:sz w:val="15"/>
              </w:rPr>
              <w:t>15.0%</w:t>
            </w:r>
            <w:r>
              <w:rPr>
                <w:rFonts w:ascii="Calibri" w:hAnsi="Calibri"/>
                <w:b w:val="0"/>
                <w:i w:val="0"/>
                <w:color w:val="101010"/>
                <w:sz w:val="15"/>
              </w:rPr>
              <w:t>.</w:t>
            </w:r>
          </w:p>
        </w:tc>
      </w:tr>
      <w:tr>
        <w:tc>
          <w:tcPr>
            <w:tcW w:type="dxa" w:w="648"/>
            <w:tcBorders>
              <w:bottom w:val="single" w:sz="3" w:color="DEDCD6"/>
            </w:tcBorders>
          </w:tcPr>
          <w:p>
            <w:pPr>
              <w:spacing w:before="32" w:after="32"/>
              <w:jc w:val="left"/>
            </w:pPr>
            <w:r/>
            <w:r>
              <w:rPr>
                <w:rFonts w:ascii="Calibri" w:hAnsi="Calibri"/>
                <w:b w:val="0"/>
                <w:i w:val="0"/>
                <w:color w:val="101010"/>
                <w:sz w:val="15"/>
              </w:rPr>
              <w:t>7</w:t>
            </w:r>
          </w:p>
        </w:tc>
        <w:tc>
          <w:tcPr>
            <w:tcW w:type="dxa" w:w="2952"/>
            <w:tcBorders>
              <w:bottom w:val="single" w:sz="3" w:color="DEDCD6"/>
            </w:tcBorders>
          </w:tcPr>
          <w:p>
            <w:pPr>
              <w:spacing w:before="32" w:after="32"/>
              <w:jc w:val="left"/>
            </w:pPr>
            <w:r/>
            <w:r>
              <w:rPr>
                <w:rFonts w:ascii="Calibri" w:hAnsi="Calibri"/>
                <w:b w:val="0"/>
                <w:i w:val="0"/>
                <w:color w:val="101010"/>
                <w:sz w:val="15"/>
              </w:rPr>
              <w:t>Could any company ever be rated robust?</w:t>
            </w:r>
          </w:p>
        </w:tc>
        <w:tc>
          <w:tcPr>
            <w:tcW w:type="dxa" w:w="6336"/>
            <w:tcBorders>
              <w:bottom w:val="single" w:sz="3" w:color="DEDCD6"/>
            </w:tcBorders>
          </w:tcPr>
          <w:p>
            <w:pPr>
              <w:spacing w:before="32" w:after="32"/>
              <w:jc w:val="left"/>
            </w:pPr>
            <w:r/>
            <w:r>
              <w:rPr>
                <w:rFonts w:ascii="Calibri" w:hAnsi="Calibri"/>
                <w:b w:val="0"/>
                <w:i w:val="0"/>
                <w:color w:val="101010"/>
                <w:sz w:val="15"/>
              </w:rPr>
              <w:t>Under the pooled grid, no, which is why the verdict column was uninformative and is removed. Within Question A × BECS, 4 of 18 fall below 2 places.</w:t>
            </w:r>
          </w:p>
        </w:tc>
      </w:tr>
      <w:tr>
        <w:tc>
          <w:tcPr>
            <w:tcW w:type="dxa" w:w="648"/>
            <w:tcBorders>
              <w:bottom w:val="single" w:sz="3" w:color="DEDCD6"/>
            </w:tcBorders>
          </w:tcPr>
          <w:p>
            <w:pPr>
              <w:spacing w:before="32" w:after="32"/>
              <w:jc w:val="left"/>
            </w:pPr>
            <w:r/>
            <w:r>
              <w:rPr>
                <w:rFonts w:ascii="Calibri" w:hAnsi="Calibri"/>
                <w:b w:val="0"/>
                <w:i w:val="0"/>
                <w:color w:val="101010"/>
                <w:sz w:val="15"/>
              </w:rPr>
              <w:t>8</w:t>
            </w:r>
          </w:p>
        </w:tc>
        <w:tc>
          <w:tcPr>
            <w:tcW w:type="dxa" w:w="2952"/>
            <w:tcBorders>
              <w:bottom w:val="single" w:sz="3" w:color="DEDCD6"/>
            </w:tcBorders>
          </w:tcPr>
          <w:p>
            <w:pPr>
              <w:spacing w:before="32" w:after="32"/>
              <w:jc w:val="left"/>
            </w:pPr>
            <w:r/>
            <w:r>
              <w:rPr>
                <w:rFonts w:ascii="Calibri" w:hAnsi="Calibri"/>
                <w:b w:val="0"/>
                <w:i w:val="0"/>
                <w:color w:val="101010"/>
                <w:sz w:val="15"/>
              </w:rPr>
              <w:t>Which settled statistic do you stand behind?</w:t>
            </w:r>
          </w:p>
        </w:tc>
        <w:tc>
          <w:tcPr>
            <w:tcW w:type="dxa" w:w="6336"/>
            <w:tcBorders>
              <w:bottom w:val="single" w:sz="3" w:color="DEDCD6"/>
            </w:tcBorders>
          </w:tcPr>
          <w:p>
            <w:pPr>
              <w:spacing w:before="32" w:after="32"/>
              <w:jc w:val="left"/>
            </w:pPr>
            <w:r/>
            <w:r>
              <w:rPr>
                <w:rFonts w:ascii="Calibri" w:hAnsi="Calibri"/>
                <w:b/>
                <w:i w:val="0"/>
                <w:color w:val="101010"/>
                <w:sz w:val="15"/>
              </w:rPr>
              <w:t>33 of 153, holding in more than 95% of Question-A cells.</w:t>
            </w:r>
            <w:r>
              <w:rPr>
                <w:rFonts w:ascii="Calibri" w:hAnsi="Calibri"/>
                <w:b w:val="0"/>
                <w:i w:val="0"/>
                <w:color w:val="101010"/>
                <w:sz w:val="15"/>
              </w:rPr>
              <w:t xml:space="preserve"> We quote the threshold rather than saying 'every method', because a 95% cut-off is not the same claim.</w:t>
            </w:r>
          </w:p>
        </w:tc>
      </w:tr>
      <w:tr>
        <w:tc>
          <w:tcPr>
            <w:tcW w:type="dxa" w:w="648"/>
            <w:tcBorders>
              <w:bottom w:val="single" w:sz="3" w:color="DEDCD6"/>
            </w:tcBorders>
          </w:tcPr>
          <w:p>
            <w:pPr>
              <w:spacing w:before="32" w:after="32"/>
              <w:jc w:val="left"/>
            </w:pPr>
            <w:r/>
            <w:r>
              <w:rPr>
                <w:rFonts w:ascii="Calibri" w:hAnsi="Calibri"/>
                <w:b w:val="0"/>
                <w:i w:val="0"/>
                <w:color w:val="101010"/>
                <w:sz w:val="15"/>
              </w:rPr>
              <w:t>9</w:t>
            </w:r>
          </w:p>
        </w:tc>
        <w:tc>
          <w:tcPr>
            <w:tcW w:type="dxa" w:w="2952"/>
            <w:tcBorders>
              <w:bottom w:val="single" w:sz="3" w:color="DEDCD6"/>
            </w:tcBorders>
          </w:tcPr>
          <w:p>
            <w:pPr>
              <w:spacing w:before="32" w:after="32"/>
              <w:jc w:val="left"/>
            </w:pPr>
            <w:r/>
            <w:r>
              <w:rPr>
                <w:rFonts w:ascii="Calibri" w:hAnsi="Calibri"/>
                <w:b w:val="0"/>
                <w:i w:val="0"/>
                <w:color w:val="101010"/>
                <w:sz w:val="15"/>
              </w:rPr>
              <w:t>Rank spread across the weight presets</w:t>
            </w:r>
          </w:p>
        </w:tc>
        <w:tc>
          <w:tcPr>
            <w:tcW w:type="dxa" w:w="6336"/>
            <w:tcBorders>
              <w:bottom w:val="single" w:sz="3" w:color="DEDCD6"/>
            </w:tcBorders>
          </w:tcPr>
          <w:p>
            <w:pPr>
              <w:spacing w:before="32" w:after="32"/>
              <w:jc w:val="left"/>
            </w:pPr>
            <w:r/>
            <w:r>
              <w:rPr>
                <w:rFonts w:ascii="Calibri" w:hAnsi="Calibri"/>
                <w:b w:val="0"/>
                <w:i w:val="0"/>
                <w:color w:val="101010"/>
                <w:sz w:val="15"/>
              </w:rPr>
              <w:t xml:space="preserve">Median </w:t>
            </w:r>
            <w:r>
              <w:rPr>
                <w:rFonts w:ascii="Calibri" w:hAnsi="Calibri"/>
                <w:b/>
                <w:i w:val="0"/>
                <w:color w:val="101010"/>
                <w:sz w:val="15"/>
              </w:rPr>
              <w:t>3.0</w:t>
            </w:r>
            <w:r>
              <w:rPr>
                <w:rFonts w:ascii="Calibri" w:hAnsi="Calibri"/>
                <w:b w:val="0"/>
                <w:i w:val="0"/>
                <w:color w:val="101010"/>
                <w:sz w:val="15"/>
              </w:rPr>
              <w:t xml:space="preserve"> places, max 6.0 (WMB). Reported in Exhibit 10.</w:t>
            </w:r>
          </w:p>
        </w:tc>
      </w:tr>
      <w:tr>
        <w:tc>
          <w:tcPr>
            <w:tcW w:type="dxa" w:w="648"/>
            <w:tcBorders>
              <w:bottom w:val="single" w:sz="10" w:color="101010"/>
            </w:tcBorders>
          </w:tcPr>
          <w:p>
            <w:pPr>
              <w:spacing w:before="32" w:after="32"/>
              <w:jc w:val="left"/>
            </w:pPr>
            <w:r/>
            <w:r>
              <w:rPr>
                <w:rFonts w:ascii="Calibri" w:hAnsi="Calibri"/>
                <w:b w:val="0"/>
                <w:i w:val="0"/>
                <w:color w:val="101010"/>
                <w:sz w:val="15"/>
              </w:rPr>
              <w:t>10</w:t>
            </w:r>
          </w:p>
        </w:tc>
        <w:tc>
          <w:tcPr>
            <w:tcW w:type="dxa" w:w="2952"/>
            <w:tcBorders>
              <w:bottom w:val="single" w:sz="10" w:color="101010"/>
            </w:tcBorders>
          </w:tcPr>
          <w:p>
            <w:pPr>
              <w:spacing w:before="32" w:after="32"/>
              <w:jc w:val="left"/>
            </w:pPr>
            <w:r/>
            <w:r>
              <w:rPr>
                <w:rFonts w:ascii="Calibri" w:hAnsi="Calibri"/>
                <w:b w:val="0"/>
                <w:i w:val="0"/>
                <w:color w:val="101010"/>
                <w:sz w:val="15"/>
              </w:rPr>
              <w:t>Which field does no company report?</w:t>
            </w:r>
          </w:p>
        </w:tc>
        <w:tc>
          <w:tcPr>
            <w:tcW w:type="dxa" w:w="6336"/>
            <w:tcBorders>
              <w:bottom w:val="single" w:sz="10" w:color="101010"/>
            </w:tcBorders>
          </w:tcPr>
          <w:p>
            <w:pPr>
              <w:spacing w:before="32" w:after="32"/>
              <w:jc w:val="left"/>
            </w:pPr>
            <w:r/>
            <w:r>
              <w:rPr>
                <w:rFonts w:ascii="Calibri" w:hAnsi="Calibri"/>
                <w:b/>
                <w:i w:val="0"/>
                <w:color w:val="101010"/>
                <w:sz w:val="15"/>
              </w:rPr>
              <w:t>DX831</w:t>
            </w:r>
            <w:r>
              <w:rPr>
                <w:rFonts w:ascii="Calibri" w:hAnsi="Calibri"/>
                <w:b w:val="0"/>
                <w:i w:val="0"/>
                <w:color w:val="101010"/>
                <w:sz w:val="15"/>
              </w:rPr>
              <w:t>, a governance field. 139 in the registry, 138 with data; the model now uses 138.</w:t>
            </w:r>
          </w:p>
        </w:tc>
      </w:tr>
    </w:tbl>
    <w:p>
      <w:pPr>
        <w:spacing w:before="300" w:after="60"/>
        <w:pBdr>
          <w:bottom w:val="single" w:sz="10" w:color="101010" w:space="3"/>
        </w:pBdr>
        <w:keepNext/>
      </w:pPr>
      <w:r>
        <w:rPr>
          <w:rFonts w:ascii="Calibri" w:hAnsi="Calibri"/>
          <w:b/>
          <w:color w:val="101010"/>
          <w:sz w:val="28"/>
        </w:rPr>
        <w:t>Appendix C · Field registry</w:t>
      </w:r>
    </w:p>
    <w:tbl>
      <w:tblPr>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c>
          <w:tcPr>
            <w:tcW w:type="dxa" w:w="2016"/>
            <w:shd w:val="clear" w:fill="F6F5F2"/>
            <w:tcBorders>
              <w:top w:val="single" w:sz="10" w:color="101010"/>
              <w:bottom w:val="single" w:sz="5" w:color="6B6A63"/>
            </w:tcBorders>
          </w:tcPr>
          <w:p>
            <w:pPr>
              <w:spacing w:before="32" w:after="32"/>
              <w:jc w:val="left"/>
            </w:pPr>
            <w:r/>
            <w:r>
              <w:rPr>
                <w:rFonts w:ascii="Calibri" w:hAnsi="Calibri"/>
                <w:b/>
                <w:i w:val="0"/>
                <w:color w:val="3D3C38"/>
                <w:sz w:val="15"/>
              </w:rPr>
              <w:t>Pillar</w:t>
            </w:r>
          </w:p>
        </w:tc>
        <w:tc>
          <w:tcPr>
            <w:tcW w:type="dxa" w:w="1224"/>
            <w:shd w:val="clear" w:fill="F6F5F2"/>
            <w:tcBorders>
              <w:top w:val="single" w:sz="10" w:color="101010"/>
              <w:bottom w:val="single" w:sz="5" w:color="6B6A63"/>
            </w:tcBorders>
          </w:tcPr>
          <w:p>
            <w:pPr>
              <w:spacing w:before="32" w:after="32"/>
              <w:jc w:val="right"/>
            </w:pPr>
            <w:r/>
            <w:r>
              <w:rPr>
                <w:rFonts w:ascii="Calibri" w:hAnsi="Calibri"/>
                <w:b/>
                <w:i w:val="0"/>
                <w:color w:val="3D3C38"/>
                <w:sz w:val="15"/>
              </w:rPr>
              <w:t>Boolean</w:t>
            </w:r>
          </w:p>
        </w:tc>
        <w:tc>
          <w:tcPr>
            <w:tcW w:type="dxa" w:w="1440"/>
            <w:shd w:val="clear" w:fill="F6F5F2"/>
            <w:tcBorders>
              <w:top w:val="single" w:sz="10" w:color="101010"/>
              <w:bottom w:val="single" w:sz="5" w:color="6B6A63"/>
            </w:tcBorders>
          </w:tcPr>
          <w:p>
            <w:pPr>
              <w:spacing w:before="32" w:after="32"/>
              <w:jc w:val="right"/>
            </w:pPr>
            <w:r/>
            <w:r>
              <w:rPr>
                <w:rFonts w:ascii="Calibri" w:hAnsi="Calibri"/>
                <w:b/>
                <w:i w:val="0"/>
                <w:color w:val="3D3C38"/>
                <w:sz w:val="15"/>
              </w:rPr>
              <w:t>Percentage</w:t>
            </w:r>
          </w:p>
        </w:tc>
        <w:tc>
          <w:tcPr>
            <w:tcW w:type="dxa" w:w="1296"/>
            <w:shd w:val="clear" w:fill="F6F5F2"/>
            <w:tcBorders>
              <w:top w:val="single" w:sz="10" w:color="101010"/>
              <w:bottom w:val="single" w:sz="5" w:color="6B6A63"/>
            </w:tcBorders>
          </w:tcPr>
          <w:p>
            <w:pPr>
              <w:spacing w:before="32" w:after="32"/>
              <w:jc w:val="right"/>
            </w:pPr>
            <w:r/>
            <w:r>
              <w:rPr>
                <w:rFonts w:ascii="Calibri" w:hAnsi="Calibri"/>
                <w:b/>
                <w:i w:val="0"/>
                <w:color w:val="3D3C38"/>
                <w:sz w:val="15"/>
              </w:rPr>
              <w:t>Quantity</w:t>
            </w:r>
          </w:p>
        </w:tc>
        <w:tc>
          <w:tcPr>
            <w:tcW w:type="dxa" w:w="1080"/>
            <w:shd w:val="clear" w:fill="F6F5F2"/>
            <w:tcBorders>
              <w:top w:val="single" w:sz="10" w:color="101010"/>
              <w:bottom w:val="single" w:sz="5" w:color="6B6A63"/>
            </w:tcBorders>
          </w:tcPr>
          <w:p>
            <w:pPr>
              <w:spacing w:before="32" w:after="32"/>
              <w:jc w:val="right"/>
            </w:pPr>
            <w:r/>
            <w:r>
              <w:rPr>
                <w:rFonts w:ascii="Calibri" w:hAnsi="Calibri"/>
                <w:b/>
                <w:i w:val="0"/>
                <w:color w:val="3D3C38"/>
                <w:sz w:val="15"/>
              </w:rPr>
              <w:t>Rate</w:t>
            </w:r>
          </w:p>
        </w:tc>
        <w:tc>
          <w:tcPr>
            <w:tcW w:type="dxa" w:w="1368"/>
            <w:shd w:val="clear" w:fill="F6F5F2"/>
            <w:tcBorders>
              <w:top w:val="single" w:sz="10" w:color="101010"/>
              <w:bottom w:val="single" w:sz="5" w:color="6B6A63"/>
            </w:tcBorders>
          </w:tcPr>
          <w:p>
            <w:pPr>
              <w:spacing w:before="32" w:after="32"/>
              <w:jc w:val="right"/>
            </w:pPr>
            <w:r/>
            <w:r>
              <w:rPr>
                <w:rFonts w:ascii="Calibri" w:hAnsi="Calibri"/>
                <w:b/>
                <w:i w:val="0"/>
                <w:color w:val="3D3C38"/>
                <w:sz w:val="15"/>
              </w:rPr>
              <w:t>Structural</w:t>
            </w:r>
          </w:p>
        </w:tc>
        <w:tc>
          <w:tcPr>
            <w:tcW w:type="dxa" w:w="1152"/>
            <w:shd w:val="clear" w:fill="F6F5F2"/>
            <w:tcBorders>
              <w:top w:val="single" w:sz="10" w:color="101010"/>
              <w:bottom w:val="single" w:sz="5" w:color="6B6A63"/>
            </w:tcBorders>
          </w:tcPr>
          <w:p>
            <w:pPr>
              <w:spacing w:before="32" w:after="32"/>
              <w:jc w:val="right"/>
            </w:pPr>
            <w:r/>
            <w:r>
              <w:rPr>
                <w:rFonts w:ascii="Calibri" w:hAnsi="Calibri"/>
                <w:b/>
                <w:i w:val="0"/>
                <w:color w:val="3D3C38"/>
                <w:sz w:val="15"/>
              </w:rPr>
              <w:t>Total</w:t>
            </w:r>
          </w:p>
        </w:tc>
      </w:tr>
      <w:tr>
        <w:tc>
          <w:tcPr>
            <w:tcW w:type="dxa" w:w="2016"/>
            <w:tcBorders>
              <w:bottom w:val="single" w:sz="3" w:color="DEDCD6"/>
            </w:tcBorders>
          </w:tcPr>
          <w:p>
            <w:pPr>
              <w:spacing w:before="32" w:after="32"/>
              <w:jc w:val="left"/>
            </w:pPr>
            <w:r/>
            <w:r>
              <w:rPr>
                <w:rFonts w:ascii="Calibri" w:hAnsi="Calibri"/>
                <w:b w:val="0"/>
                <w:i w:val="0"/>
                <w:color w:val="101010"/>
                <w:sz w:val="16"/>
              </w:rPr>
              <w:t>Environment</w:t>
            </w:r>
          </w:p>
        </w:tc>
        <w:tc>
          <w:tcPr>
            <w:tcW w:type="dxa" w:w="1224"/>
            <w:tcBorders>
              <w:bottom w:val="single" w:sz="3" w:color="DEDCD6"/>
            </w:tcBorders>
          </w:tcPr>
          <w:p>
            <w:pPr>
              <w:spacing w:before="32" w:after="32"/>
              <w:jc w:val="right"/>
            </w:pPr>
            <w:r/>
            <w:r>
              <w:rPr>
                <w:rFonts w:ascii="Calibri" w:hAnsi="Calibri"/>
                <w:b w:val="0"/>
                <w:i w:val="0"/>
                <w:color w:val="101010"/>
                <w:sz w:val="16"/>
              </w:rPr>
              <w:t>18</w:t>
            </w:r>
          </w:p>
        </w:tc>
        <w:tc>
          <w:tcPr>
            <w:tcW w:type="dxa" w:w="1440"/>
            <w:tcBorders>
              <w:bottom w:val="single" w:sz="3" w:color="DEDCD6"/>
            </w:tcBorders>
          </w:tcPr>
          <w:p>
            <w:pPr>
              <w:spacing w:before="32" w:after="32"/>
              <w:jc w:val="right"/>
            </w:pPr>
            <w:r/>
            <w:r>
              <w:rPr>
                <w:rFonts w:ascii="Calibri" w:hAnsi="Calibri"/>
                <w:b w:val="0"/>
                <w:i w:val="0"/>
                <w:color w:val="101010"/>
                <w:sz w:val="16"/>
              </w:rPr>
              <w:t>4</w:t>
            </w:r>
          </w:p>
        </w:tc>
        <w:tc>
          <w:tcPr>
            <w:tcW w:type="dxa" w:w="1296"/>
            <w:tcBorders>
              <w:bottom w:val="single" w:sz="3" w:color="DEDCD6"/>
            </w:tcBorders>
          </w:tcPr>
          <w:p>
            <w:pPr>
              <w:spacing w:before="32" w:after="32"/>
              <w:jc w:val="right"/>
            </w:pPr>
            <w:r/>
            <w:r>
              <w:rPr>
                <w:rFonts w:ascii="Calibri" w:hAnsi="Calibri"/>
                <w:b w:val="0"/>
                <w:i w:val="0"/>
                <w:color w:val="101010"/>
                <w:sz w:val="16"/>
              </w:rPr>
              <w:t>15</w:t>
            </w:r>
          </w:p>
        </w:tc>
        <w:tc>
          <w:tcPr>
            <w:tcW w:type="dxa" w:w="1080"/>
            <w:tcBorders>
              <w:bottom w:val="single" w:sz="3" w:color="DEDCD6"/>
            </w:tcBorders>
          </w:tcPr>
          <w:p>
            <w:pPr>
              <w:spacing w:before="32" w:after="32"/>
              <w:jc w:val="right"/>
            </w:pPr>
            <w:r/>
            <w:r>
              <w:rPr>
                <w:rFonts w:ascii="Calibri" w:hAnsi="Calibri"/>
                <w:b w:val="0"/>
                <w:i w:val="0"/>
                <w:color w:val="101010"/>
                <w:sz w:val="16"/>
              </w:rPr>
              <w:t>0</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37</w:t>
            </w:r>
          </w:p>
        </w:tc>
      </w:tr>
      <w:tr>
        <w:tc>
          <w:tcPr>
            <w:tcW w:type="dxa" w:w="2016"/>
            <w:tcBorders>
              <w:bottom w:val="single" w:sz="3" w:color="DEDCD6"/>
            </w:tcBorders>
          </w:tcPr>
          <w:p>
            <w:pPr>
              <w:spacing w:before="32" w:after="32"/>
              <w:jc w:val="left"/>
            </w:pPr>
            <w:r/>
            <w:r>
              <w:rPr>
                <w:rFonts w:ascii="Calibri" w:hAnsi="Calibri"/>
                <w:b w:val="0"/>
                <w:i w:val="0"/>
                <w:color w:val="101010"/>
                <w:sz w:val="16"/>
              </w:rPr>
              <w:t>Social</w:t>
            </w:r>
          </w:p>
        </w:tc>
        <w:tc>
          <w:tcPr>
            <w:tcW w:type="dxa" w:w="1224"/>
            <w:tcBorders>
              <w:bottom w:val="single" w:sz="3" w:color="DEDCD6"/>
            </w:tcBorders>
          </w:tcPr>
          <w:p>
            <w:pPr>
              <w:spacing w:before="32" w:after="32"/>
              <w:jc w:val="right"/>
            </w:pPr>
            <w:r/>
            <w:r>
              <w:rPr>
                <w:rFonts w:ascii="Calibri" w:hAnsi="Calibri"/>
                <w:b w:val="0"/>
                <w:i w:val="0"/>
                <w:color w:val="101010"/>
                <w:sz w:val="16"/>
              </w:rPr>
              <w:t>9</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5</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14</w:t>
            </w:r>
          </w:p>
        </w:tc>
      </w:tr>
      <w:tr>
        <w:tc>
          <w:tcPr>
            <w:tcW w:type="dxa" w:w="2016"/>
            <w:tcBorders>
              <w:bottom w:val="single" w:sz="3" w:color="DEDCD6"/>
            </w:tcBorders>
          </w:tcPr>
          <w:p>
            <w:pPr>
              <w:spacing w:before="32" w:after="32"/>
              <w:jc w:val="left"/>
            </w:pPr>
            <w:r/>
            <w:r>
              <w:rPr>
                <w:rFonts w:ascii="Calibri" w:hAnsi="Calibri"/>
                <w:b w:val="0"/>
                <w:i w:val="0"/>
                <w:color w:val="101010"/>
                <w:sz w:val="16"/>
              </w:rPr>
              <w:t>Governance</w:t>
            </w:r>
          </w:p>
        </w:tc>
        <w:tc>
          <w:tcPr>
            <w:tcW w:type="dxa" w:w="1224"/>
            <w:tcBorders>
              <w:bottom w:val="single" w:sz="3" w:color="DEDCD6"/>
            </w:tcBorders>
          </w:tcPr>
          <w:p>
            <w:pPr>
              <w:spacing w:before="32" w:after="32"/>
              <w:jc w:val="right"/>
            </w:pPr>
            <w:r/>
            <w:r>
              <w:rPr>
                <w:rFonts w:ascii="Calibri" w:hAnsi="Calibri"/>
                <w:b w:val="0"/>
                <w:i w:val="0"/>
                <w:color w:val="101010"/>
                <w:sz w:val="16"/>
              </w:rPr>
              <w:t>25</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0</w:t>
            </w:r>
          </w:p>
        </w:tc>
        <w:tc>
          <w:tcPr>
            <w:tcW w:type="dxa" w:w="1368"/>
            <w:tcBorders>
              <w:bottom w:val="single" w:sz="3" w:color="DEDCD6"/>
            </w:tcBorders>
          </w:tcPr>
          <w:p>
            <w:pPr>
              <w:spacing w:before="32" w:after="32"/>
              <w:jc w:val="right"/>
            </w:pPr>
            <w:r/>
            <w:r>
              <w:rPr>
                <w:rFonts w:ascii="Calibri" w:hAnsi="Calibri"/>
                <w:b w:val="0"/>
                <w:i w:val="0"/>
                <w:color w:val="101010"/>
                <w:sz w:val="16"/>
              </w:rPr>
              <w:t>53</w:t>
            </w:r>
          </w:p>
        </w:tc>
        <w:tc>
          <w:tcPr>
            <w:tcW w:type="dxa" w:w="1152"/>
            <w:tcBorders>
              <w:bottom w:val="single" w:sz="3" w:color="DEDCD6"/>
            </w:tcBorders>
          </w:tcPr>
          <w:p>
            <w:pPr>
              <w:spacing w:before="32" w:after="32"/>
              <w:jc w:val="right"/>
            </w:pPr>
            <w:r/>
            <w:r>
              <w:rPr>
                <w:rFonts w:ascii="Calibri" w:hAnsi="Calibri"/>
                <w:b w:val="0"/>
                <w:i w:val="0"/>
                <w:color w:val="101010"/>
                <w:sz w:val="16"/>
              </w:rPr>
              <w:t>78</w:t>
            </w:r>
          </w:p>
        </w:tc>
      </w:tr>
      <w:tr>
        <w:tc>
          <w:tcPr>
            <w:tcW w:type="dxa" w:w="2016"/>
            <w:tcBorders>
              <w:bottom w:val="single" w:sz="3" w:color="DEDCD6"/>
            </w:tcBorders>
          </w:tcPr>
          <w:p>
            <w:pPr>
              <w:spacing w:before="32" w:after="32"/>
              <w:jc w:val="left"/>
            </w:pPr>
            <w:r/>
            <w:r>
              <w:rPr>
                <w:rFonts w:ascii="Calibri" w:hAnsi="Calibri"/>
                <w:b w:val="0"/>
                <w:i w:val="0"/>
                <w:color w:val="101010"/>
                <w:sz w:val="16"/>
              </w:rPr>
              <w:t>Financial</w:t>
            </w:r>
          </w:p>
        </w:tc>
        <w:tc>
          <w:tcPr>
            <w:tcW w:type="dxa" w:w="1224"/>
            <w:tcBorders>
              <w:bottom w:val="single" w:sz="3" w:color="DEDCD6"/>
            </w:tcBorders>
          </w:tcPr>
          <w:p>
            <w:pPr>
              <w:spacing w:before="32" w:after="32"/>
              <w:jc w:val="right"/>
            </w:pPr>
            <w:r/>
            <w:r>
              <w:rPr>
                <w:rFonts w:ascii="Calibri" w:hAnsi="Calibri"/>
                <w:b w:val="0"/>
                <w:i w:val="0"/>
                <w:color w:val="101010"/>
                <w:sz w:val="16"/>
              </w:rPr>
              <w:t>0</w:t>
            </w:r>
          </w:p>
        </w:tc>
        <w:tc>
          <w:tcPr>
            <w:tcW w:type="dxa" w:w="1440"/>
            <w:tcBorders>
              <w:bottom w:val="single" w:sz="3" w:color="DEDCD6"/>
            </w:tcBorders>
          </w:tcPr>
          <w:p>
            <w:pPr>
              <w:spacing w:before="32" w:after="32"/>
              <w:jc w:val="right"/>
            </w:pPr>
            <w:r/>
            <w:r>
              <w:rPr>
                <w:rFonts w:ascii="Calibri" w:hAnsi="Calibri"/>
                <w:b w:val="0"/>
                <w:i w:val="0"/>
                <w:color w:val="101010"/>
                <w:sz w:val="16"/>
              </w:rPr>
              <w:t>0</w:t>
            </w:r>
          </w:p>
        </w:tc>
        <w:tc>
          <w:tcPr>
            <w:tcW w:type="dxa" w:w="1296"/>
            <w:tcBorders>
              <w:bottom w:val="single" w:sz="3" w:color="DEDCD6"/>
            </w:tcBorders>
          </w:tcPr>
          <w:p>
            <w:pPr>
              <w:spacing w:before="32" w:after="32"/>
              <w:jc w:val="right"/>
            </w:pPr>
            <w:r/>
            <w:r>
              <w:rPr>
                <w:rFonts w:ascii="Calibri" w:hAnsi="Calibri"/>
                <w:b w:val="0"/>
                <w:i w:val="0"/>
                <w:color w:val="101010"/>
                <w:sz w:val="16"/>
              </w:rPr>
              <w:t>0</w:t>
            </w:r>
          </w:p>
        </w:tc>
        <w:tc>
          <w:tcPr>
            <w:tcW w:type="dxa" w:w="1080"/>
            <w:tcBorders>
              <w:bottom w:val="single" w:sz="3" w:color="DEDCD6"/>
            </w:tcBorders>
          </w:tcPr>
          <w:p>
            <w:pPr>
              <w:spacing w:before="32" w:after="32"/>
              <w:jc w:val="right"/>
            </w:pPr>
            <w:r/>
            <w:r>
              <w:rPr>
                <w:rFonts w:ascii="Calibri" w:hAnsi="Calibri"/>
                <w:b w:val="0"/>
                <w:i w:val="0"/>
                <w:color w:val="101010"/>
                <w:sz w:val="16"/>
              </w:rPr>
              <w:t>9</w:t>
            </w:r>
          </w:p>
        </w:tc>
        <w:tc>
          <w:tcPr>
            <w:tcW w:type="dxa" w:w="1368"/>
            <w:tcBorders>
              <w:bottom w:val="single" w:sz="3" w:color="DEDCD6"/>
            </w:tcBorders>
          </w:tcPr>
          <w:p>
            <w:pPr>
              <w:spacing w:before="32" w:after="32"/>
              <w:jc w:val="right"/>
            </w:pPr>
            <w:r/>
            <w:r>
              <w:rPr>
                <w:rFonts w:ascii="Calibri" w:hAnsi="Calibri"/>
                <w:b w:val="0"/>
                <w:i w:val="0"/>
                <w:color w:val="101010"/>
                <w:sz w:val="16"/>
              </w:rPr>
              <w:t>0</w:t>
            </w:r>
          </w:p>
        </w:tc>
        <w:tc>
          <w:tcPr>
            <w:tcW w:type="dxa" w:w="1152"/>
            <w:tcBorders>
              <w:bottom w:val="single" w:sz="3" w:color="DEDCD6"/>
            </w:tcBorders>
          </w:tcPr>
          <w:p>
            <w:pPr>
              <w:spacing w:before="32" w:after="32"/>
              <w:jc w:val="right"/>
            </w:pPr>
            <w:r/>
            <w:r>
              <w:rPr>
                <w:rFonts w:ascii="Calibri" w:hAnsi="Calibri"/>
                <w:b w:val="0"/>
                <w:i w:val="0"/>
                <w:color w:val="101010"/>
                <w:sz w:val="16"/>
              </w:rPr>
              <w:t>9</w:t>
            </w:r>
          </w:p>
        </w:tc>
      </w:tr>
      <w:tr>
        <w:tc>
          <w:tcPr>
            <w:tcW w:type="dxa" w:w="2016"/>
            <w:tcBorders>
              <w:bottom w:val="single" w:sz="10" w:color="101010"/>
            </w:tcBorders>
          </w:tcPr>
          <w:p>
            <w:pPr>
              <w:spacing w:before="32" w:after="32"/>
              <w:jc w:val="left"/>
            </w:pPr>
            <w:r/>
            <w:r>
              <w:rPr>
                <w:rFonts w:ascii="Calibri" w:hAnsi="Calibri"/>
                <w:b/>
                <w:i w:val="0"/>
                <w:color w:val="101010"/>
                <w:sz w:val="16"/>
              </w:rPr>
              <w:t>Total</w:t>
            </w:r>
          </w:p>
        </w:tc>
        <w:tc>
          <w:tcPr>
            <w:tcW w:type="dxa" w:w="1224"/>
            <w:tcBorders>
              <w:bottom w:val="single" w:sz="10" w:color="101010"/>
            </w:tcBorders>
          </w:tcPr>
          <w:p>
            <w:pPr>
              <w:spacing w:before="32" w:after="32"/>
              <w:jc w:val="right"/>
            </w:pPr>
            <w:r/>
            <w:r>
              <w:rPr>
                <w:rFonts w:ascii="Calibri" w:hAnsi="Calibri"/>
                <w:b/>
                <w:i w:val="0"/>
                <w:color w:val="101010"/>
                <w:sz w:val="16"/>
              </w:rPr>
              <w:t>52</w:t>
            </w:r>
          </w:p>
        </w:tc>
        <w:tc>
          <w:tcPr>
            <w:tcW w:type="dxa" w:w="1440"/>
            <w:tcBorders>
              <w:bottom w:val="single" w:sz="10" w:color="101010"/>
            </w:tcBorders>
          </w:tcPr>
          <w:p>
            <w:pPr>
              <w:spacing w:before="32" w:after="32"/>
              <w:jc w:val="right"/>
            </w:pPr>
            <w:r/>
            <w:r>
              <w:rPr>
                <w:rFonts w:ascii="Calibri" w:hAnsi="Calibri"/>
                <w:b/>
                <w:i w:val="0"/>
                <w:color w:val="101010"/>
                <w:sz w:val="16"/>
              </w:rPr>
              <w:t>4</w:t>
            </w:r>
          </w:p>
        </w:tc>
        <w:tc>
          <w:tcPr>
            <w:tcW w:type="dxa" w:w="1296"/>
            <w:tcBorders>
              <w:bottom w:val="single" w:sz="10" w:color="101010"/>
            </w:tcBorders>
          </w:tcPr>
          <w:p>
            <w:pPr>
              <w:spacing w:before="32" w:after="32"/>
              <w:jc w:val="right"/>
            </w:pPr>
            <w:r/>
            <w:r>
              <w:rPr>
                <w:rFonts w:ascii="Calibri" w:hAnsi="Calibri"/>
                <w:b/>
                <w:i w:val="0"/>
                <w:color w:val="101010"/>
                <w:sz w:val="16"/>
              </w:rPr>
              <w:t>15</w:t>
            </w:r>
          </w:p>
        </w:tc>
        <w:tc>
          <w:tcPr>
            <w:tcW w:type="dxa" w:w="1080"/>
            <w:tcBorders>
              <w:bottom w:val="single" w:sz="10" w:color="101010"/>
            </w:tcBorders>
          </w:tcPr>
          <w:p>
            <w:pPr>
              <w:spacing w:before="32" w:after="32"/>
              <w:jc w:val="right"/>
            </w:pPr>
            <w:r/>
            <w:r>
              <w:rPr>
                <w:rFonts w:ascii="Calibri" w:hAnsi="Calibri"/>
                <w:b/>
                <w:i w:val="0"/>
                <w:color w:val="101010"/>
                <w:sz w:val="16"/>
              </w:rPr>
              <w:t>14</w:t>
            </w:r>
          </w:p>
        </w:tc>
        <w:tc>
          <w:tcPr>
            <w:tcW w:type="dxa" w:w="1368"/>
            <w:tcBorders>
              <w:bottom w:val="single" w:sz="10" w:color="101010"/>
            </w:tcBorders>
          </w:tcPr>
          <w:p>
            <w:pPr>
              <w:spacing w:before="32" w:after="32"/>
              <w:jc w:val="right"/>
            </w:pPr>
            <w:r/>
            <w:r>
              <w:rPr>
                <w:rFonts w:ascii="Calibri" w:hAnsi="Calibri"/>
                <w:b/>
                <w:i w:val="0"/>
                <w:color w:val="101010"/>
                <w:sz w:val="16"/>
              </w:rPr>
              <w:t>53</w:t>
            </w:r>
          </w:p>
        </w:tc>
        <w:tc>
          <w:tcPr>
            <w:tcW w:type="dxa" w:w="1152"/>
            <w:tcBorders>
              <w:bottom w:val="single" w:sz="10" w:color="101010"/>
            </w:tcBorders>
          </w:tcPr>
          <w:p>
            <w:pPr>
              <w:spacing w:before="32" w:after="32"/>
              <w:jc w:val="right"/>
            </w:pPr>
            <w:r/>
            <w:r>
              <w:rPr>
                <w:rFonts w:ascii="Calibri" w:hAnsi="Calibri"/>
                <w:b/>
                <w:i w:val="0"/>
                <w:color w:val="101010"/>
                <w:sz w:val="16"/>
              </w:rPr>
              <w:t>138</w:t>
            </w:r>
          </w:p>
        </w:tc>
      </w:tr>
    </w:tbl>
    <w:p>
      <w:pPr>
        <w:spacing w:before="0" w:after="100"/>
        <w:jc w:val="both"/>
      </w:pPr>
      <w:r>
        <w:rPr>
          <w:rFonts w:ascii="Calibri" w:hAnsi="Calibri"/>
          <w:b/>
          <w:i w:val="0"/>
          <w:color w:val="101010"/>
          <w:sz w:val="19"/>
        </w:rPr>
        <w:t>Field weights within a pillar are equal</w:t>
      </w:r>
      <w:r>
        <w:rPr>
          <w:rFonts w:ascii="Calibri" w:hAnsi="Calibri"/>
          <w:b w:val="0"/>
          <w:i w:val="0"/>
          <w:color w:val="101010"/>
          <w:sz w:val="19"/>
        </w:rPr>
        <w:t xml:space="preserve">, and this matters: with 9 financial and 78 governance fields, one financial field carries 8.7 times the weight of one governance field </w:t>
      </w:r>
      <w:r>
        <w:rPr>
          <w:rFonts w:ascii="Calibri" w:hAnsi="Calibri"/>
          <w:b w:val="0"/>
          <w:i/>
          <w:color w:val="101010"/>
          <w:sz w:val="19"/>
        </w:rPr>
        <w:t>within its pillar's contribution</w:t>
      </w:r>
      <w:r>
        <w:rPr>
          <w:rFonts w:ascii="Calibri" w:hAnsi="Calibri"/>
          <w:b w:val="0"/>
          <w:i w:val="0"/>
          <w:color w:val="101010"/>
          <w:sz w:val="19"/>
        </w:rPr>
        <w:t xml:space="preserve">. Pillar weights then renormalise, which is why the pillar weighting in Exhibit 10 moves ranks as much as it does. </w:t>
      </w:r>
      <w:r>
        <w:rPr>
          <w:rFonts w:ascii="Calibri" w:hAnsi="Calibri"/>
          <w:b/>
          <w:i w:val="0"/>
          <w:color w:val="101010"/>
          <w:sz w:val="19"/>
        </w:rPr>
        <w:t>Polarity for the 63 uncontested governance fields</w:t>
      </w:r>
      <w:r>
        <w:rPr>
          <w:rFonts w:ascii="Calibri" w:hAnsi="Calibri"/>
          <w:b w:val="0"/>
          <w:i w:val="0"/>
          <w:color w:val="101010"/>
          <w:sz w:val="19"/>
        </w:rPr>
        <w:t xml:space="preserve"> follows governance orthodoxy: independence, refreshment, disclosure and audit tenure limits score positively; concentration, entrenchment and long tenure score negatively. The 15 contested fields are listed in the repository's question set.</w:t>
      </w:r>
    </w:p>
    <w:p>
      <w:pPr>
        <w:spacing w:before="300" w:after="60"/>
        <w:pBdr>
          <w:bottom w:val="single" w:sz="10" w:color="101010" w:space="3"/>
        </w:pBdr>
        <w:keepNext/>
      </w:pPr>
      <w:r>
        <w:rPr>
          <w:rFonts w:ascii="Calibri" w:hAnsi="Calibri"/>
          <w:b/>
          <w:color w:val="101010"/>
          <w:sz w:val="28"/>
        </w:rPr>
        <w:t>Appendix D · Sources</w:t>
      </w:r>
    </w:p>
    <w:p>
      <w:pPr>
        <w:spacing w:before="0" w:after="60"/>
        <w:jc w:val="both"/>
      </w:pPr>
      <w:r>
        <w:rPr>
          <w:rFonts w:ascii="Calibri" w:hAnsi="Calibri"/>
          <w:b/>
          <w:i w:val="0"/>
          <w:color w:val="101010"/>
          <w:sz w:val="17"/>
        </w:rPr>
        <w:t>MSCI ESG Ratings Methodology, Executive Summary, November 2020</w:t>
      </w:r>
      <w:r>
        <w:rPr>
          <w:rFonts w:ascii="Calibri" w:hAnsi="Calibri"/>
          <w:b w:val="0"/>
          <w:i w:val="0"/>
          <w:color w:val="101010"/>
          <w:sz w:val="17"/>
        </w:rPr>
        <w:t>, 17pp. This is the public executive summary rather than the full methodology, which bounds how precisely we can characterise MSCI's choices; we flag it rather than overstate our reading.</w:t>
      </w:r>
    </w:p>
    <w:p>
      <w:pPr>
        <w:spacing w:before="0" w:after="60"/>
        <w:jc w:val="both"/>
      </w:pPr>
      <w:r>
        <w:rPr>
          <w:rFonts w:ascii="Calibri" w:hAnsi="Calibri"/>
          <w:b/>
          <w:i w:val="0"/>
          <w:color w:val="101010"/>
          <w:sz w:val="17"/>
        </w:rPr>
        <w:t>Bloomberg ESG Scores Methodology</w:t>
      </w:r>
      <w:r>
        <w:rPr>
          <w:rFonts w:ascii="Calibri" w:hAnsi="Calibri"/>
          <w:b w:val="0"/>
          <w:i w:val="0"/>
          <w:color w:val="101010"/>
          <w:sz w:val="17"/>
        </w:rPr>
        <w:t>, issued Sep 2023, updated Dec 2025, 58pp. Read in full.</w:t>
      </w:r>
    </w:p>
    <w:p>
      <w:pPr>
        <w:spacing w:before="0" w:after="60"/>
        <w:jc w:val="both"/>
      </w:pPr>
      <w:r>
        <w:rPr>
          <w:rFonts w:ascii="Calibri" w:hAnsi="Calibri"/>
          <w:b w:val="0"/>
          <w:i w:val="0"/>
          <w:color w:val="101010"/>
          <w:sz w:val="17"/>
        </w:rPr>
        <w:t xml:space="preserve">Berg, Kölbel &amp; Rigobon (2022), </w:t>
      </w:r>
      <w:r>
        <w:rPr>
          <w:rFonts w:ascii="Calibri" w:hAnsi="Calibri"/>
          <w:b w:val="0"/>
          <w:i/>
          <w:color w:val="101010"/>
          <w:sz w:val="17"/>
        </w:rPr>
        <w:t>Aggregate Confusion</w:t>
      </w:r>
      <w:r>
        <w:rPr>
          <w:rFonts w:ascii="Calibri" w:hAnsi="Calibri"/>
          <w:b w:val="0"/>
          <w:i w:val="0"/>
          <w:color w:val="101010"/>
          <w:sz w:val="17"/>
        </w:rPr>
        <w:t xml:space="preserve">, Review of Finance 26(6), divergence split </w:t>
      </w:r>
      <w:r>
        <w:rPr>
          <w:rFonts w:ascii="Calibri" w:hAnsi="Calibri"/>
          <w:b/>
          <w:i w:val="0"/>
          <w:color w:val="101010"/>
          <w:sz w:val="17"/>
        </w:rPr>
        <w:t>56 / 38 / 6</w:t>
      </w:r>
      <w:r>
        <w:rPr>
          <w:rFonts w:ascii="Calibri" w:hAnsi="Calibri"/>
          <w:b w:val="0"/>
          <w:i w:val="0"/>
          <w:color w:val="101010"/>
          <w:sz w:val="17"/>
        </w:rPr>
        <w:t>.</w:t>
      </w:r>
    </w:p>
    <w:p>
      <w:pPr>
        <w:spacing w:before="0" w:after="60"/>
        <w:jc w:val="both"/>
      </w:pPr>
      <w:r>
        <w:rPr>
          <w:rFonts w:ascii="Calibri" w:hAnsi="Calibri"/>
          <w:b w:val="0"/>
          <w:i w:val="0"/>
          <w:color w:val="101010"/>
          <w:sz w:val="17"/>
        </w:rPr>
        <w:t xml:space="preserve">Simonsohn, Simmons &amp; Nelson (2020), </w:t>
      </w:r>
      <w:r>
        <w:rPr>
          <w:rFonts w:ascii="Calibri" w:hAnsi="Calibri"/>
          <w:b w:val="0"/>
          <w:i/>
          <w:color w:val="101010"/>
          <w:sz w:val="17"/>
        </w:rPr>
        <w:t>Specification curve analysis</w:t>
      </w:r>
      <w:r>
        <w:rPr>
          <w:rFonts w:ascii="Calibri" w:hAnsi="Calibri"/>
          <w:b w:val="0"/>
          <w:i w:val="0"/>
          <w:color w:val="101010"/>
          <w:sz w:val="17"/>
        </w:rPr>
        <w:t>, Nature Human Behaviour 4. A specification must test the research question, be statistically valid, and not duplicate another. The two-question split and the distinct-cell count in §6 are how we satisfy the first and third.</w:t>
      </w:r>
    </w:p>
    <w:p>
      <w:pPr>
        <w:spacing w:before="0" w:after="60"/>
        <w:jc w:val="both"/>
      </w:pPr>
      <w:r>
        <w:rPr>
          <w:rFonts w:ascii="Calibri" w:hAnsi="Calibri"/>
          <w:b w:val="0"/>
          <w:i w:val="0"/>
          <w:color w:val="101010"/>
          <w:sz w:val="17"/>
        </w:rPr>
        <w:t xml:space="preserve">Avramov, Cheng, Lioui &amp; Tarelli (2022), </w:t>
      </w:r>
      <w:r>
        <w:rPr>
          <w:rFonts w:ascii="Calibri" w:hAnsi="Calibri"/>
          <w:b w:val="0"/>
          <w:i/>
          <w:color w:val="101010"/>
          <w:sz w:val="17"/>
        </w:rPr>
        <w:t>Sustainable investing with ESG rating uncertainty</w:t>
      </w:r>
      <w:r>
        <w:rPr>
          <w:rFonts w:ascii="Calibri" w:hAnsi="Calibri"/>
          <w:b w:val="0"/>
          <w:i w:val="0"/>
          <w:color w:val="101010"/>
          <w:sz w:val="17"/>
        </w:rPr>
        <w:t>, JFE, cross-provider dispersion.</w:t>
      </w:r>
    </w:p>
    <w:p>
      <w:pPr>
        <w:spacing w:before="0" w:after="60"/>
        <w:jc w:val="both"/>
      </w:pPr>
      <w:r>
        <w:rPr>
          <w:rFonts w:ascii="Calibri" w:hAnsi="Calibri"/>
          <w:b w:val="0"/>
          <w:i w:val="0"/>
          <w:color w:val="101010"/>
          <w:sz w:val="17"/>
        </w:rPr>
        <w:t xml:space="preserve">Christensen, Serafeim &amp; Sikochi (2022), </w:t>
      </w:r>
      <w:r>
        <w:rPr>
          <w:rFonts w:ascii="Calibri" w:hAnsi="Calibri"/>
          <w:b w:val="0"/>
          <w:i/>
          <w:color w:val="101010"/>
          <w:sz w:val="17"/>
        </w:rPr>
        <w:t>Why is corporate virtue in the eye of the beholder?</w:t>
      </w:r>
      <w:r>
        <w:rPr>
          <w:rFonts w:ascii="Calibri" w:hAnsi="Calibri"/>
          <w:b w:val="0"/>
          <w:i w:val="0"/>
          <w:color w:val="101010"/>
          <w:sz w:val="17"/>
        </w:rPr>
        <w:t>, The Accounting Review 97(1), more disclosure, more disagreement.</w:t>
      </w:r>
    </w:p>
    <w:p>
      <w:pPr>
        <w:spacing w:before="0" w:after="60"/>
        <w:jc w:val="both"/>
      </w:pPr>
      <w:r>
        <w:rPr>
          <w:rFonts w:ascii="Calibri" w:hAnsi="Calibri"/>
          <w:b w:val="0"/>
          <w:i w:val="0"/>
          <w:color w:val="101010"/>
          <w:sz w:val="17"/>
        </w:rPr>
        <w:t xml:space="preserve">Dimson, Marsh &amp; Staunton (2020), </w:t>
      </w:r>
      <w:r>
        <w:rPr>
          <w:rFonts w:ascii="Calibri" w:hAnsi="Calibri"/>
          <w:b w:val="0"/>
          <w:i/>
          <w:color w:val="101010"/>
          <w:sz w:val="17"/>
        </w:rPr>
        <w:t>Divergent ESG ratings</w:t>
      </w:r>
      <w:r>
        <w:rPr>
          <w:rFonts w:ascii="Calibri" w:hAnsi="Calibri"/>
          <w:b w:val="0"/>
          <w:i w:val="0"/>
          <w:color w:val="101010"/>
          <w:sz w:val="17"/>
        </w:rPr>
        <w:t>, JPM 47(1), average correlation 0.45.</w:t>
      </w:r>
    </w:p>
    <w:p>
      <w:pPr>
        <w:spacing w:before="0" w:after="60"/>
        <w:jc w:val="both"/>
      </w:pPr>
      <w:r>
        <w:rPr>
          <w:rFonts w:ascii="Calibri" w:hAnsi="Calibri"/>
          <w:b w:val="0"/>
          <w:i w:val="0"/>
          <w:color w:val="101010"/>
          <w:sz w:val="17"/>
        </w:rPr>
        <w:t xml:space="preserve">Pástor, Stambaugh &amp; Taylor (2021), </w:t>
      </w:r>
      <w:r>
        <w:rPr>
          <w:rFonts w:ascii="Calibri" w:hAnsi="Calibri"/>
          <w:b w:val="0"/>
          <w:i/>
          <w:color w:val="101010"/>
          <w:sz w:val="17"/>
        </w:rPr>
        <w:t>Sustainable investing in equilibrium</w:t>
      </w:r>
      <w:r>
        <w:rPr>
          <w:rFonts w:ascii="Calibri" w:hAnsi="Calibri"/>
          <w:b w:val="0"/>
          <w:i w:val="0"/>
          <w:color w:val="101010"/>
          <w:sz w:val="17"/>
        </w:rPr>
        <w:t>, JFE, green assets earn lower expected returns in equilibrium.</w:t>
      </w:r>
    </w:p>
    <w:p>
      <w:pPr>
        <w:spacing w:before="0" w:after="60"/>
        <w:jc w:val="both"/>
      </w:pPr>
      <w:r>
        <w:rPr>
          <w:rFonts w:ascii="Calibri" w:hAnsi="Calibri"/>
          <w:b w:val="0"/>
          <w:i w:val="0"/>
          <w:color w:val="101010"/>
          <w:sz w:val="17"/>
        </w:rPr>
        <w:t xml:space="preserve">Merton (1987), </w:t>
      </w:r>
      <w:r>
        <w:rPr>
          <w:rFonts w:ascii="Calibri" w:hAnsi="Calibri"/>
          <w:b w:val="0"/>
          <w:i/>
          <w:color w:val="101010"/>
          <w:sz w:val="17"/>
        </w:rPr>
        <w:t>A simple model of capital market equilibrium with incomplete information</w:t>
      </w:r>
      <w:r>
        <w:rPr>
          <w:rFonts w:ascii="Calibri" w:hAnsi="Calibri"/>
          <w:b w:val="0"/>
          <w:i w:val="0"/>
          <w:color w:val="101010"/>
          <w:sz w:val="17"/>
        </w:rPr>
        <w:t>, Journal of Finance, investor recognition.</w:t>
      </w:r>
    </w:p>
    <w:p>
      <w:pPr>
        <w:spacing w:before="300" w:after="60"/>
        <w:pBdr>
          <w:bottom w:val="single" w:sz="10" w:color="101010" w:space="3"/>
        </w:pBdr>
        <w:keepNext/>
      </w:pPr>
      <w:r>
        <w:rPr>
          <w:rFonts w:ascii="Calibri" w:hAnsi="Calibri"/>
          <w:b/>
          <w:color w:val="101010"/>
          <w:sz w:val="28"/>
        </w:rPr>
        <w:t>Appendix E · Reproducibility</w:t>
      </w:r>
    </w:p>
    <w:tbl>
      <w:tblPr>
        <w:tblW w:type="auto" w:w="0"/>
        <w:jc w:val="center"/>
        <w:tblLayout w:type="fixed"/>
        <w:tblLook w:firstColumn="1" w:firstRow="1" w:lastColumn="0" w:lastRow="0" w:noHBand="0" w:noVBand="1" w:val="04A0"/>
      </w:tblPr>
      <w:tblGrid>
        <w:gridCol w:w="4917"/>
        <w:gridCol w:w="4917"/>
      </w:tblGrid>
      <w:tr>
        <w:tc>
          <w:tcPr>
            <w:tcW w:type="dxa" w:w="3744"/>
            <w:shd w:val="clear" w:fill="F6F5F2"/>
            <w:tcBorders>
              <w:top w:val="single" w:sz="10" w:color="101010"/>
              <w:bottom w:val="single" w:sz="5" w:color="6B6A63"/>
            </w:tcBorders>
          </w:tcPr>
          <w:p>
            <w:pPr>
              <w:spacing w:before="32" w:after="32"/>
              <w:jc w:val="left"/>
            </w:pPr>
            <w:r/>
            <w:r>
              <w:rPr>
                <w:rFonts w:ascii="Calibri" w:hAnsi="Calibri"/>
                <w:b/>
                <w:i w:val="0"/>
                <w:color w:val="3D3C38"/>
                <w:sz w:val="15"/>
              </w:rPr>
              <w:t>Command</w:t>
            </w:r>
          </w:p>
        </w:tc>
        <w:tc>
          <w:tcPr>
            <w:tcW w:type="dxa" w:w="5760"/>
            <w:shd w:val="clear" w:fill="F6F5F2"/>
            <w:tcBorders>
              <w:top w:val="single" w:sz="10" w:color="101010"/>
              <w:bottom w:val="single" w:sz="5" w:color="6B6A63"/>
            </w:tcBorders>
          </w:tcPr>
          <w:p>
            <w:pPr>
              <w:spacing w:before="32" w:after="32"/>
              <w:jc w:val="left"/>
            </w:pPr>
            <w:r/>
            <w:r>
              <w:rPr>
                <w:rFonts w:ascii="Calibri" w:hAnsi="Calibri"/>
                <w:b/>
                <w:i w:val="0"/>
                <w:color w:val="3D3C38"/>
                <w:sz w:val="15"/>
              </w:rPr>
              <w:t>Produces</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registry.py</w:t>
            </w:r>
          </w:p>
        </w:tc>
        <w:tc>
          <w:tcPr>
            <w:tcW w:type="dxa" w:w="5760"/>
            <w:tcBorders>
              <w:bottom w:val="single" w:sz="3" w:color="DEDCD6"/>
            </w:tcBorders>
          </w:tcPr>
          <w:p>
            <w:pPr>
              <w:spacing w:before="32" w:after="32"/>
              <w:jc w:val="left"/>
            </w:pPr>
            <w:r/>
            <w:r>
              <w:rPr>
                <w:rFonts w:ascii="Calibri" w:hAnsi="Calibri"/>
                <w:b w:val="0"/>
                <w:i w:val="0"/>
                <w:color w:val="101010"/>
                <w:sz w:val="16"/>
              </w:rPr>
              <w:t>the field registry, printed for inspection</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load.py</w:t>
            </w:r>
          </w:p>
        </w:tc>
        <w:tc>
          <w:tcPr>
            <w:tcW w:type="dxa" w:w="5760"/>
            <w:tcBorders>
              <w:bottom w:val="single" w:sz="3" w:color="DEDCD6"/>
            </w:tcBorders>
          </w:tcPr>
          <w:p>
            <w:pPr>
              <w:spacing w:before="32" w:after="32"/>
              <w:jc w:val="left"/>
            </w:pPr>
            <w:r/>
            <w:r>
              <w:rPr>
                <w:rFonts w:ascii="Calibri" w:hAnsi="Calibri"/>
                <w:b w:val="0"/>
                <w:i w:val="0"/>
                <w:color w:val="101010"/>
                <w:sz w:val="16"/>
              </w:rPr>
              <w:t>the arrays and a coverage report</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run.py</w:t>
            </w:r>
          </w:p>
        </w:tc>
        <w:tc>
          <w:tcPr>
            <w:tcW w:type="dxa" w:w="5760"/>
            <w:tcBorders>
              <w:bottom w:val="single" w:sz="3" w:color="DEDCD6"/>
            </w:tcBorders>
          </w:tcPr>
          <w:p>
            <w:pPr>
              <w:spacing w:before="32" w:after="32"/>
              <w:jc w:val="left"/>
            </w:pPr>
            <w:r/>
            <w:r>
              <w:rPr>
                <w:rFonts w:ascii="Calibri" w:hAnsi="Calibri"/>
                <w:b w:val="0"/>
                <w:i w:val="0"/>
                <w:color w:val="101010"/>
                <w:sz w:val="16"/>
              </w:rPr>
              <w:t>every specification → out/ (18 seconds)</w:t>
            </w:r>
          </w:p>
        </w:tc>
      </w:tr>
      <w:tr>
        <w:tc>
          <w:tcPr>
            <w:tcW w:type="dxa" w:w="3744"/>
            <w:tcBorders>
              <w:bottom w:val="single" w:sz="3" w:color="DEDCD6"/>
            </w:tcBorders>
          </w:tcPr>
          <w:p>
            <w:pPr>
              <w:spacing w:before="32" w:after="32"/>
              <w:jc w:val="left"/>
            </w:pPr>
            <w:r/>
            <w:r>
              <w:rPr>
                <w:rFonts w:ascii="Calibri" w:hAnsi="Calibri"/>
                <w:b w:val="0"/>
                <w:i w:val="0"/>
                <w:color w:val="101010"/>
                <w:sz w:val="16"/>
              </w:rPr>
              <w:t>python3 export_web.py</w:t>
            </w:r>
          </w:p>
        </w:tc>
        <w:tc>
          <w:tcPr>
            <w:tcW w:type="dxa" w:w="5760"/>
            <w:tcBorders>
              <w:bottom w:val="single" w:sz="3" w:color="DEDCD6"/>
            </w:tcBorders>
          </w:tcPr>
          <w:p>
            <w:pPr>
              <w:spacing w:before="32" w:after="32"/>
              <w:jc w:val="left"/>
            </w:pPr>
            <w:r/>
            <w:r>
              <w:rPr>
                <w:rFonts w:ascii="Calibri" w:hAnsi="Calibri"/>
                <w:b w:val="0"/>
                <w:i w:val="0"/>
                <w:color w:val="101010"/>
                <w:sz w:val="16"/>
              </w:rPr>
              <w:t>the pillar cube for the browser explorer</w:t>
            </w:r>
          </w:p>
        </w:tc>
      </w:tr>
      <w:tr>
        <w:tc>
          <w:tcPr>
            <w:tcW w:type="dxa" w:w="3744"/>
            <w:tcBorders>
              <w:bottom w:val="single" w:sz="10" w:color="101010"/>
            </w:tcBorders>
          </w:tcPr>
          <w:p>
            <w:pPr>
              <w:spacing w:before="32" w:after="32"/>
              <w:jc w:val="left"/>
            </w:pPr>
            <w:r/>
            <w:r>
              <w:rPr>
                <w:rFonts w:ascii="Calibri" w:hAnsi="Calibri"/>
                <w:b w:val="0"/>
                <w:i w:val="0"/>
                <w:color w:val="101010"/>
                <w:sz w:val="16"/>
              </w:rPr>
              <w:t>python3 -m http.server 4173 --directory ../web</w:t>
            </w:r>
          </w:p>
        </w:tc>
        <w:tc>
          <w:tcPr>
            <w:tcW w:type="dxa" w:w="5760"/>
            <w:tcBorders>
              <w:bottom w:val="single" w:sz="10" w:color="101010"/>
            </w:tcBorders>
          </w:tcPr>
          <w:p>
            <w:pPr>
              <w:spacing w:before="32" w:after="32"/>
              <w:jc w:val="left"/>
            </w:pPr>
            <w:r/>
            <w:r>
              <w:rPr>
                <w:rFonts w:ascii="Calibri" w:hAnsi="Calibri"/>
                <w:b w:val="0"/>
                <w:i w:val="0"/>
                <w:color w:val="101010"/>
                <w:sz w:val="16"/>
              </w:rPr>
              <w:t>the interactive tool</w:t>
            </w:r>
          </w:p>
        </w:tc>
      </w:tr>
    </w:tbl>
    <w:p>
      <w:pPr>
        <w:spacing w:before="0" w:after="100"/>
        <w:jc w:val="both"/>
      </w:pPr>
      <w:r>
        <w:rPr>
          <w:rFonts w:ascii="Calibri" w:hAnsi="Calibri"/>
          <w:b/>
          <w:i w:val="0"/>
          <w:color w:val="101010"/>
          <w:sz w:val="19"/>
        </w:rPr>
        <w:t>numpy and pandas only.</w:t>
      </w:r>
      <w:r>
        <w:rPr>
          <w:rFonts w:ascii="Calibri" w:hAnsi="Calibri"/>
          <w:b w:val="0"/>
          <w:i w:val="0"/>
          <w:color w:val="101010"/>
          <w:sz w:val="19"/>
        </w:rPr>
        <w:t xml:space="preserve"> The browser explorer reproduces run.py to 0.05 rank points on all 18 companies. </w:t>
      </w:r>
      <w:r>
        <w:rPr>
          <w:rFonts w:ascii="Calibri" w:hAnsi="Calibri"/>
          <w:b/>
          <w:i w:val="0"/>
          <w:color w:val="101010"/>
          <w:sz w:val="19"/>
        </w:rPr>
        <w:t>Bloomberg Terminal cell values are withheld</w:t>
      </w:r>
      <w:r>
        <w:rPr>
          <w:rFonts w:ascii="Calibri" w:hAnsi="Calibri"/>
          <w:b w:val="0"/>
          <w:i w:val="0"/>
          <w:color w:val="101010"/>
          <w:sz w:val="19"/>
        </w:rPr>
        <w:t xml:space="preserve"> we do not share these indicators and values because they require the proper licensing, and we are happy to show the files in person to demonstrate that the model runs on real data and would scale. Everything derived from them is published: the loader, the formula, all computed outputs, the explorer. Full reproduction from raw cells therefore needs a Terminal; the outputs are committed so every figure in this paper can be checked without one.</w:t>
      </w:r>
    </w:p>
    <w:p>
      <w:pPr>
        <w:spacing w:before="300" w:after="60"/>
        <w:pBdr>
          <w:bottom w:val="single" w:sz="10" w:color="101010" w:space="3"/>
        </w:pBdr>
        <w:keepNext/>
      </w:pPr>
      <w:r>
        <w:rPr>
          <w:rFonts w:ascii="Calibri" w:hAnsi="Calibri"/>
          <w:b/>
          <w:color w:val="101010"/>
          <w:sz w:val="28"/>
        </w:rPr>
        <w:t>Appendix F · Roadmap, in the order we would do it</w:t>
      </w:r>
    </w:p>
    <w:tbl>
      <w:tblPr>
        <w:tblW w:type="auto" w:w="0"/>
        <w:jc w:val="center"/>
        <w:tblLayout w:type="fixed"/>
        <w:tblLook w:firstColumn="1" w:firstRow="1" w:lastColumn="0" w:lastRow="0" w:noHBand="0" w:noVBand="1" w:val="04A0"/>
      </w:tblPr>
      <w:tblGrid>
        <w:gridCol w:w="3278"/>
        <w:gridCol w:w="3278"/>
        <w:gridCol w:w="3278"/>
      </w:tblGrid>
      <w:tr>
        <w:tc>
          <w:tcPr>
            <w:tcW w:type="dxa" w:w="432"/>
            <w:shd w:val="clear" w:fill="F6F5F2"/>
            <w:tcBorders>
              <w:top w:val="single" w:sz="10" w:color="101010"/>
              <w:bottom w:val="single" w:sz="5" w:color="6B6A63"/>
            </w:tcBorders>
          </w:tcPr>
          <w:p>
            <w:pPr>
              <w:spacing w:before="32" w:after="32"/>
              <w:jc w:val="center"/>
            </w:pPr>
            <w:r/>
            <w:r>
              <w:rPr>
                <w:rFonts w:ascii="Calibri" w:hAnsi="Calibri"/>
                <w:b/>
                <w:i w:val="0"/>
                <w:color w:val="3D3C38"/>
                <w:sz w:val="15"/>
              </w:rPr>
              <w:t>#</w:t>
            </w:r>
          </w:p>
        </w:tc>
        <w:tc>
          <w:tcPr>
            <w:tcW w:type="dxa" w:w="3312"/>
            <w:shd w:val="clear" w:fill="F6F5F2"/>
            <w:tcBorders>
              <w:top w:val="single" w:sz="10" w:color="101010"/>
              <w:bottom w:val="single" w:sz="5" w:color="6B6A63"/>
            </w:tcBorders>
          </w:tcPr>
          <w:p>
            <w:pPr>
              <w:spacing w:before="32" w:after="32"/>
              <w:jc w:val="left"/>
            </w:pPr>
            <w:r/>
            <w:r>
              <w:rPr>
                <w:rFonts w:ascii="Calibri" w:hAnsi="Calibri"/>
                <w:b/>
                <w:i w:val="0"/>
                <w:color w:val="3D3C38"/>
                <w:sz w:val="15"/>
              </w:rPr>
              <w:t>Work</w:t>
            </w:r>
          </w:p>
        </w:tc>
        <w:tc>
          <w:tcPr>
            <w:tcW w:type="dxa" w:w="6048"/>
            <w:shd w:val="clear" w:fill="F6F5F2"/>
            <w:tcBorders>
              <w:top w:val="single" w:sz="10" w:color="101010"/>
              <w:bottom w:val="single" w:sz="5" w:color="6B6A63"/>
            </w:tcBorders>
          </w:tcPr>
          <w:p>
            <w:pPr>
              <w:spacing w:before="32" w:after="32"/>
              <w:jc w:val="left"/>
            </w:pPr>
            <w:r/>
            <w:r>
              <w:rPr>
                <w:rFonts w:ascii="Calibri" w:hAnsi="Calibri"/>
                <w:b/>
                <w:i w:val="0"/>
                <w:color w:val="3D3C38"/>
                <w:sz w:val="15"/>
              </w:rPr>
              <w:t>Why it is first</w:t>
            </w:r>
          </w:p>
        </w:tc>
      </w:tr>
      <w:tr>
        <w:tc>
          <w:tcPr>
            <w:tcW w:type="dxa" w:w="432"/>
            <w:tcBorders>
              <w:bottom w:val="single" w:sz="3" w:color="DEDCD6"/>
            </w:tcBorders>
          </w:tcPr>
          <w:p>
            <w:pPr>
              <w:spacing w:before="32" w:after="32"/>
              <w:jc w:val="center"/>
            </w:pPr>
            <w:r/>
            <w:r>
              <w:rPr>
                <w:rFonts w:ascii="Calibri" w:hAnsi="Calibri"/>
                <w:b w:val="0"/>
                <w:i w:val="0"/>
                <w:color w:val="101010"/>
                <w:sz w:val="16"/>
              </w:rPr>
              <w:t>1</w:t>
            </w:r>
          </w:p>
        </w:tc>
        <w:tc>
          <w:tcPr>
            <w:tcW w:type="dxa" w:w="3312"/>
            <w:tcBorders>
              <w:bottom w:val="single" w:sz="3" w:color="DEDCD6"/>
            </w:tcBorders>
          </w:tcPr>
          <w:p>
            <w:pPr>
              <w:spacing w:before="32" w:after="32"/>
              <w:jc w:val="left"/>
            </w:pPr>
            <w:r/>
            <w:r>
              <w:rPr>
                <w:rFonts w:ascii="Calibri" w:hAnsi="Calibri"/>
                <w:b w:val="0"/>
                <w:i w:val="0"/>
                <w:color w:val="101010"/>
                <w:sz w:val="16"/>
              </w:rPr>
              <w:t>Place Bloomberg's own ESG score inside each company's distribution</w:t>
            </w:r>
          </w:p>
        </w:tc>
        <w:tc>
          <w:tcPr>
            <w:tcW w:type="dxa" w:w="6048"/>
            <w:tcBorders>
              <w:bottom w:val="single" w:sz="3" w:color="DEDCD6"/>
            </w:tcBorders>
          </w:tcPr>
          <w:p>
            <w:pPr>
              <w:spacing w:before="32" w:after="32"/>
              <w:jc w:val="left"/>
            </w:pPr>
            <w:r/>
            <w:r>
              <w:rPr>
                <w:rFonts w:ascii="Calibri" w:hAnsi="Calibri"/>
                <w:b w:val="0"/>
                <w:i w:val="0"/>
                <w:color w:val="101010"/>
                <w:sz w:val="16"/>
              </w:rPr>
              <w:t>The paper's central claim is that a published score is one draw from a distribution. We had the Terminal and did not test it. Highest value, lowest cost.</w:t>
            </w:r>
          </w:p>
        </w:tc>
      </w:tr>
      <w:tr>
        <w:tc>
          <w:tcPr>
            <w:tcW w:type="dxa" w:w="432"/>
            <w:tcBorders>
              <w:bottom w:val="single" w:sz="3" w:color="DEDCD6"/>
            </w:tcBorders>
          </w:tcPr>
          <w:p>
            <w:pPr>
              <w:spacing w:before="32" w:after="32"/>
              <w:jc w:val="center"/>
            </w:pPr>
            <w:r/>
            <w:r>
              <w:rPr>
                <w:rFonts w:ascii="Calibri" w:hAnsi="Calibri"/>
                <w:b w:val="0"/>
                <w:i w:val="0"/>
                <w:color w:val="101010"/>
                <w:sz w:val="16"/>
              </w:rPr>
              <w:t>2</w:t>
            </w:r>
          </w:p>
        </w:tc>
        <w:tc>
          <w:tcPr>
            <w:tcW w:type="dxa" w:w="3312"/>
            <w:tcBorders>
              <w:bottom w:val="single" w:sz="3" w:color="DEDCD6"/>
            </w:tcBorders>
          </w:tcPr>
          <w:p>
            <w:pPr>
              <w:spacing w:before="32" w:after="32"/>
              <w:jc w:val="left"/>
            </w:pPr>
            <w:r/>
            <w:r>
              <w:rPr>
                <w:rFonts w:ascii="Calibri" w:hAnsi="Calibri"/>
                <w:b w:val="0"/>
                <w:i w:val="0"/>
                <w:color w:val="101010"/>
                <w:sz w:val="16"/>
              </w:rPr>
              <w:t>Rerun on revenue and on a rolling denominator</w:t>
            </w:r>
          </w:p>
        </w:tc>
        <w:tc>
          <w:tcPr>
            <w:tcW w:type="dxa" w:w="6048"/>
            <w:tcBorders>
              <w:bottom w:val="single" w:sz="3" w:color="DEDCD6"/>
            </w:tcBorders>
          </w:tcPr>
          <w:p>
            <w:pPr>
              <w:spacing w:before="32" w:after="32"/>
              <w:jc w:val="left"/>
            </w:pPr>
            <w:r/>
            <w:r>
              <w:rPr>
                <w:rFonts w:ascii="Calibri" w:hAnsi="Calibri"/>
                <w:b w:val="0"/>
                <w:i w:val="0"/>
                <w:color w:val="101010"/>
                <w:sz w:val="16"/>
              </w:rPr>
              <w:t>Removes the weakest defensible choice in the paper.</w:t>
            </w:r>
          </w:p>
        </w:tc>
      </w:tr>
      <w:tr>
        <w:tc>
          <w:tcPr>
            <w:tcW w:type="dxa" w:w="432"/>
            <w:tcBorders>
              <w:bottom w:val="single" w:sz="3" w:color="DEDCD6"/>
            </w:tcBorders>
          </w:tcPr>
          <w:p>
            <w:pPr>
              <w:spacing w:before="32" w:after="32"/>
              <w:jc w:val="center"/>
            </w:pPr>
            <w:r/>
            <w:r>
              <w:rPr>
                <w:rFonts w:ascii="Calibri" w:hAnsi="Calibri"/>
                <w:b w:val="0"/>
                <w:i w:val="0"/>
                <w:color w:val="101010"/>
                <w:sz w:val="16"/>
              </w:rPr>
              <w:t>3</w:t>
            </w:r>
          </w:p>
        </w:tc>
        <w:tc>
          <w:tcPr>
            <w:tcW w:type="dxa" w:w="3312"/>
            <w:tcBorders>
              <w:bottom w:val="single" w:sz="3" w:color="DEDCD6"/>
            </w:tcBorders>
          </w:tcPr>
          <w:p>
            <w:pPr>
              <w:spacing w:before="32" w:after="32"/>
              <w:jc w:val="left"/>
            </w:pPr>
            <w:r/>
            <w:r>
              <w:rPr>
                <w:rFonts w:ascii="Calibri" w:hAnsi="Calibri"/>
                <w:b w:val="0"/>
                <w:i w:val="0"/>
                <w:color w:val="101010"/>
                <w:sz w:val="16"/>
              </w:rPr>
              <w:t>Effective-specification weighting</w:t>
            </w:r>
          </w:p>
        </w:tc>
        <w:tc>
          <w:tcPr>
            <w:tcW w:type="dxa" w:w="6048"/>
            <w:tcBorders>
              <w:bottom w:val="single" w:sz="3" w:color="DEDCD6"/>
            </w:tcBorders>
          </w:tcPr>
          <w:p>
            <w:pPr>
              <w:spacing w:before="32" w:after="32"/>
              <w:jc w:val="left"/>
            </w:pPr>
            <w:r/>
            <w:r>
              <w:rPr>
                <w:rFonts w:ascii="Calibri" w:hAnsi="Calibri"/>
                <w:b w:val="0"/>
                <w:i w:val="0"/>
                <w:color w:val="101010"/>
                <w:sz w:val="16"/>
              </w:rPr>
              <w:t>606 distinct of 648; weight cells by distinctness so duplicates stop inflating the distribution.</w:t>
            </w:r>
          </w:p>
        </w:tc>
      </w:tr>
      <w:tr>
        <w:tc>
          <w:tcPr>
            <w:tcW w:type="dxa" w:w="432"/>
            <w:tcBorders>
              <w:bottom w:val="single" w:sz="3" w:color="DEDCD6"/>
            </w:tcBorders>
          </w:tcPr>
          <w:p>
            <w:pPr>
              <w:spacing w:before="32" w:after="32"/>
              <w:jc w:val="center"/>
            </w:pPr>
            <w:r/>
            <w:r>
              <w:rPr>
                <w:rFonts w:ascii="Calibri" w:hAnsi="Calibri"/>
                <w:b w:val="0"/>
                <w:i w:val="0"/>
                <w:color w:val="101010"/>
                <w:sz w:val="16"/>
              </w:rPr>
              <w:t>4</w:t>
            </w:r>
          </w:p>
        </w:tc>
        <w:tc>
          <w:tcPr>
            <w:tcW w:type="dxa" w:w="3312"/>
            <w:tcBorders>
              <w:bottom w:val="single" w:sz="3" w:color="DEDCD6"/>
            </w:tcBorders>
          </w:tcPr>
          <w:p>
            <w:pPr>
              <w:spacing w:before="32" w:after="32"/>
              <w:jc w:val="left"/>
            </w:pPr>
            <w:r/>
            <w:r>
              <w:rPr>
                <w:rFonts w:ascii="Calibri" w:hAnsi="Calibri"/>
                <w:b w:val="0"/>
                <w:i w:val="0"/>
                <w:color w:val="101010"/>
                <w:sz w:val="16"/>
              </w:rPr>
              <w:t>Source Scope 3 and transition capex</w:t>
            </w:r>
          </w:p>
        </w:tc>
        <w:tc>
          <w:tcPr>
            <w:tcW w:type="dxa" w:w="6048"/>
            <w:tcBorders>
              <w:bottom w:val="single" w:sz="3" w:color="DEDCD6"/>
            </w:tcBorders>
          </w:tcPr>
          <w:p>
            <w:pPr>
              <w:spacing w:before="32" w:after="32"/>
              <w:jc w:val="left"/>
            </w:pPr>
            <w:r/>
            <w:r>
              <w:rPr>
                <w:rFonts w:ascii="Calibri" w:hAnsi="Calibri"/>
                <w:b w:val="0"/>
                <w:i w:val="0"/>
                <w:color w:val="101010"/>
                <w:sz w:val="16"/>
              </w:rPr>
              <w:t>The two most material omissions for oil and gas.</w:t>
            </w:r>
          </w:p>
        </w:tc>
      </w:tr>
      <w:tr>
        <w:tc>
          <w:tcPr>
            <w:tcW w:type="dxa" w:w="432"/>
            <w:tcBorders>
              <w:bottom w:val="single" w:sz="3" w:color="DEDCD6"/>
            </w:tcBorders>
          </w:tcPr>
          <w:p>
            <w:pPr>
              <w:spacing w:before="32" w:after="32"/>
              <w:jc w:val="center"/>
            </w:pPr>
            <w:r/>
            <w:r>
              <w:rPr>
                <w:rFonts w:ascii="Calibri" w:hAnsi="Calibri"/>
                <w:b w:val="0"/>
                <w:i w:val="0"/>
                <w:color w:val="101010"/>
                <w:sz w:val="16"/>
              </w:rPr>
              <w:t>5</w:t>
            </w:r>
          </w:p>
        </w:tc>
        <w:tc>
          <w:tcPr>
            <w:tcW w:type="dxa" w:w="3312"/>
            <w:tcBorders>
              <w:bottom w:val="single" w:sz="3" w:color="DEDCD6"/>
            </w:tcBorders>
          </w:tcPr>
          <w:p>
            <w:pPr>
              <w:spacing w:before="32" w:after="32"/>
              <w:jc w:val="left"/>
            </w:pPr>
            <w:r/>
            <w:r>
              <w:rPr>
                <w:rFonts w:ascii="Calibri" w:hAnsi="Calibri"/>
                <w:b w:val="0"/>
                <w:i w:val="0"/>
                <w:color w:val="101010"/>
                <w:sz w:val="16"/>
              </w:rPr>
              <w:t>Cross-sector run with sector-neutral normalisation</w:t>
            </w:r>
          </w:p>
        </w:tc>
        <w:tc>
          <w:tcPr>
            <w:tcW w:type="dxa" w:w="6048"/>
            <w:tcBorders>
              <w:bottom w:val="single" w:sz="3" w:color="DEDCD6"/>
            </w:tcBorders>
          </w:tcPr>
          <w:p>
            <w:pPr>
              <w:spacing w:before="32" w:after="32"/>
              <w:jc w:val="left"/>
            </w:pPr>
            <w:r/>
            <w:r>
              <w:rPr>
                <w:rFonts w:ascii="Calibri" w:hAnsi="Calibri"/>
                <w:b w:val="0"/>
                <w:i w:val="0"/>
                <w:color w:val="101010"/>
                <w:sz w:val="16"/>
              </w:rPr>
              <w:t>Delivers the S&amp;P 500 promise in the title.</w:t>
            </w:r>
          </w:p>
        </w:tc>
      </w:tr>
      <w:tr>
        <w:tc>
          <w:tcPr>
            <w:tcW w:type="dxa" w:w="432"/>
            <w:tcBorders>
              <w:bottom w:val="single" w:sz="10" w:color="101010"/>
            </w:tcBorders>
          </w:tcPr>
          <w:p>
            <w:pPr>
              <w:spacing w:before="32" w:after="32"/>
              <w:jc w:val="center"/>
            </w:pPr>
            <w:r/>
            <w:r>
              <w:rPr>
                <w:rFonts w:ascii="Calibri" w:hAnsi="Calibri"/>
                <w:b w:val="0"/>
                <w:i w:val="0"/>
                <w:color w:val="101010"/>
                <w:sz w:val="16"/>
              </w:rPr>
              <w:t>6</w:t>
            </w:r>
          </w:p>
        </w:tc>
        <w:tc>
          <w:tcPr>
            <w:tcW w:type="dxa" w:w="3312"/>
            <w:tcBorders>
              <w:bottom w:val="single" w:sz="10" w:color="101010"/>
            </w:tcBorders>
          </w:tcPr>
          <w:p>
            <w:pPr>
              <w:spacing w:before="32" w:after="32"/>
              <w:jc w:val="left"/>
            </w:pPr>
            <w:r/>
            <w:r>
              <w:rPr>
                <w:rFonts w:ascii="Calibri" w:hAnsi="Calibri"/>
                <w:b w:val="0"/>
                <w:i w:val="0"/>
                <w:color w:val="101010"/>
                <w:sz w:val="16"/>
              </w:rPr>
              <w:t>Backtest the §8 signal</w:t>
            </w:r>
          </w:p>
        </w:tc>
        <w:tc>
          <w:tcPr>
            <w:tcW w:type="dxa" w:w="6048"/>
            <w:tcBorders>
              <w:bottom w:val="single" w:sz="10" w:color="101010"/>
            </w:tcBorders>
          </w:tcPr>
          <w:p>
            <w:pPr>
              <w:spacing w:before="32" w:after="32"/>
              <w:jc w:val="left"/>
            </w:pPr>
            <w:r/>
            <w:r>
              <w:rPr>
                <w:rFonts w:ascii="Calibri" w:hAnsi="Calibri"/>
                <w:b w:val="0"/>
                <w:i w:val="0"/>
                <w:color w:val="101010"/>
                <w:sz w:val="16"/>
              </w:rPr>
              <w:t>Does Δ = P(B) − P(A) predict forward returns or rating migration? Until tested, §8 is a hypothesis with a computed signal, not a validated strategy.</w:t>
            </w:r>
          </w:p>
        </w:tc>
      </w:tr>
    </w:tbl>
    <w:p>
      <w:pPr>
        <w:spacing w:before="80" w:after="80"/>
        <w:pBdr>
          <w:bottom w:val="single" w:sz="10" w:color="101010" w:space="1"/>
        </w:pBdr>
      </w:pPr>
    </w:p>
    <w:p>
      <w:pPr>
        <w:spacing w:before="0" w:after="100"/>
        <w:jc w:val="both"/>
      </w:pPr>
      <w:r>
        <w:rPr>
          <w:rFonts w:ascii="Calibri" w:hAnsi="Calibri"/>
          <w:b/>
          <w:i w:val="0"/>
          <w:color w:val="6B6A63"/>
          <w:sz w:val="15"/>
        </w:rPr>
        <w:t>Disclosures.</w:t>
      </w:r>
      <w:r>
        <w:rPr>
          <w:rFonts w:ascii="Calibri" w:hAnsi="Calibri"/>
          <w:b w:val="0"/>
          <w:i w:val="0"/>
          <w:color w:val="6B6A63"/>
          <w:sz w:val="15"/>
        </w:rPr>
        <w:t xml:space="preserve"> Prepared for ETHack 2026, Challenge #1, by a student team over 24 hours and This is not investment research, not a recommendation to buy or sell any security, and was not prepared by a regulated entity. Section 8 is a methodological demonstration on a hypothetical mandate; company names appear as data points. All computed figures derive from the committed pipeline and can be regenerated from source. Characterisations of MSCI's and Bloomberg's methods are ours and any error in them is ours.</w:t>
      </w:r>
    </w:p>
    <w:sectPr w:rsidR="00FC693F" w:rsidRPr="0006063C" w:rsidSect="00034616">
      <w:footerReference w:type="default" r:id="rId13"/>
      <w:pgSz w:w="11909" w:h="16834"/>
      <w:pgMar w:top="950"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A63"/>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010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